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/>
        <w:jc w:val="left"/>
      </w:pPr>
      <w:r>
        <w:drawing>
          <wp:inline distT="0" distB="0" distL="0" distR="0">
            <wp:extent cx="1428750" cy="876300"/>
            <wp:effectExtent t="0" r="0" b="0" l="0"/>
            <wp:docPr id="1" name="logotipo" descr="Logótipo de Ricardina Correia, Psicologia Pediátrica" title="Logót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60" w:before="0" w:line="276" w:lineRule="auto"/>
        <w:jc w:val="left"/>
      </w:pPr>
      <w:r>
        <w:rPr>
          <w:rFonts w:ascii="Calibri" w:cs="Calibri" w:eastAsia="Calibri" w:hAnsi="Calibri"/>
          <w:b/>
          <w:bCs/>
          <w:color w:val="7B5BD6"/>
          <w:spacing w:val="32"/>
          <w:sz w:val="16"/>
          <w:szCs w:val="16"/>
        </w:rPr>
        <w:t xml:space="preserve">GUIA PARA PAIS · 3 AOS 12 ANOS</w:t>
      </w:r>
    </w:p>
    <w:p>
      <w:pPr>
        <w:keepLines/>
        <w:spacing w:after="140" w:before="40" w:line="240" w:lineRule="auto"/>
        <w:jc w:val="left"/>
      </w:pPr>
      <w:r>
        <w:rPr>
          <w:rFonts w:ascii="Calibri" w:cs="Calibri" w:eastAsia="Calibri" w:hAnsi="Calibri"/>
          <w:b/>
          <w:bCs/>
          <w:color w:val="33465C"/>
          <w:sz w:val="48"/>
          <w:szCs w:val="48"/>
        </w:rPr>
        <w:t xml:space="preserve">O gato morreu. E ele quer saber quando volta.</w:t>
      </w:r>
    </w:p>
    <w:p>
      <w:pPr>
        <w:keepLines/>
        <w:spacing w:after="220" w:before="0" w:line="276" w:lineRule="auto"/>
        <w:jc w:val="left"/>
      </w:pPr>
      <w:r>
        <w:rPr>
          <w:rFonts w:ascii="Calibri" w:cs="Calibri" w:eastAsia="Calibri" w:hAnsi="Calibri"/>
          <w:color w:val="6E86A6"/>
          <w:sz w:val="24"/>
          <w:szCs w:val="24"/>
        </w:rPr>
        <w:t xml:space="preserve">O luto de uma criança pela morte de um animal de estimação — o que dizer, como despedir-se e quando procurar ajuda</w:t>
      </w:r>
    </w:p>
    <w:p>
      <w:pPr>
        <w:keepLines/>
        <w:spacing w:after="60" w:before="0" w:line="276" w:lineRule="auto"/>
        <w:jc w:val="left"/>
      </w:pPr>
      <w:r>
        <w:rPr>
          <w:rFonts w:ascii="Calibri" w:cs="Calibri" w:eastAsia="Calibri" w:hAnsi="Calibri"/>
          <w:color w:val="33465C"/>
          <w:sz w:val="22"/>
          <w:szCs w:val="22"/>
        </w:rPr>
        <w:t xml:space="preserve">Para muitas crianças, o animal da casa é um companheiro de brincadeira, um confidente, alguém que está sempre lá. Quando morre, a dor é real — e, muitas vezes, é o primeiro encontro com a morte. Este guia ajuda a dar a notícia, a acompanhar a despedida e a perceber o que é esperado nas semanas seguintes.</w:t>
      </w:r>
    </w:p>
    <w:p>
      <w:pPr>
        <w:keepNext/>
        <w:keepLines/>
        <w:pBdr>
          <w:bottom w:val="single" w:color="E2E7EF" w:sz="6" w:space="4"/>
        </w:pBdr>
        <w:spacing w:after="130" w:before="250"/>
      </w:pPr>
      <w:r>
        <w:rPr>
          <w:rFonts w:ascii="Calibri" w:cs="Calibri" w:eastAsia="Calibri" w:hAnsi="Calibri"/>
          <w:b/>
          <w:bCs/>
          <w:color w:val="7B5BD6"/>
          <w:sz w:val="20"/>
          <w:szCs w:val="20"/>
        </w:rPr>
        <w:t xml:space="preserve">1   </w:t>
      </w:r>
      <w:r>
        <w:rPr>
          <w:rFonts w:ascii="Calibri" w:cs="Calibri" w:eastAsia="Calibri" w:hAnsi="Calibri"/>
          <w:b/>
          <w:bCs/>
          <w:color w:val="33465C"/>
          <w:spacing w:val="32"/>
          <w:sz w:val="20"/>
          <w:szCs w:val="20"/>
        </w:rPr>
        <w:t xml:space="preserve">EM POUCAS PALAVRAS</w:t>
      </w:r>
    </w:p>
    <w:tbl>
      <w:tblPr>
        <w:tblW w:type="dxa" w:w="9866"/>
        <w:tblBorders>
          <w:top w:val="none" w:color="FFFFFF" w:sz="0"/>
          <w:left w:val="single" w:color="7B5BD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single" w:color="7B5BD6" w:sz="24"/>
              <w:bottom w:val="none" w:color="FFFFFF" w:sz="0"/>
              <w:right w:val="none" w:color="FFFFFF" w:sz="0"/>
            </w:tcBorders>
            <w:shd w:fill="EFEBFC" w:color="auto" w:val="clear"/>
            <w:tcMar>
              <w:top w:type="dxa" w:w="140"/>
              <w:left w:type="dxa" w:w="220"/>
              <w:bottom w:type="dxa" w:w="100"/>
              <w:right w:type="dxa" w:w="220"/>
            </w:tcMar>
          </w:tcPr>
          <w:p>
            <w:pPr>
              <w:pStyle w:val="ListParagraph"/>
              <w:keepLines/>
              <w:numPr>
                <w:ilvl w:val="0"/>
                <w:numId w:val="2"/>
              </w:numPr>
              <w:spacing w:after="70" w:line="266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22"/>
                <w:szCs w:val="22"/>
              </w:rPr>
              <w:t xml:space="preserve">A dor é real e não precisa de ser relativizada.</w:t>
            </w:r>
            <w:r>
              <w:rPr>
                <w:rFonts w:ascii="Calibri" w:cs="Calibri" w:eastAsia="Calibri" w:hAnsi="Calibri"/>
                <w:color w:val="33465C"/>
                <w:sz w:val="22"/>
                <w:szCs w:val="22"/>
              </w:rPr>
              <w:t xml:space="preserve"> «Era só um gato» não ajuda. Para a criança, era alguém da família.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70" w:line="266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22"/>
                <w:szCs w:val="22"/>
              </w:rPr>
              <w:t xml:space="preserve">A verdade, dita com simplicidade, protege mais do que um eufemismo.</w:t>
            </w:r>
            <w:r>
              <w:rPr>
                <w:rFonts w:ascii="Calibri" w:cs="Calibri" w:eastAsia="Calibri" w:hAnsi="Calibri"/>
                <w:color w:val="33465C"/>
                <w:sz w:val="22"/>
                <w:szCs w:val="22"/>
              </w:rPr>
              <w:t xml:space="preserve"> «Morreu» é mais claro — e menos assustador — do que «foi dormir» ou «fugiu».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20" w:line="266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22"/>
                <w:szCs w:val="22"/>
              </w:rPr>
              <w:t xml:space="preserve">O que se faz agora fica como modelo.</w:t>
            </w:r>
            <w:r>
              <w:rPr>
                <w:rFonts w:ascii="Calibri" w:cs="Calibri" w:eastAsia="Calibri" w:hAnsi="Calibri"/>
                <w:color w:val="33465C"/>
                <w:sz w:val="22"/>
                <w:szCs w:val="22"/>
              </w:rPr>
              <w:t xml:space="preserve"> A forma como a família atravessa esta perda ensina à criança como se vive uma perda.</w:t>
            </w:r>
          </w:p>
        </w:tc>
      </w:tr>
    </w:tbl>
    <w:p>
      <w:pPr>
        <w:keepNext/>
        <w:keepLines/>
        <w:pBdr>
          <w:bottom w:val="single" w:color="E2E7EF" w:sz="6" w:space="4"/>
        </w:pBdr>
        <w:spacing w:after="130" w:before="250"/>
      </w:pPr>
      <w:r>
        <w:rPr>
          <w:rFonts w:ascii="Calibri" w:cs="Calibri" w:eastAsia="Calibri" w:hAnsi="Calibri"/>
          <w:b/>
          <w:bCs/>
          <w:color w:val="7B5BD6"/>
          <w:sz w:val="20"/>
          <w:szCs w:val="20"/>
        </w:rPr>
        <w:t xml:space="preserve">2   </w:t>
      </w:r>
      <w:r>
        <w:rPr>
          <w:rFonts w:ascii="Calibri" w:cs="Calibri" w:eastAsia="Calibri" w:hAnsi="Calibri"/>
          <w:b/>
          <w:bCs/>
          <w:color w:val="33465C"/>
          <w:spacing w:val="32"/>
          <w:sz w:val="20"/>
          <w:szCs w:val="20"/>
        </w:rPr>
        <w:t xml:space="preserve">O QUE PODE ESTAR A ACONTECER</w:t>
      </w:r>
    </w:p>
    <w:p>
      <w:pPr>
        <w:keepLines/>
        <w:spacing w:after="110" w:before="0" w:line="276" w:lineRule="auto"/>
        <w:jc w:val="left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Perceber a morte é uma aprendizagem.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Para compreender a morte, a criança tem de perceber três coisas: que é definitiva, que o corpo deixa de funcionar — não respira, não come, não sente — e que acontece a todos os seres vivos. A maior parte das crianças compreende estas três ideias entre os 5 e os 7 anos. Antes disso, é natural perguntar quando o animal volta, se tem frio debaixo da terra ou se tem fome.</w:t>
      </w:r>
    </w:p>
    <w:p>
      <w:pPr>
        <w:keepLines/>
        <w:spacing w:after="110" w:before="0" w:line="276" w:lineRule="auto"/>
        <w:jc w:val="left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Depois dessa idade, surgem outras perguntas.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Quando a criança percebe que a morte é para todos, é frequente perguntar se os pais também vão morrer, ou se ela vai morrer. Não é mórbido: é a consequência de ter percebido.</w:t>
      </w:r>
    </w:p>
    <w:p>
      <w:pPr>
        <w:keepLines/>
        <w:spacing w:after="110" w:before="0" w:line="276" w:lineRule="auto"/>
        <w:jc w:val="left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O luto das crianças vem aos bocados.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Pode chorar num momento e, no seguinte, pedir para ir brincar. Não é indiferença: as crianças aguentam a tristeza em doses pequenas e voltam a ela quando estão prontas — às vezes semanas ou meses depois, ao ver outro animal ou ao chegar uma data.</w:t>
      </w:r>
    </w:p>
    <w:p>
      <w:pPr>
        <w:keepLines/>
        <w:spacing w:after="110" w:before="0" w:line="276" w:lineRule="auto"/>
        <w:jc w:val="left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A culpa é frequente, e raramente se diz.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«Foi porque me esqueci de lhe dar comida», «porque me zanguei com ele». Nas idades mais novas, o pensamento mágico faz a criança ligar coisas que não estão ligadas.</w:t>
      </w:r>
    </w:p>
    <w:p>
      <w:pPr>
        <w:keepLines/>
        <w:spacing w:after="110" w:before="0" w:line="276" w:lineRule="auto"/>
        <w:jc w:val="left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Não é uma perda pequena.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Num grande estudo britânico, que acompanhou mais de seis mil crianças, as que tinham perdido um animal antes dos 7 anos apresentavam, aos 8, um pouco mais de sinais de dificuldade emocional e de comportamento do que as que tinham animal e não o tinham perdido. É uma associação, não uma prova de causa — mas é razão suficiente para levar esta perda a sério.</w:t>
      </w:r>
    </w:p>
    <w:p>
      <w:pPr>
        <w:keepNext/>
        <w:keepLines/>
        <w:pageBreakBefore/>
        <w:pBdr>
          <w:bottom w:val="single" w:color="E2E7EF" w:sz="6" w:space="4"/>
        </w:pBdr>
        <w:spacing w:after="130" w:before="0"/>
      </w:pPr>
      <w:r>
        <w:rPr>
          <w:rFonts w:ascii="Calibri" w:cs="Calibri" w:eastAsia="Calibri" w:hAnsi="Calibri"/>
          <w:b/>
          <w:bCs/>
          <w:color w:val="7B5BD6"/>
          <w:sz w:val="20"/>
          <w:szCs w:val="20"/>
        </w:rPr>
        <w:t xml:space="preserve">3   </w:t>
      </w:r>
      <w:r>
        <w:rPr>
          <w:rFonts w:ascii="Calibri" w:cs="Calibri" w:eastAsia="Calibri" w:hAnsi="Calibri"/>
          <w:b/>
          <w:bCs/>
          <w:color w:val="33465C"/>
          <w:spacing w:val="32"/>
          <w:sz w:val="20"/>
          <w:szCs w:val="20"/>
        </w:rPr>
        <w:t xml:space="preserve">REAÇÕES FREQUENTES E COMO RESPONDER</w:t>
      </w:r>
    </w:p>
    <w:p>
      <w:pPr>
        <w:keepNext/>
        <w:keepLines/>
        <w:spacing w:after="80" w:before="0" w:line="276" w:lineRule="auto"/>
        <w:jc w:val="left"/>
      </w:pPr>
      <w:r>
        <w:rPr>
          <w:rFonts w:ascii="Calibri" w:cs="Calibri" w:eastAsia="Calibri" w:hAnsi="Calibri"/>
          <w:color w:val="33465C"/>
          <w:sz w:val="22"/>
          <w:szCs w:val="22"/>
        </w:rPr>
        <w:t xml:space="preserve">Três princípios servem para quase todas: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Dizer a verdade, com palavras simples.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«Morreu» e «não volta» são duras de dizer, mas são as que a criança consegue perceber.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Repetir com paciência.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Os mais novos perguntam muitas vezes — é assim que arrumam a informação.</w:t>
      </w:r>
    </w:p>
    <w:p>
      <w:pPr>
        <w:pStyle w:val="ListParagraph"/>
        <w:keepLines/>
        <w:numPr>
          <w:ilvl w:val="0"/>
          <w:numId w:val="2"/>
        </w:numPr>
        <w:spacing w:after="16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Deixar a tristeza existir.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Não é preciso resolvê-la; é preciso acompanhá-la.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66"/>
      </w:tblGrid>
      <w:tr>
        <w:trPr>
          <w:cantSplit/>
          <w:tblHeader/>
        </w:trPr>
        <w:tc>
          <w:tcPr>
            <w:tcW w:type="dxa" w:w="30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6E86A6"/>
                <w:sz w:val="15"/>
                <w:szCs w:val="15"/>
              </w:rPr>
              <w:t xml:space="preserve">O QUE SE PODE VER</w:t>
            </w:r>
          </w:p>
        </w:tc>
        <w:tc>
          <w:tcPr>
            <w:tcW w:type="dxa" w:w="6866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E6F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0E7C6F"/>
                <w:sz w:val="15"/>
                <w:szCs w:val="15"/>
              </w:rPr>
              <w:t xml:space="preserve">COMO RESPONDER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line="252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9"/>
                <w:szCs w:val="19"/>
              </w:rPr>
              <w:t xml:space="preserve">«Quando é que volta?»</w:t>
            </w:r>
          </w:p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6E86A6"/>
                <w:sz w:val="18"/>
                <w:szCs w:val="18"/>
              </w:rPr>
              <w:t xml:space="preserve">Pergunta várias vezes, sobretudo abaixo dos 6 anos.</w:t>
            </w:r>
          </w:p>
        </w:tc>
        <w:tc>
          <w:tcPr>
            <w:tcW w:type="dxa" w:w="6866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9"/>
                <w:szCs w:val="19"/>
              </w:rPr>
              <w:t xml:space="preserve">Responder sempre da mesma maneira: «Morreu. Quando um animal morre, o corpo deixa de funcionar: não respira, não come, não sente dor. Não volta.»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line="252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9"/>
                <w:szCs w:val="19"/>
              </w:rPr>
              <w:t xml:space="preserve">Parece não se importar</w:t>
            </w:r>
          </w:p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6E86A6"/>
                <w:sz w:val="18"/>
                <w:szCs w:val="18"/>
              </w:rPr>
              <w:t xml:space="preserve">Chora um pouco e vai brincar.</w:t>
            </w:r>
          </w:p>
        </w:tc>
        <w:tc>
          <w:tcPr>
            <w:tcW w:type="dxa" w:w="6866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9"/>
                <w:szCs w:val="19"/>
              </w:rPr>
              <w:t xml:space="preserve">É esperado. O luto vem aos bocados. Voltar ao assunto noutras alturas, sem forçar.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line="252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9"/>
                <w:szCs w:val="19"/>
              </w:rPr>
              <w:t xml:space="preserve">Culpa</w:t>
            </w:r>
          </w:p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6E86A6"/>
                <w:sz w:val="18"/>
                <w:szCs w:val="18"/>
              </w:rPr>
              <w:t xml:space="preserve">«Foi por minha causa.»</w:t>
            </w:r>
          </w:p>
        </w:tc>
        <w:tc>
          <w:tcPr>
            <w:tcW w:type="dxa" w:w="6866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9"/>
                <w:szCs w:val="19"/>
              </w:rPr>
              <w:t xml:space="preserve">Dizer claramente que não foi. Se houve um acidente, dizer que foi isso mesmo — um acidente que ninguém quis.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line="252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9"/>
                <w:szCs w:val="19"/>
              </w:rPr>
              <w:t xml:space="preserve">Medo de que os pais morram</w:t>
            </w:r>
          </w:p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6E86A6"/>
                <w:sz w:val="18"/>
                <w:szCs w:val="18"/>
              </w:rPr>
              <w:t xml:space="preserve">«E tu também vais morrer?»</w:t>
            </w:r>
          </w:p>
        </w:tc>
        <w:tc>
          <w:tcPr>
            <w:tcW w:type="dxa" w:w="6866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9"/>
                <w:szCs w:val="19"/>
              </w:rPr>
              <w:t xml:space="preserve">Responder com verdade e tranquilidade: «Toda a gente morre um dia, mas a maior parte das pessoas vive muitos, muitos anos. Eu espero estar aqui contigo muito tempo.»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line="252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9"/>
                <w:szCs w:val="19"/>
              </w:rPr>
              <w:t xml:space="preserve">Zanga</w:t>
            </w:r>
          </w:p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6E86A6"/>
                <w:sz w:val="18"/>
                <w:szCs w:val="18"/>
              </w:rPr>
              <w:t xml:space="preserve">Com o veterinário, com os pais, com o próprio animal.</w:t>
            </w:r>
          </w:p>
        </w:tc>
        <w:tc>
          <w:tcPr>
            <w:tcW w:type="dxa" w:w="6866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9"/>
                <w:szCs w:val="19"/>
              </w:rPr>
              <w:t xml:space="preserve">A zanga faz parte. Aceitá-la e explicar, sem discutir, o que aconteceu e porquê.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line="252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9"/>
                <w:szCs w:val="19"/>
              </w:rPr>
              <w:t xml:space="preserve">Perguntas sobre o corpo e o «depois»</w:t>
            </w:r>
          </w:p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6E86A6"/>
                <w:sz w:val="18"/>
                <w:szCs w:val="18"/>
              </w:rPr>
              <w:t xml:space="preserve">«Onde está agora?», «Tem frio?»</w:t>
            </w:r>
          </w:p>
        </w:tc>
        <w:tc>
          <w:tcPr>
            <w:tcW w:type="dxa" w:w="6866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9"/>
                <w:szCs w:val="19"/>
              </w:rPr>
              <w:t xml:space="preserve">Responder com simplicidade sobre o corpo. As crenças da família sobre o que vem depois podem partilhar-se como crenças, deixando claro que o corpo deixou de funcionar.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line="252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9"/>
                <w:szCs w:val="19"/>
              </w:rPr>
              <w:t xml:space="preserve">Querer outro animal já</w:t>
            </w:r>
          </w:p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6E86A6"/>
                <w:sz w:val="18"/>
                <w:szCs w:val="18"/>
              </w:rPr>
              <w:t xml:space="preserve">Ou, ao contrário, recusar qualquer outro.</w:t>
            </w:r>
          </w:p>
        </w:tc>
        <w:tc>
          <w:tcPr>
            <w:tcW w:type="dxa" w:w="6866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9"/>
                <w:szCs w:val="19"/>
              </w:rPr>
              <w:t xml:space="preserve">Não substituir de imediato. Esperar que a família esteja pronta. Um animal novo não é o mesmo — é outro.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line="252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9"/>
                <w:szCs w:val="19"/>
              </w:rPr>
              <w:t xml:space="preserve">Sono e regressões</w:t>
            </w:r>
          </w:p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6E86A6"/>
                <w:sz w:val="18"/>
                <w:szCs w:val="18"/>
              </w:rPr>
              <w:t xml:space="preserve">Dificuldade em adormecer, mais colo, mais acidentes.</w:t>
            </w:r>
          </w:p>
        </w:tc>
        <w:tc>
          <w:tcPr>
            <w:tcW w:type="dxa" w:w="6866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9"/>
                <w:szCs w:val="19"/>
              </w:rPr>
              <w:t xml:space="preserve">Calma e rotinas. Se se disse que o animal «foi dormir», corrigir: pode ser essa a origem do medo de dormir.</w:t>
            </w:r>
          </w:p>
        </w:tc>
      </w:tr>
    </w:tbl>
    <w:p>
      <w:pPr>
        <w:keepNext/>
        <w:keepLines/>
        <w:pBdr>
          <w:bottom w:val="single" w:color="E2E7EF" w:sz="6" w:space="4"/>
        </w:pBdr>
        <w:spacing w:after="130" w:before="250"/>
      </w:pPr>
      <w:r>
        <w:rPr>
          <w:rFonts w:ascii="Calibri" w:cs="Calibri" w:eastAsia="Calibri" w:hAnsi="Calibri"/>
          <w:b/>
          <w:bCs/>
          <w:color w:val="7B5BD6"/>
          <w:sz w:val="20"/>
          <w:szCs w:val="20"/>
        </w:rPr>
        <w:t xml:space="preserve">4   </w:t>
      </w:r>
      <w:r>
        <w:rPr>
          <w:rFonts w:ascii="Calibri" w:cs="Calibri" w:eastAsia="Calibri" w:hAnsi="Calibri"/>
          <w:b/>
          <w:bCs/>
          <w:color w:val="33465C"/>
          <w:spacing w:val="32"/>
          <w:sz w:val="20"/>
          <w:szCs w:val="20"/>
        </w:rPr>
        <w:t xml:space="preserve">O QUE AJUDA</w:t>
      </w:r>
    </w:p>
    <w:p>
      <w:pPr>
        <w:keepLines/>
        <w:spacing w:after="110" w:before="0" w:line="276" w:lineRule="auto"/>
        <w:jc w:val="left"/>
      </w:pPr>
      <w:r>
        <w:rPr>
          <w:rFonts w:ascii="Calibri" w:cs="Calibri" w:eastAsia="Calibri" w:hAnsi="Calibri"/>
          <w:color w:val="6E86A6"/>
          <w:sz w:val="22"/>
          <w:szCs w:val="22"/>
        </w:rPr>
        <w:t xml:space="preserve">Estão organizadas pelos momentos em que costumam ser precisas.</w:t>
      </w:r>
    </w:p>
    <w:p>
      <w:pPr>
        <w:keepNext/>
        <w:keepLines/>
        <w:spacing w:after="70" w:before="120" w:line="276" w:lineRule="auto"/>
        <w:jc w:val="left"/>
      </w:pPr>
      <w:r>
        <w:rPr>
          <w:rFonts w:ascii="Calibri" w:cs="Calibri" w:eastAsia="Calibri" w:hAnsi="Calibri"/>
          <w:b/>
          <w:bCs/>
          <w:color w:val="6E86A6"/>
          <w:sz w:val="20"/>
          <w:szCs w:val="20"/>
        </w:rPr>
        <w:t xml:space="preserve">Quando o animal está doente ou velho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Preparar com antecedência.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«O Tico está muito doente, e os veterinários acham que não vai melhorar.» Saber antes permite despedir-se.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Dar oportunidade de despedida, se a criança quiser: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um último mimo, uma fotografia, um desenho.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Se houver eutanásia, explicá-la com palavras simples: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«O veterinário vai dar-lhe um remédio para ele morrer sem dor, porque estava a sofrer e não ia melhorar.» Não dizer que «vai pô-lo a dormir».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Estar presente é uma escolha.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Os mais velhos podem querer estar antes ou depois; para os mais novos, em geral, basta a despedida antes. Ver o animal depois de morrer pode ajudar a perceber — se a criança quiser.</w:t>
      </w:r>
    </w:p>
    <w:p>
      <w:pPr>
        <w:keepNext/>
        <w:keepLines/>
        <w:spacing w:after="70" w:before="120" w:line="276" w:lineRule="auto"/>
        <w:jc w:val="left"/>
      </w:pPr>
      <w:r>
        <w:rPr>
          <w:rFonts w:ascii="Calibri" w:cs="Calibri" w:eastAsia="Calibri" w:hAnsi="Calibri"/>
          <w:b/>
          <w:bCs/>
          <w:color w:val="6E86A6"/>
          <w:sz w:val="20"/>
          <w:szCs w:val="20"/>
        </w:rPr>
        <w:t xml:space="preserve">Como dar a notícia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Cedo, por um adulto próximo, num sítio calmo.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Não deixar que a criança descubra sozinha ou por outras pessoas.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Usar a palavra «morreu».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Evitar «foi dormir» (pode trazer medo de adormecer), «fugiu» ou «foi para uma quinta» (deixam esperança e, quando a verdade aparece, desconfiança), e «perdemo-lo» (os mais novos podem querer ir procurá-lo).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«Virou uma estrelinha» só depois de «morreu».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Pode ser uma imagem de consolo, ou a forma de a família expressar as suas crenças. Mas, dita sozinha, os mais novos tomam-na à letra: procuram-no no céu ou esperam que volte. Primeiro diz-se que morreu e que o corpo deixou de funcionar; a imagem vem depois, se fizer sentido para a família.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Dizer como aconteceu, na medida da idade: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«Estava muito velho e o coração parou», «Estava muito doente», «Foi atropelado; foi muito rápido».</w:t>
      </w:r>
    </w:p>
    <w:p>
      <w:pPr>
        <w:keepNext/>
        <w:keepLines/>
        <w:spacing w:after="70" w:before="120" w:line="276" w:lineRule="auto"/>
        <w:jc w:val="left"/>
      </w:pPr>
      <w:r>
        <w:rPr>
          <w:rFonts w:ascii="Calibri" w:cs="Calibri" w:eastAsia="Calibri" w:hAnsi="Calibri"/>
          <w:b/>
          <w:bCs/>
          <w:color w:val="6E86A6"/>
          <w:sz w:val="20"/>
          <w:szCs w:val="20"/>
        </w:rPr>
        <w:t xml:space="preserve">A despedida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Um pequeno ritual ajuda a arrumar a perda: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enterrá-lo, onde for possível, plantar uma flor, fazer um desenho, escrever uma carta, dizer em voz alta do que se gostava nele.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Uma caixa de memórias: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a coleira, uma fotografia, um brinquedo. Fica guardada, e a criança pode voltar a ela quando quiser.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A criança participa se quiser, e como quiser.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Nem obrigar, nem afastar «para não sofrer».</w:t>
      </w:r>
    </w:p>
    <w:p>
      <w:pPr>
        <w:keepNext/>
        <w:keepLines/>
        <w:spacing w:after="70" w:before="120" w:line="276" w:lineRule="auto"/>
        <w:jc w:val="left"/>
      </w:pPr>
      <w:r>
        <w:rPr>
          <w:rFonts w:ascii="Calibri" w:cs="Calibri" w:eastAsia="Calibri" w:hAnsi="Calibri"/>
          <w:b/>
          <w:bCs/>
          <w:color w:val="6E86A6"/>
          <w:sz w:val="20"/>
          <w:szCs w:val="20"/>
        </w:rPr>
        <w:t xml:space="preserve">Nos dias e semanas seguintes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Falar do animal pelo nome, e das coisas boas.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Lembrar não faz mal; o silêncio é que ensina que não se pode falar.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Os adultos também podem mostrar tristeza.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«Também estou triste. Tenho saudades dele.» Mostra que a tristeza se atravessa.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Manter as rotinas e avisar a escola.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Um comentário da professora pode fazer diferença num dia difícil.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Não retirar tudo de uma vez.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A cama, a taça, os brinquedos: decidir com a criança o que se guarda e quando.</w:t>
      </w:r>
    </w:p>
    <w:p>
      <w:pPr>
        <w:pStyle w:val="ListParagraph"/>
        <w:keepLines/>
        <w:numPr>
          <w:ilvl w:val="0"/>
          <w:numId w:val="2"/>
        </w:numPr>
        <w:spacing w:after="14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Sobre outro animal, sem pressa.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Não para «tirar a tristeza», mas quando a família estiver pronta — e sabendo que não substitui o anterior.</w:t>
      </w:r>
    </w:p>
    <w:tbl>
      <w:tblPr>
        <w:tblW w:type="dxa" w:w="9866"/>
        <w:tblBorders>
          <w:top w:val="none" w:color="FFFFFF" w:sz="0"/>
          <w:left w:val="single" w:color="6E86A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single" w:color="6E86A6" w:sz="24"/>
              <w:bottom w:val="none" w:color="FFFFFF" w:sz="0"/>
              <w:right w:val="none" w:color="FFFFFF" w:sz="0"/>
            </w:tcBorders>
            <w:shd w:fill="F3F5F9" w:color="auto" w:val="clear"/>
            <w:tcMar>
              <w:top w:type="dxa" w:w="140"/>
              <w:left w:type="dxa" w:w="220"/>
              <w:bottom w:type="dxa" w:w="100"/>
              <w:right w:type="dxa" w:w="220"/>
            </w:tcMar>
          </w:tcPr>
          <w:p>
            <w:pPr>
              <w:keepNext/>
              <w:keepLines/>
              <w:spacing w:after="60" w:before="0" w:line="27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B5BD6"/>
                <w:spacing w:val="32"/>
                <w:sz w:val="16"/>
                <w:szCs w:val="16"/>
              </w:rPr>
              <w:t xml:space="preserve">CONFORME A IDADE</w:t>
            </w:r>
          </w:p>
          <w:p>
            <w:pPr>
              <w:keepLines/>
              <w:spacing w:after="70" w:before="0" w:line="27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20"/>
                <w:szCs w:val="20"/>
              </w:rPr>
              <w:t xml:space="preserve">Dos 3 aos 5 anos</w:t>
            </w:r>
            <w:r>
              <w:rPr>
                <w:rFonts w:ascii="Calibri" w:cs="Calibri" w:eastAsia="Calibri" w:hAnsi="Calibri"/>
                <w:color w:val="33465C"/>
                <w:sz w:val="20"/>
                <w:szCs w:val="20"/>
              </w:rPr>
              <w:t xml:space="preserve">, a morte ainda parece reversível. Vão repetir as mesmas perguntas; a resposta deve ser sempre igual, curta e concreta. O ritual e a caixa de memórias ajudam mais do que as explicações.</w:t>
            </w:r>
          </w:p>
          <w:p>
            <w:pPr>
              <w:keepLines/>
              <w:spacing w:after="70" w:before="0" w:line="27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20"/>
                <w:szCs w:val="20"/>
              </w:rPr>
              <w:t xml:space="preserve">Dos 6 aos 8 anos</w:t>
            </w:r>
            <w:r>
              <w:rPr>
                <w:rFonts w:ascii="Calibri" w:cs="Calibri" w:eastAsia="Calibri" w:hAnsi="Calibri"/>
                <w:color w:val="33465C"/>
                <w:sz w:val="20"/>
                <w:szCs w:val="20"/>
              </w:rPr>
              <w:t xml:space="preserve">, a criança começa a perceber que a morte é para todos. É a idade das perguntas sobre os pais e sobre si própria. Responder com verdade e segurança, sem prometer o impossível.</w:t>
            </w:r>
          </w:p>
          <w:p>
            <w:pPr>
              <w:keepLines/>
              <w:spacing w:after="20" w:before="0" w:line="27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20"/>
                <w:szCs w:val="20"/>
              </w:rPr>
              <w:t xml:space="preserve">Dos 9 aos 12 anos</w:t>
            </w:r>
            <w:r>
              <w:rPr>
                <w:rFonts w:ascii="Calibri" w:cs="Calibri" w:eastAsia="Calibri" w:hAnsi="Calibri"/>
                <w:color w:val="33465C"/>
                <w:sz w:val="20"/>
                <w:szCs w:val="20"/>
              </w:rPr>
              <w:t xml:space="preserve">, percebe a morte como os adultos e pode querer detalhes — o que aconteceu, se o animal sofreu, se se podia ter evitado. Pode esconder a tristeza, sobretudo na frente dos amigos. Convém dar-lhe um papel na despedida e espaço para falar em privado.</w:t>
            </w:r>
          </w:p>
        </w:tc>
      </w:tr>
    </w:tbl>
    <w:p>
      <w:pPr>
        <w:keepNext/>
        <w:keepLines/>
        <w:pBdr>
          <w:bottom w:val="single" w:color="E2E7EF" w:sz="6" w:space="4"/>
        </w:pBdr>
        <w:spacing w:after="130" w:before="250"/>
      </w:pPr>
      <w:r>
        <w:rPr>
          <w:rFonts w:ascii="Calibri" w:cs="Calibri" w:eastAsia="Calibri" w:hAnsi="Calibri"/>
          <w:b/>
          <w:bCs/>
          <w:color w:val="7B5BD6"/>
          <w:sz w:val="20"/>
          <w:szCs w:val="20"/>
        </w:rPr>
        <w:t xml:space="preserve">5   </w:t>
      </w:r>
      <w:r>
        <w:rPr>
          <w:rFonts w:ascii="Calibri" w:cs="Calibri" w:eastAsia="Calibri" w:hAnsi="Calibri"/>
          <w:b/>
          <w:bCs/>
          <w:color w:val="33465C"/>
          <w:spacing w:val="32"/>
          <w:sz w:val="20"/>
          <w:szCs w:val="20"/>
        </w:rPr>
        <w:t xml:space="preserve">O QUE COSTUMA NÃO RESULTAR, E PORQUÊ</w:t>
      </w:r>
    </w:p>
    <w:p>
      <w:pPr>
        <w:keepLines/>
        <w:spacing w:after="110" w:before="0" w:line="276" w:lineRule="auto"/>
        <w:jc w:val="left"/>
      </w:pPr>
      <w:r>
        <w:rPr>
          <w:rFonts w:ascii="Calibri" w:cs="Calibri" w:eastAsia="Calibri" w:hAnsi="Calibri"/>
          <w:color w:val="6E86A6"/>
          <w:sz w:val="22"/>
          <w:szCs w:val="22"/>
        </w:rPr>
        <w:t xml:space="preserve">São respostas compreensíveis quando se quer poupar a criança. O problema não está na intenção, mas no efeito que costumam ter.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Os eufemismos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— «foi dormir», «fugiu», «foi para uma quinta». Confundem, criam esperança de regresso e, por vezes, medos novos.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Esconder a morte ou inventar um desaparecimento.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A criança acaba por saber, e aprende que sobre estas coisas não se diz a verdade.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Relativizar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— «era só um gato», «arranjamos outro». Ensina que a tristeza dela não conta.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Substituir o animal de imediato.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Passa a mensagem de que quem se ama é substituível, e interrompe a despedida.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Afastar a criança de tudo «para não sofrer».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Fica sozinha com a perda, sem ter onde a pôr.</w:t>
      </w:r>
    </w:p>
    <w:p>
      <w:pPr>
        <w:keepNext/>
        <w:keepLines/>
        <w:pBdr>
          <w:bottom w:val="single" w:color="E2E7EF" w:sz="6" w:space="4"/>
        </w:pBdr>
        <w:spacing w:after="130" w:before="250"/>
      </w:pPr>
      <w:r>
        <w:rPr>
          <w:rFonts w:ascii="Calibri" w:cs="Calibri" w:eastAsia="Calibri" w:hAnsi="Calibri"/>
          <w:b/>
          <w:bCs/>
          <w:color w:val="7B5BD6"/>
          <w:sz w:val="20"/>
          <w:szCs w:val="20"/>
        </w:rPr>
        <w:t xml:space="preserve">6   </w:t>
      </w:r>
      <w:r>
        <w:rPr>
          <w:rFonts w:ascii="Calibri" w:cs="Calibri" w:eastAsia="Calibri" w:hAnsi="Calibri"/>
          <w:b/>
          <w:bCs/>
          <w:color w:val="33465C"/>
          <w:spacing w:val="32"/>
          <w:sz w:val="20"/>
          <w:szCs w:val="20"/>
        </w:rPr>
        <w:t xml:space="preserve">DOIS EXEMPLOS</w:t>
      </w:r>
    </w:p>
    <w:tbl>
      <w:tblPr>
        <w:tblW w:type="dxa" w:w="9866"/>
        <w:tblBorders>
          <w:top w:val="none" w:color="FFFFFF" w:sz="0"/>
          <w:left w:val="single" w:color="6E86A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single" w:color="6E86A6" w:sz="24"/>
              <w:bottom w:val="none" w:color="FFFFFF" w:sz="0"/>
              <w:right w:val="none" w:color="FFFFFF" w:sz="0"/>
            </w:tcBorders>
            <w:shd w:fill="F3F5F9" w:color="auto" w:val="clear"/>
            <w:tcMar>
              <w:top w:type="dxa" w:w="140"/>
              <w:left w:type="dxa" w:w="220"/>
              <w:bottom w:type="dxa" w:w="100"/>
              <w:right w:type="dxa" w:w="220"/>
            </w:tcMar>
          </w:tcPr>
          <w:p>
            <w:pPr>
              <w:keepLines/>
              <w:spacing w:after="110" w:before="0" w:line="276" w:lineRule="auto"/>
              <w:jc w:val="left"/>
            </w:pPr>
            <w:r>
              <w:rPr>
                <w:rFonts w:ascii="Calibri" w:cs="Calibri" w:eastAsia="Calibri" w:hAnsi="Calibri"/>
                <w:color w:val="33465C"/>
                <w:sz w:val="20"/>
                <w:szCs w:val="20"/>
              </w:rPr>
              <w:t xml:space="preserve">A Matilde tem quatro anos. O coelho morreu durante a noite, e ela encontra a gaiola vazia de manhã.</w:t>
            </w:r>
          </w:p>
          <w:p>
            <w:pPr>
              <w:keepLines/>
              <w:spacing w:after="110" w:before="0" w:line="27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20"/>
                <w:szCs w:val="20"/>
              </w:rPr>
              <w:t xml:space="preserve">O que é fácil fazer:</w:t>
            </w:r>
            <w:r>
              <w:rPr>
                <w:rFonts w:ascii="Calibri" w:cs="Calibri" w:eastAsia="Calibri" w:hAnsi="Calibri"/>
                <w:color w:val="33465C"/>
                <w:sz w:val="20"/>
                <w:szCs w:val="20"/>
              </w:rPr>
              <w:t xml:space="preserve"> dizer que «o coelho fugiu», para não a pôr triste antes da escola.</w:t>
            </w:r>
          </w:p>
          <w:p>
            <w:pPr>
              <w:keepLines/>
              <w:spacing w:after="140" w:before="0" w:line="27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20"/>
                <w:szCs w:val="20"/>
              </w:rPr>
              <w:t xml:space="preserve">O que se pode fazer:</w:t>
            </w:r>
            <w:r>
              <w:rPr>
                <w:rFonts w:ascii="Calibri" w:cs="Calibri" w:eastAsia="Calibri" w:hAnsi="Calibri"/>
                <w:color w:val="33465C"/>
                <w:sz w:val="20"/>
                <w:szCs w:val="20"/>
              </w:rPr>
              <w:t xml:space="preserve"> sentar-se com ela e dizer: «O Pompom morreu esta noite. Estava velhinho e o corpo dele parou de funcionar. Não vai voltar.» À tarde, enterram-no num vaso grande da varanda e ela faz um desenho para pôr ao lado. Nos dias seguintes pergunta muitas vezes quando ele volta — e a resposta é sempre a mesma.</w:t>
            </w:r>
          </w:p>
          <w:p>
            <w:pPr>
              <w:keepLines/>
              <w:spacing w:after="110" w:before="0" w:line="276" w:lineRule="auto"/>
              <w:jc w:val="left"/>
            </w:pPr>
            <w:r>
              <w:rPr>
                <w:rFonts w:ascii="Calibri" w:cs="Calibri" w:eastAsia="Calibri" w:hAnsi="Calibri"/>
                <w:color w:val="33465C"/>
                <w:sz w:val="20"/>
                <w:szCs w:val="20"/>
              </w:rPr>
              <w:t xml:space="preserve">O Rodrigo tem nove anos. O cão, que tem a idade dele, está muito doente, e o veterinário propõe a eutanásia.</w:t>
            </w:r>
          </w:p>
          <w:p>
            <w:pPr>
              <w:keepLines/>
              <w:spacing w:after="110" w:before="0" w:line="27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20"/>
                <w:szCs w:val="20"/>
              </w:rPr>
              <w:t xml:space="preserve">O que é fácil fazer:</w:t>
            </w:r>
            <w:r>
              <w:rPr>
                <w:rFonts w:ascii="Calibri" w:cs="Calibri" w:eastAsia="Calibri" w:hAnsi="Calibri"/>
                <w:color w:val="33465C"/>
                <w:sz w:val="20"/>
                <w:szCs w:val="20"/>
              </w:rPr>
              <w:t xml:space="preserve"> tratar de tudo enquanto ele está na escola e contar-lhe depois.</w:t>
            </w:r>
          </w:p>
          <w:p>
            <w:pPr>
              <w:keepLines/>
              <w:spacing w:after="60" w:before="0" w:line="27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20"/>
                <w:szCs w:val="20"/>
              </w:rPr>
              <w:t xml:space="preserve">O que se pode fazer:</w:t>
            </w:r>
            <w:r>
              <w:rPr>
                <w:rFonts w:ascii="Calibri" w:cs="Calibri" w:eastAsia="Calibri" w:hAnsi="Calibri"/>
                <w:color w:val="33465C"/>
                <w:sz w:val="20"/>
                <w:szCs w:val="20"/>
              </w:rPr>
              <w:t xml:space="preserve"> explicar-lhe antes o que vai acontecer e porquê, e perguntar-lhe como se quer despedir. Ele escolhe passar a tarde com o cão e escrever-lhe uma carta, que vai com ele. Ao jantar, a família recorda as histórias do cão, e o Rodrigo guarda a coleira na caixa de memórias.</w:t>
            </w:r>
          </w:p>
          <w:p>
            <w:pPr>
              <w:keepLines/>
              <w:spacing w:after="20" w:before="0" w:line="276" w:lineRule="auto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E86A6"/>
                <w:sz w:val="16"/>
                <w:szCs w:val="16"/>
              </w:rPr>
              <w:t xml:space="preserve">Exemplos construídos para este guia; não descrevem crianças reais.</w:t>
            </w:r>
          </w:p>
        </w:tc>
      </w:tr>
    </w:tbl>
    <w:p>
      <w:pPr>
        <w:keepNext/>
        <w:keepLines/>
        <w:pBdr>
          <w:bottom w:val="single" w:color="E2E7EF" w:sz="6" w:space="4"/>
        </w:pBdr>
        <w:spacing w:after="130" w:before="250"/>
      </w:pPr>
      <w:r>
        <w:rPr>
          <w:rFonts w:ascii="Calibri" w:cs="Calibri" w:eastAsia="Calibri" w:hAnsi="Calibri"/>
          <w:b/>
          <w:bCs/>
          <w:color w:val="7B5BD6"/>
          <w:sz w:val="20"/>
          <w:szCs w:val="20"/>
        </w:rPr>
        <w:t xml:space="preserve">7   </w:t>
      </w:r>
      <w:r>
        <w:rPr>
          <w:rFonts w:ascii="Calibri" w:cs="Calibri" w:eastAsia="Calibri" w:hAnsi="Calibri"/>
          <w:b/>
          <w:bCs/>
          <w:color w:val="33465C"/>
          <w:spacing w:val="32"/>
          <w:sz w:val="20"/>
          <w:szCs w:val="20"/>
        </w:rPr>
        <w:t xml:space="preserve">E OS ADULTOS</w:t>
      </w:r>
    </w:p>
    <w:p>
      <w:pPr>
        <w:keepLines/>
        <w:spacing w:after="110" w:before="0" w:line="276" w:lineRule="auto"/>
        <w:jc w:val="left"/>
      </w:pPr>
      <w:r>
        <w:rPr>
          <w:rFonts w:ascii="Calibri" w:cs="Calibri" w:eastAsia="Calibri" w:hAnsi="Calibri"/>
          <w:color w:val="33465C"/>
          <w:sz w:val="22"/>
          <w:szCs w:val="22"/>
        </w:rPr>
        <w:t xml:space="preserve">A morte de um animal também dói aos adultos, e às vezes vem com culpa — sobretudo quando foi preciso decidir a eutanásia. Não é preciso esconder a tristeza da criança. Ver um adulto triste, que fala do que sente e continua a cuidar dela, é das coisas que mais a ensinam a atravessar uma perda.</w:t>
      </w:r>
    </w:p>
    <w:p>
      <w:pPr>
        <w:keepLines/>
        <w:spacing w:after="110" w:before="0" w:line="276" w:lineRule="auto"/>
        <w:jc w:val="left"/>
      </w:pPr>
      <w:r>
        <w:rPr>
          <w:rFonts w:ascii="Calibri" w:cs="Calibri" w:eastAsia="Calibri" w:hAnsi="Calibri"/>
          <w:color w:val="33465C"/>
          <w:sz w:val="22"/>
          <w:szCs w:val="22"/>
        </w:rPr>
        <w:t xml:space="preserve">Se a tristeza do adulto se prolongar muito ou se misturar com outras perdas, vale a pena procurar apoio também para si.</w:t>
      </w:r>
    </w:p>
    <w:p>
      <w:pPr>
        <w:keepNext/>
        <w:keepLines/>
        <w:pBdr>
          <w:bottom w:val="single" w:color="E2E7EF" w:sz="6" w:space="4"/>
        </w:pBdr>
        <w:spacing w:after="130" w:before="250"/>
      </w:pPr>
      <w:r>
        <w:rPr>
          <w:rFonts w:ascii="Calibri" w:cs="Calibri" w:eastAsia="Calibri" w:hAnsi="Calibri"/>
          <w:b/>
          <w:bCs/>
          <w:color w:val="7B5BD6"/>
          <w:sz w:val="20"/>
          <w:szCs w:val="20"/>
        </w:rPr>
        <w:t xml:space="preserve">8   </w:t>
      </w:r>
      <w:r>
        <w:rPr>
          <w:rFonts w:ascii="Calibri" w:cs="Calibri" w:eastAsia="Calibri" w:hAnsi="Calibri"/>
          <w:b/>
          <w:bCs/>
          <w:color w:val="33465C"/>
          <w:spacing w:val="32"/>
          <w:sz w:val="20"/>
          <w:szCs w:val="20"/>
        </w:rPr>
        <w:t xml:space="preserve">SINAIS DE ALERTA E QUANDO PROCURAR AJUDA</w:t>
      </w:r>
    </w:p>
    <w:p>
      <w:pPr>
        <w:keepNext/>
        <w:keepLines/>
        <w:spacing w:after="140" w:before="0" w:line="276" w:lineRule="auto"/>
        <w:jc w:val="left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Não precisa de esperar que piore.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O que a tabela assinala como esperado é comum nas primeiras semanas e tende a atenuar-se — mesmo que volte, às vezes, em datas ou momentos especiais. O que justifica pedir ajuda é a persistência, a intensidade e o alastramento a outras áreas.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83"/>
        <w:gridCol w:w="3983"/>
      </w:tblGrid>
      <w:tr>
        <w:trPr>
          <w:cantSplit/>
          <w:tblHeader/>
        </w:trPr>
        <w:tc>
          <w:tcPr>
            <w:tcW w:type="dxa" w:w="19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</w:p>
        </w:tc>
        <w:tc>
          <w:tcPr>
            <w:tcW w:type="dxa" w:w="3983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E6F5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0E7C6F"/>
                <w:sz w:val="15"/>
                <w:szCs w:val="15"/>
              </w:rPr>
              <w:t xml:space="preserve">ESPERADO NAS PRIMEIRAS SEMANAS</w:t>
            </w:r>
          </w:p>
        </w:tc>
        <w:tc>
          <w:tcPr>
            <w:tcW w:type="dxa" w:w="3983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CEE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B8325A"/>
                <w:sz w:val="15"/>
                <w:szCs w:val="15"/>
              </w:rPr>
              <w:t xml:space="preserve">JUSTIFICA PROCURAR AJUDA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8"/>
                <w:szCs w:val="18"/>
              </w:rPr>
              <w:t xml:space="preserve">Tristeza</w:t>
            </w:r>
          </w:p>
        </w:tc>
        <w:tc>
          <w:tcPr>
            <w:tcW w:type="dxa" w:w="3983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8"/>
                <w:szCs w:val="18"/>
              </w:rPr>
              <w:t xml:space="preserve">Choro em ondas; saudades; momentos de tristeza ao lembrar.</w:t>
            </w:r>
          </w:p>
        </w:tc>
        <w:tc>
          <w:tcPr>
            <w:tcW w:type="dxa" w:w="3983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8"/>
                <w:szCs w:val="18"/>
              </w:rPr>
              <w:t xml:space="preserve">Tristeza na maior parte dos dias, que se mantém ao fim de várias semanas; perda de interesse no que gostava.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8"/>
                <w:szCs w:val="18"/>
              </w:rPr>
              <w:t xml:space="preserve">Sono</w:t>
            </w:r>
          </w:p>
        </w:tc>
        <w:tc>
          <w:tcPr>
            <w:tcW w:type="dxa" w:w="3983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8"/>
                <w:szCs w:val="18"/>
              </w:rPr>
              <w:t xml:space="preserve">Dificuldade em adormecer nos primeiros dias; pedir companhia.</w:t>
            </w:r>
          </w:p>
        </w:tc>
        <w:tc>
          <w:tcPr>
            <w:tcW w:type="dxa" w:w="3983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8"/>
                <w:szCs w:val="18"/>
              </w:rPr>
              <w:t xml:space="preserve">Medo persistente de adormecer, ou pesadelos frequentes que não passam.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8"/>
                <w:szCs w:val="18"/>
              </w:rPr>
              <w:t xml:space="preserve">Medos</w:t>
            </w:r>
          </w:p>
        </w:tc>
        <w:tc>
          <w:tcPr>
            <w:tcW w:type="dxa" w:w="3983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8"/>
                <w:szCs w:val="18"/>
              </w:rPr>
              <w:t xml:space="preserve">Perguntas sobre a morte dos pais ou a sua.</w:t>
            </w:r>
          </w:p>
        </w:tc>
        <w:tc>
          <w:tcPr>
            <w:tcW w:type="dxa" w:w="3983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8"/>
                <w:szCs w:val="18"/>
              </w:rPr>
              <w:t xml:space="preserve">Medo intenso e persistente de que alguém morra; não conseguir separar-se dos pais.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8"/>
                <w:szCs w:val="18"/>
              </w:rPr>
              <w:t xml:space="preserve">Culpa</w:t>
            </w:r>
          </w:p>
        </w:tc>
        <w:tc>
          <w:tcPr>
            <w:tcW w:type="dxa" w:w="3983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8"/>
                <w:szCs w:val="18"/>
              </w:rPr>
              <w:t xml:space="preserve">Dizer que a culpa foi sua.</w:t>
            </w:r>
          </w:p>
        </w:tc>
        <w:tc>
          <w:tcPr>
            <w:tcW w:type="dxa" w:w="3983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8"/>
                <w:szCs w:val="18"/>
              </w:rPr>
              <w:t xml:space="preserve">Culpa que se mantém e não cede à explicação.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8"/>
                <w:szCs w:val="18"/>
              </w:rPr>
              <w:t xml:space="preserve">Brincadeira</w:t>
            </w:r>
          </w:p>
        </w:tc>
        <w:tc>
          <w:tcPr>
            <w:tcW w:type="dxa" w:w="3983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8"/>
                <w:szCs w:val="18"/>
              </w:rPr>
              <w:t xml:space="preserve">Brincar a enterros, a veterinários, desenhar o animal.</w:t>
            </w:r>
          </w:p>
        </w:tc>
        <w:tc>
          <w:tcPr>
            <w:tcW w:type="dxa" w:w="3983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8"/>
                <w:szCs w:val="18"/>
              </w:rPr>
              <w:t xml:space="preserve">Brincadeira sempre igual e angustiada, que não traz alívio; ou deixar de brincar.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8"/>
                <w:szCs w:val="18"/>
              </w:rPr>
              <w:t xml:space="preserve">Corpo</w:t>
            </w:r>
          </w:p>
        </w:tc>
        <w:tc>
          <w:tcPr>
            <w:tcW w:type="dxa" w:w="3983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8"/>
                <w:szCs w:val="18"/>
              </w:rPr>
              <w:t xml:space="preserve">Queixas vagas pontuais.</w:t>
            </w:r>
          </w:p>
        </w:tc>
        <w:tc>
          <w:tcPr>
            <w:tcW w:type="dxa" w:w="3983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8"/>
                <w:szCs w:val="18"/>
              </w:rPr>
              <w:t xml:space="preserve">Queixas físicas repetidas — dores de barriga, de cabeça — sem causa encontrada.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8"/>
                <w:szCs w:val="18"/>
              </w:rPr>
              <w:t xml:space="preserve">Escola</w:t>
            </w:r>
          </w:p>
        </w:tc>
        <w:tc>
          <w:tcPr>
            <w:tcW w:type="dxa" w:w="3983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8"/>
                <w:szCs w:val="18"/>
              </w:rPr>
              <w:t xml:space="preserve">Alguma distração nos primeiros dias.</w:t>
            </w:r>
          </w:p>
        </w:tc>
        <w:tc>
          <w:tcPr>
            <w:tcW w:type="dxa" w:w="3983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8"/>
                <w:szCs w:val="18"/>
              </w:rPr>
              <w:t xml:space="preserve">Quebra no rendimento, isolamento, recusa em ir.</w:t>
            </w:r>
          </w:p>
        </w:tc>
      </w:tr>
    </w:tbl>
    <w:p>
      <w:pPr>
        <w:keepNext/>
        <w:keepLines/>
        <w:spacing w:after="70" w:before="200" w:line="276" w:lineRule="auto"/>
        <w:jc w:val="left"/>
      </w:pPr>
      <w:r>
        <w:rPr>
          <w:rFonts w:ascii="Calibri" w:cs="Calibri" w:eastAsia="Calibri" w:hAnsi="Calibri"/>
          <w:b/>
          <w:bCs/>
          <w:color w:val="6E86A6"/>
          <w:sz w:val="20"/>
          <w:szCs w:val="20"/>
        </w:rPr>
        <w:t xml:space="preserve">A quem recorrer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Ao psicólogo,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quando os sinais se mantêm ou se intensificam, quando a perda se junta a outras — uma separação, uma mudança de casa, a morte de alguém da família —, ou quando a criança assistiu a uma morte traumática, como um atropelamento. Também quando os pais simplesmente sentem que precisam de orientação.</w:t>
      </w:r>
    </w:p>
    <w:p>
      <w:pPr>
        <w:pStyle w:val="ListParagraph"/>
        <w:keepLines/>
        <w:numPr>
          <w:ilvl w:val="0"/>
          <w:numId w:val="2"/>
        </w:numPr>
        <w:spacing w:after="14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Ao pediatra ou ao médico de família,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se houver queixas físicas persistentes.</w:t>
      </w:r>
    </w:p>
    <w:p>
      <w:pPr>
        <w:keepLines/>
        <w:spacing w:after="110" w:before="0" w:line="276" w:lineRule="auto"/>
        <w:jc w:val="left"/>
      </w:pPr>
      <w:r>
        <w:rPr>
          <w:rFonts w:ascii="Calibri" w:cs="Calibri" w:eastAsia="Calibri" w:hAnsi="Calibri"/>
          <w:color w:val="6E86A6"/>
          <w:sz w:val="19"/>
          <w:szCs w:val="19"/>
        </w:rPr>
        <w:t xml:space="preserve">As consultas de psicologia pediátrica decorrem no CNS — Campus Neurológico, em Torres Vedras, e são marcadas pelos canais da instituição.</w:t>
      </w:r>
    </w:p>
    <w:p>
      <w:pPr>
        <w:keepNext/>
        <w:keepLines/>
        <w:pBdr>
          <w:bottom w:val="single" w:color="E2E7EF" w:sz="6" w:space="4"/>
        </w:pBdr>
        <w:spacing w:after="130" w:before="250"/>
      </w:pPr>
      <w:r>
        <w:rPr>
          <w:rFonts w:ascii="Calibri" w:cs="Calibri" w:eastAsia="Calibri" w:hAnsi="Calibri"/>
          <w:b/>
          <w:bCs/>
          <w:color w:val="7B5BD6"/>
          <w:sz w:val="20"/>
          <w:szCs w:val="20"/>
        </w:rPr>
        <w:t xml:space="preserve">9   </w:t>
      </w:r>
      <w:r>
        <w:rPr>
          <w:rFonts w:ascii="Calibri" w:cs="Calibri" w:eastAsia="Calibri" w:hAnsi="Calibri"/>
          <w:b/>
          <w:bCs/>
          <w:color w:val="33465C"/>
          <w:spacing w:val="32"/>
          <w:sz w:val="20"/>
          <w:szCs w:val="20"/>
        </w:rPr>
        <w:t xml:space="preserve">PARA SABER MAIS</w:t>
      </w:r>
    </w:p>
    <w:p>
      <w:pPr>
        <w:keepNext/>
        <w:keepLines/>
        <w:spacing w:after="80" w:before="0" w:line="276" w:lineRule="auto"/>
        <w:jc w:val="left"/>
      </w:pPr>
      <w:r>
        <w:rPr>
          <w:rFonts w:ascii="Calibri" w:cs="Calibri" w:eastAsia="Calibri" w:hAnsi="Calibri"/>
          <w:b/>
          <w:bCs/>
          <w:color w:val="7B5BD6"/>
          <w:spacing w:val="32"/>
          <w:sz w:val="16"/>
          <w:szCs w:val="16"/>
        </w:rPr>
        <w:t xml:space="preserve">PARA LER COM A CRIANÇA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50"/>
        <w:gridCol w:w="8616"/>
      </w:tblGrid>
      <w:tr>
        <w:trPr>
          <w:cantSplit/>
        </w:trP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100"/>
              <w:right w:type="dxa" w:w="120"/>
            </w:tcMar>
          </w:tcPr>
          <w:p>
            <w:r>
              <w:drawing>
                <wp:inline distT="0" distB="0" distL="0" distR="0">
                  <wp:extent cx="609600" cy="857250"/>
                  <wp:effectExtent t="0" r="0" b="0" l="0"/>
                  <wp:docPr id="1" name="capa" descr="Capa do livro A árvore das recordações" title="Cap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7B5BD6"/>
                <w:spacing w:val="24"/>
                <w:sz w:val="14"/>
                <w:szCs w:val="14"/>
              </w:rPr>
              <w:t xml:space="preserve">A PARTIR DOS 3 ANOS* · LIDO PELO ADULTO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33465C"/>
                <w:sz w:val="20"/>
                <w:szCs w:val="20"/>
              </w:rPr>
              <w:t xml:space="preserve">A árvore das recordações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E86A6"/>
                <w:sz w:val="17"/>
                <w:szCs w:val="17"/>
              </w:rPr>
              <w:t xml:space="preserve">Britta Teckentrup · Edicare, 2018</w:t>
            </w:r>
          </w:p>
          <w:p>
            <w:pPr>
              <w:spacing w:after="0" w:line="256" w:lineRule="auto"/>
            </w:pPr>
            <w:r>
              <w:rPr>
                <w:rFonts w:ascii="Calibri" w:cs="Calibri" w:eastAsia="Calibri" w:hAnsi="Calibri"/>
                <w:color w:val="33465C"/>
                <w:sz w:val="19"/>
                <w:szCs w:val="19"/>
              </w:rPr>
              <w:t xml:space="preserve">A raposa morre na floresta, e os amigos juntam-se para contar as memórias que têm dela. Fala da morte e de recordar quem se perdeu, com uma delicadeza que serve bem os mais novos.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100"/>
              <w:right w:type="dxa" w:w="120"/>
            </w:tcMar>
          </w:tcPr>
          <w:p>
            <w:r>
              <w:drawing>
                <wp:inline distT="0" distB="0" distL="0" distR="0">
                  <wp:extent cx="609600" cy="857250"/>
                  <wp:effectExtent t="0" r="0" b="0" l="0"/>
                  <wp:docPr id="1" name="capa" descr="Capa do livro Um gato tem 7 vidas" title="Cap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7B5BD6"/>
                <w:spacing w:val="24"/>
                <w:sz w:val="14"/>
                <w:szCs w:val="14"/>
              </w:rPr>
              <w:t xml:space="preserve">2.º ANO (PLANO NACIONAL DE LEITURA) · LEITURA PARTILHADA OU AUTÓNOMA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33465C"/>
                <w:sz w:val="20"/>
                <w:szCs w:val="20"/>
              </w:rPr>
              <w:t xml:space="preserve">Um gato tem 7 vidas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E86A6"/>
                <w:sz w:val="17"/>
                <w:szCs w:val="17"/>
              </w:rPr>
              <w:t xml:space="preserve">Luísa Ducla Soares, ilustrações de Francisco Cunha · Civilização Editora, 2011</w:t>
            </w:r>
          </w:p>
          <w:p>
            <w:pPr>
              <w:spacing w:after="0" w:line="256" w:lineRule="auto"/>
            </w:pPr>
            <w:r>
              <w:rPr>
                <w:rFonts w:ascii="Calibri" w:cs="Calibri" w:eastAsia="Calibri" w:hAnsi="Calibri"/>
                <w:color w:val="33465C"/>
                <w:sz w:val="19"/>
                <w:szCs w:val="19"/>
              </w:rPr>
              <w:t xml:space="preserve">Um gato vai gastando as suas sete vidas à medida que cresce. Uma autora portuguesa fala da vida e da morte com ternura — bom para abrir a conversa com quem já pergunta porque é que os animais morrem.</w:t>
            </w:r>
          </w:p>
        </w:tc>
      </w:tr>
    </w:tbl>
    <w:p>
      <w:pPr>
        <w:keepNext/>
        <w:keepLines/>
        <w:spacing w:after="80" w:before="80" w:line="276" w:lineRule="auto"/>
        <w:jc w:val="left"/>
      </w:pPr>
      <w:r>
        <w:rPr>
          <w:rFonts w:ascii="Calibri" w:cs="Calibri" w:eastAsia="Calibri" w:hAnsi="Calibri"/>
          <w:b/>
          <w:bCs/>
          <w:color w:val="7B5BD6"/>
          <w:spacing w:val="32"/>
          <w:sz w:val="16"/>
          <w:szCs w:val="16"/>
        </w:rPr>
        <w:t xml:space="preserve">PARA OS PAIS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50"/>
        <w:gridCol w:w="8616"/>
      </w:tblGrid>
      <w:tr>
        <w:trPr>
          <w:cantSplit/>
        </w:trP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100"/>
              <w:right w:type="dxa" w:w="120"/>
            </w:tcMar>
          </w:tcPr>
          <w:p>
            <w:r>
              <w:drawing>
                <wp:inline distT="0" distB="0" distL="0" distR="0">
                  <wp:extent cx="609600" cy="857250"/>
                  <wp:effectExtent t="0" r="0" b="0" l="0"/>
                  <wp:docPr id="1" name="capa" descr="Capa do livro O luto por um animal de estimação" title="Cap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7B5BD6"/>
                <w:spacing w:val="24"/>
                <w:sz w:val="14"/>
                <w:szCs w:val="14"/>
              </w:rPr>
              <w:t xml:space="preserve">ADULTOS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33465C"/>
                <w:sz w:val="20"/>
                <w:szCs w:val="20"/>
              </w:rPr>
              <w:t xml:space="preserve">O luto por um animal de estimação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E86A6"/>
                <w:sz w:val="17"/>
                <w:szCs w:val="17"/>
              </w:rPr>
              <w:t xml:space="preserve">Millie Jacobs · Edições Asa, 2022</w:t>
            </w:r>
          </w:p>
          <w:p>
            <w:pPr>
              <w:spacing w:after="0" w:line="256" w:lineRule="auto"/>
            </w:pPr>
            <w:r>
              <w:rPr>
                <w:rFonts w:ascii="Calibri" w:cs="Calibri" w:eastAsia="Calibri" w:hAnsi="Calibri"/>
                <w:color w:val="33465C"/>
                <w:sz w:val="19"/>
                <w:szCs w:val="19"/>
              </w:rPr>
              <w:t xml:space="preserve">Um guia para quem perdeu um animal, escrito por uma terapeuta especializada em luto, com um capítulo dedicado às crianças. Útil também para o próprio luto dos adultos.</w:t>
            </w:r>
          </w:p>
        </w:tc>
      </w:tr>
    </w:tbl>
    <w:p>
      <w:pPr>
        <w:keepLines/>
        <w:spacing w:after="120" w:before="0" w:line="276" w:lineRule="auto"/>
        <w:jc w:val="left"/>
      </w:pPr>
      <w:r>
        <w:rPr>
          <w:rFonts w:ascii="Calibri" w:cs="Calibri" w:eastAsia="Calibri" w:hAnsi="Calibri"/>
          <w:i/>
          <w:iCs/>
          <w:color w:val="6E86A6"/>
          <w:sz w:val="17"/>
          <w:szCs w:val="17"/>
        </w:rPr>
        <w:t xml:space="preserve">* Idade indicativa, estimada a partir do formato e do conteúdo; a outra idade segue o Plano Nacional de Leitura. Algumas edições podem estar esgotadas, mas existem, em geral, nas bibliotecas municipais.</w:t>
      </w:r>
    </w:p>
    <w:p>
      <w:pPr>
        <w:keepNext/>
        <w:keepLines/>
        <w:spacing w:after="60" w:before="60" w:line="276" w:lineRule="auto"/>
        <w:jc w:val="left"/>
      </w:pPr>
      <w:r>
        <w:rPr>
          <w:rFonts w:ascii="Calibri" w:cs="Calibri" w:eastAsia="Calibri" w:hAnsi="Calibri"/>
          <w:b/>
          <w:bCs/>
          <w:color w:val="6E86A6"/>
          <w:spacing w:val="32"/>
          <w:sz w:val="16"/>
          <w:szCs w:val="16"/>
        </w:rPr>
        <w:t xml:space="preserve">REFERÊNCIAS</w:t>
      </w:r>
    </w:p>
    <w:p>
      <w:pPr>
        <w:keepLines/>
        <w:spacing w:after="70" w:line="252"/>
        <w:ind w:left="400" w:hanging="400"/>
      </w:pPr>
      <w:r>
        <w:rPr>
          <w:rFonts w:ascii="Calibri" w:cs="Calibri" w:eastAsia="Calibri" w:hAnsi="Calibri"/>
          <w:i w:val="false"/>
          <w:iCs w:val="false"/>
          <w:color w:val="33465C"/>
          <w:sz w:val="17"/>
          <w:szCs w:val="17"/>
        </w:rPr>
        <w:t xml:space="preserve">Crawford, K. M., Zhu, Y., Davis, K. A., Ernst, S., Jacobsson, K., Nishimi, K., Smith, A. D. A. C., &amp; Dunn, E. C. (2021). The mental health effects of pet death during childhood: Is it better to have loved and lost than never to have loved at all? </w:t>
      </w:r>
      <w:r>
        <w:rPr>
          <w:rFonts w:ascii="Calibri" w:cs="Calibri" w:eastAsia="Calibri" w:hAnsi="Calibri"/>
          <w:i/>
          <w:iCs/>
          <w:color w:val="33465C"/>
          <w:sz w:val="17"/>
          <w:szCs w:val="17"/>
        </w:rPr>
        <w:t xml:space="preserve">European Child &amp; Adolescent Psychiatry</w:t>
      </w:r>
      <w:r>
        <w:rPr>
          <w:rFonts w:ascii="Calibri" w:cs="Calibri" w:eastAsia="Calibri" w:hAnsi="Calibri"/>
          <w:i w:val="false"/>
          <w:iCs w:val="false"/>
          <w:color w:val="33465C"/>
          <w:sz w:val="17"/>
          <w:szCs w:val="17"/>
        </w:rPr>
        <w:t xml:space="preserve">, </w:t>
      </w:r>
      <w:r>
        <w:rPr>
          <w:rFonts w:ascii="Calibri" w:cs="Calibri" w:eastAsia="Calibri" w:hAnsi="Calibri"/>
          <w:i/>
          <w:iCs/>
          <w:color w:val="33465C"/>
          <w:sz w:val="17"/>
          <w:szCs w:val="17"/>
        </w:rPr>
        <w:t xml:space="preserve">30</w:t>
      </w:r>
      <w:r>
        <w:rPr>
          <w:rFonts w:ascii="Calibri" w:cs="Calibri" w:eastAsia="Calibri" w:hAnsi="Calibri"/>
          <w:i w:val="false"/>
          <w:iCs w:val="false"/>
          <w:color w:val="33465C"/>
          <w:sz w:val="17"/>
          <w:szCs w:val="17"/>
        </w:rPr>
        <w:t xml:space="preserve">(10), 1547–1558. https://doi.org/10.1007/s00787-020-01594-5</w:t>
      </w:r>
    </w:p>
    <w:p>
      <w:pPr>
        <w:keepLines/>
        <w:spacing w:after="70" w:line="252"/>
        <w:ind w:left="400" w:hanging="400"/>
      </w:pPr>
      <w:r>
        <w:rPr>
          <w:rFonts w:ascii="Calibri" w:cs="Calibri" w:eastAsia="Calibri" w:hAnsi="Calibri"/>
          <w:i w:val="false"/>
          <w:iCs w:val="false"/>
          <w:color w:val="33465C"/>
          <w:sz w:val="17"/>
          <w:szCs w:val="17"/>
        </w:rPr>
        <w:t xml:space="preserve">Speece, M. W., &amp; Brent, S. B. (1984). Children’s understanding of death: A review of three components of a death concept. </w:t>
      </w:r>
      <w:r>
        <w:rPr>
          <w:rFonts w:ascii="Calibri" w:cs="Calibri" w:eastAsia="Calibri" w:hAnsi="Calibri"/>
          <w:i/>
          <w:iCs/>
          <w:color w:val="33465C"/>
          <w:sz w:val="17"/>
          <w:szCs w:val="17"/>
        </w:rPr>
        <w:t xml:space="preserve">Child Development</w:t>
      </w:r>
      <w:r>
        <w:rPr>
          <w:rFonts w:ascii="Calibri" w:cs="Calibri" w:eastAsia="Calibri" w:hAnsi="Calibri"/>
          <w:i w:val="false"/>
          <w:iCs w:val="false"/>
          <w:color w:val="33465C"/>
          <w:sz w:val="17"/>
          <w:szCs w:val="17"/>
        </w:rPr>
        <w:t xml:space="preserve">, </w:t>
      </w:r>
      <w:r>
        <w:rPr>
          <w:rFonts w:ascii="Calibri" w:cs="Calibri" w:eastAsia="Calibri" w:hAnsi="Calibri"/>
          <w:i/>
          <w:iCs/>
          <w:color w:val="33465C"/>
          <w:sz w:val="17"/>
          <w:szCs w:val="17"/>
        </w:rPr>
        <w:t xml:space="preserve">55</w:t>
      </w:r>
      <w:r>
        <w:rPr>
          <w:rFonts w:ascii="Calibri" w:cs="Calibri" w:eastAsia="Calibri" w:hAnsi="Calibri"/>
          <w:i w:val="false"/>
          <w:iCs w:val="false"/>
          <w:color w:val="33465C"/>
          <w:sz w:val="17"/>
          <w:szCs w:val="17"/>
        </w:rPr>
        <w:t xml:space="preserve">(5), 1671–1686. https://doi.org/10.2307/1129915</w:t>
      </w:r>
    </w:p>
    <w:p>
      <w:pPr>
        <w:keepLines/>
        <w:spacing w:after="100" w:before="40" w:line="276" w:lineRule="auto"/>
        <w:jc w:val="left"/>
      </w:pPr>
      <w:r>
        <w:rPr>
          <w:rFonts w:ascii="Calibri" w:cs="Calibri" w:eastAsia="Calibri" w:hAnsi="Calibri"/>
          <w:color w:val="6E86A6"/>
          <w:sz w:val="17"/>
          <w:szCs w:val="17"/>
        </w:rPr>
        <w:t xml:space="preserve">A forma como a criança compreende a morte em cada idade apoia-se na revisão de Speece e Brent (1984); a associação entre a perda de um animal e sinais de dificuldade emocional, no estudo de Crawford et al. (2021), que é observacional. As orientações sobre como dar a notícia, a despedida e os rituais assentam no conhecimento do desenvolvimento e na prática clínica, e não numa obra isolada.</w:t>
      </w:r>
    </w:p>
    <w:p>
      <w:pPr>
        <w:keepNext/>
        <w:keepLines/>
        <w:pBdr>
          <w:top w:val="single" w:color="E2E7EF" w:sz="6" w:space="8"/>
        </w:pBdr>
        <w:spacing w:after="40" w:before="60"/>
      </w:pPr>
      <w:r>
        <w:rPr>
          <w:rFonts w:ascii="Calibri" w:cs="Calibri" w:eastAsia="Calibri" w:hAnsi="Calibri"/>
          <w:color w:val="33465C"/>
          <w:sz w:val="19"/>
          <w:szCs w:val="19"/>
        </w:rPr>
        <w:t xml:space="preserve">Este guia é informativo e não substitui avaliação nem acompanhamento psicológico. Cada criança e cada família têm o seu ritmo.</w:t>
      </w:r>
    </w:p>
    <w:p>
      <w:pPr>
        <w:keepLines/>
        <w:spacing w:after="0" w:before="0" w:line="276" w:lineRule="auto"/>
        <w:jc w:val="left"/>
      </w:pPr>
      <w:r>
        <w:rPr>
          <w:rFonts w:ascii="Calibri" w:cs="Calibri" w:eastAsia="Calibri" w:hAnsi="Calibri"/>
          <w:b/>
          <w:bCs/>
          <w:color w:val="6E86A6"/>
          <w:sz w:val="18"/>
          <w:szCs w:val="18"/>
        </w:rPr>
        <w:t xml:space="preserve">Ricardina Correia</w:t>
      </w:r>
      <w:r>
        <w:rPr>
          <w:rFonts w:ascii="Calibri" w:cs="Calibri" w:eastAsia="Calibri" w:hAnsi="Calibri"/>
          <w:color w:val="6E86A6"/>
          <w:sz w:val="18"/>
          <w:szCs w:val="18"/>
        </w:rPr>
        <w:t xml:space="preserve"> · Psicóloga · Cédula OPP n.º 8233 · ricardinacorreia.pt</w:t>
      </w:r>
    </w:p>
    <w:sectPr>
      <w:footerReference w:type="default" r:id="rId7"/>
      <w:pgSz w:w="11906" w:h="16838" w:orient="portrait"/>
      <w:pgMar w:top="900" w:right="1020" w:bottom="900" w:left="1020" w:header="708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7EF" w:sz="4" w:space="6"/>
      </w:pBdr>
      <w:tabs>
        <w:tab w:val="right" w:pos="9866"/>
      </w:tabs>
    </w:pPr>
    <w:r>
      <w:rPr>
        <w:rFonts w:ascii="Calibri" w:cs="Calibri" w:eastAsia="Calibri" w:hAnsi="Calibri"/>
        <w:color w:val="6E86A6"/>
        <w:sz w:val="15"/>
        <w:szCs w:val="15"/>
      </w:rPr>
      <w:t xml:space="preserve">Guias para pais · ricardinacorreia.pt</w:t>
    </w:r>
    <w:r>
      <w:rPr>
        <w:rFonts w:ascii="Calibri" w:cs="Calibri" w:eastAsia="Calibri" w:hAnsi="Calibri"/>
        <w:color w:val="6E86A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40" w:hanging="240"/>
      </w:pPr>
      <w:rPr>
        <w:color w:val="7B5BD6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65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9a1c63eeb735ab100a9b14827bbf57c28b6bb79.png"/><Relationship Id="rId9" Type="http://schemas.openxmlformats.org/officeDocument/2006/relationships/image" Target="media/ced1b626cbb6168b4d4c0a322953ba40af1c908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gato morreu. E ele quer saber quando volta.</dc:title>
  <dc:creator>Ricardina Correia</dc:creator>
  <cp:lastModifiedBy>Un-named</cp:lastModifiedBy>
  <cp:revision>1</cp:revision>
  <dcterms:created xsi:type="dcterms:W3CDTF">2026-09-21T21:08:13.417Z</dcterms:created>
  <dcterms:modified xsi:type="dcterms:W3CDTF">2026-09-21T21:08:13.426Z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