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9FB6D0"/>
          <w:spacing w:val="60"/>
          <w:sz w:val="16"/>
          <w:szCs w:val="16"/>
        </w:rPr>
        <w:t xml:space="preserve">MATERIAL PARA PROFISSIONAIS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465C"/>
          <w:sz w:val="32"/>
          <w:szCs w:val="32"/>
        </w:rPr>
        <w:t xml:space="preserve">Guião de anamnese sobre a interação precoce</w:t>
      </w:r>
    </w:p>
    <w:p>
      <w:pPr>
        <w:spacing w:after="220"/>
      </w:pPr>
      <w:r>
        <w:rPr>
          <w:rFonts w:ascii="Calibri" w:cs="Calibri" w:eastAsia="Calibri" w:hAnsi="Calibri"/>
          <w:color w:val="6E86A6"/>
          <w:sz w:val="21"/>
          <w:szCs w:val="21"/>
        </w:rPr>
        <w:t xml:space="preserve">Perguntas para explorar a qualidade das trocas nos primeiros anos, sem transformar a entrevista numa avaliação de competência parental.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Como se usa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Não é um questionário para percorrer de fio a pavio. É um conjunto de entradas possíveis, a usar quando a história de desenvolvimento o justifique — atraso de linguagem, dificuldades de regulação, padrão de comportamento por esclarecer.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Perguntar pelo concreto e pelo episódico, não pelo geral. «Como era a hora do banho aos oito meses» dá informação; «interagiam bem» não dá.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O que abre a conversa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Como era um dia normal, nessa altura, do princípio ao fim?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De que é que se lembra com gosto desse período?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O que era mais difícil? O que ninguém tinha avisado?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Os sinais da criança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Como é que se percebia que queria alguma coisa? E que já estava farta?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Era fácil ou difícil perceber o que queria?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Havia alturas em que parecia desligar-se?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Reagia de forma diferente com pessoas diferentes?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A resposta do adulto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O que costumava resultar para o acalmar? E o que não resultava?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Havia momentos do dia em que era mais fácil estar com ele?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Quando chorava sem se perceber porquê, o que fazia?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Falavam com ele antes de ele falar? Como?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O contexto do cuidador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Estas perguntas exigem enquadramento explícito: pergunta-se porque o estado do adulto faz parte do quadro, e não para lhe imputar responsabilidade.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Como estava a sua própria saúde nesse período?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Tinha com quem contar? Havia alguém que lhe desse descanso?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Aconteceu alguma coisa em casa nesse ano que tenha pesado?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Sentiu-se em algum momento sozinha ou sozinho nisto?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Sinais que justificam atenção</w:t>
      </w:r>
    </w:p>
    <w:tbl>
      <w:tblPr>
        <w:tblW w:type="dxa" w:w="9000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E2E7EF" w:sz="4"/>
          <w:insideV w:val="single" w:color="E2E7EF" w:sz="4"/>
        </w:tblBorders>
      </w:tblPr>
      <w:tblGrid>
        <w:gridCol w:w="3600"/>
        <w:gridCol w:w="5400"/>
      </w:tblGrid>
      <w:tr>
        <w:trPr>
          <w:cantSplit/>
          <w:tblHeader/>
        </w:trPr>
        <w:tc>
          <w:tcPr>
            <w:tcW w:type="dxa" w:w="3600"/>
            <w:shd w:fill="F3F5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65C"/>
                <w:sz w:val="19"/>
                <w:szCs w:val="19"/>
              </w:rPr>
              <w:t xml:space="preserve">O que se ouve</w:t>
            </w:r>
          </w:p>
        </w:tc>
        <w:tc>
          <w:tcPr>
            <w:tcW w:type="dxa" w:w="5400"/>
            <w:shd w:fill="F3F5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65C"/>
                <w:sz w:val="19"/>
                <w:szCs w:val="19"/>
              </w:rPr>
              <w:t xml:space="preserve">Porque interessa</w:t>
            </w:r>
          </w:p>
        </w:tc>
      </w:tr>
      <w:tr>
        <w:trPr>
          <w:cantSplit/>
          <w:trHeight w:val="420" w:hRule="atLeast"/>
        </w:trP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«Era muito calmo, não dava trabalho nenhum»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Pode descrever um temperamento tranquilo — ou um padrão de retraimento relacional que passou despercebido</w:t>
            </w:r>
          </w:p>
        </w:tc>
      </w:tr>
      <w:tr>
        <w:trPr>
          <w:cantSplit/>
          <w:trHeight w:val="420" w:hRule="atLeast"/>
        </w:trP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«Nunca chorou para nada»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O choro é um sinal de reconvocação; a ausência prolongada merece exploração</w:t>
            </w:r>
          </w:p>
        </w:tc>
      </w:tr>
      <w:tr>
        <w:trPr>
          <w:cantSplit/>
          <w:trHeight w:val="420" w:hRule="atLeast"/>
        </w:trP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«Preferia sempre os brinquedos às pessoas»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Orientação preferencial para objetos, a distinguir de dificuldade social específica</w:t>
            </w:r>
          </w:p>
        </w:tc>
      </w:tr>
      <w:tr>
        <w:trPr>
          <w:cantSplit/>
          <w:trHeight w:val="420" w:hRule="atLeast"/>
        </w:trP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«Eu não estava bem nessa altura»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Contexto do cuidador, a acolher sem transformar em causa única</w:t>
            </w:r>
          </w:p>
        </w:tc>
      </w:tr>
      <w:tr>
        <w:trPr>
          <w:cantSplit/>
          <w:trHeight w:val="420" w:hRule="atLeast"/>
        </w:trP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«Passávamos o dia com a televisão ligada»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Interessa o que foi deslocado, não o número de horas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Cautelas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A anamnese reconstrói memórias, e a memória de um período difícil é reescrita pelo que veio depois.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Não se procura uma causa. Procura-se compreender um percurso, e identificar onde a intervenção pode entrar.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Nenhuma destas perguntas se faz numa primeira consulta em que a aliança ainda não existe.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Se a conversa tocar em sofrimento atual do cuidador, esse é o assunto do momento — e não um dado a anotar para voltar ao guião.</w:t>
      </w:r>
    </w:p>
    <w:p>
      <w:pPr>
        <w:spacing w:after="0"/>
      </w:pPr>
      <w:r>
        <w:rPr>
          <w:rFonts w:ascii="Calibri" w:cs="Calibri" w:eastAsia="Calibri" w:hAnsi="Calibri"/>
          <w:color w:val="6E86A6"/>
          <w:sz w:val="17"/>
          <w:szCs w:val="17"/>
        </w:rPr>
        <w:t xml:space="preserve">Material de autoria própria, para uso profissional. Ricardina Correia · Psicologia Pediátrica.</w:t>
      </w:r>
    </w:p>
    <w:sectPr>
      <w:headerReference w:type="default" r:id="rId7"/>
      <w:footerReference w:type="default" r:id="rId8"/>
      <w:pgSz w:w="11906" w:h="16838" w:orient="portrait"/>
      <w:pgMar w:top="11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86A6"/>
        <w:sz w:val="16"/>
        <w:szCs w:val="16"/>
      </w:rPr>
      <w:t xml:space="preserve">Guião de anamnese — interação precoce  ·  ricardinacorreia.pt  ·  página </w:t>
    </w:r>
    <w:r>
      <w:rPr>
        <w:rFonts w:ascii="Calibri" w:cs="Calibri" w:eastAsia="Calibri" w:hAnsi="Calibri"/>
        <w:color w:val="6E8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drawing>
        <wp:inline distT="0" distB="0" distL="0" distR="0">
          <wp:extent cx="1257300" cy="76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2E7EF" w:sz="6" w:space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27f41212236aea80fa8e4024dcf31d75c9b2ad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2026-09-10T13:12:32.071Z</dcterms:created>
  <dcterms:modified xsi:type="dcterms:W3CDTF">2026-09-10T13:12:32.072Z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