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9FB6D0"/>
          <w:spacing w:val="60"/>
          <w:sz w:val="16"/>
          <w:szCs w:val="16"/>
        </w:rPr>
        <w:t xml:space="preserve">MATERIAL PARA PROFISSIONAIS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465C"/>
          <w:sz w:val="34"/>
          <w:szCs w:val="34"/>
        </w:rPr>
        <w:t xml:space="preserve">Grelha de observação da díade</w:t>
      </w:r>
    </w:p>
    <w:p>
      <w:pPr>
        <w:spacing w:after="220"/>
      </w:pPr>
      <w:r>
        <w:rPr>
          <w:rFonts w:ascii="Calibri" w:cs="Calibri" w:eastAsia="Calibri" w:hAnsi="Calibri"/>
          <w:color w:val="6E86A6"/>
          <w:sz w:val="21"/>
          <w:szCs w:val="21"/>
        </w:rPr>
        <w:t xml:space="preserve">Registo estruturado de trocas entre a criança e quem cuida dela. Serve para observação em consulta, em contexto naturalista ou em vídeo. Não é um instrumento aferido: organiza a observação, não a substitui.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3465C"/>
          <w:sz w:val="24"/>
          <w:szCs w:val="24"/>
        </w:rPr>
        <w:t xml:space="preserve">Antes de começar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Observar durante 8 a 10 minutos, em situação livre, sem instruções ao adulto para além de «faça o que faria normalmente». Não induzir interrupção nem introduzir tarefa. Registar durante ou logo a seguir, nunca de memória no fim do dia.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Cada linha é um episódio de troca. Um episódio começa num sinal da criança ou numa iniciativa do adulto e termina quando a atenção conjunta se desfaz.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3465C"/>
          <w:sz w:val="24"/>
          <w:szCs w:val="24"/>
        </w:rPr>
        <w:t xml:space="preserve">Registo dos episódios</w:t>
      </w:r>
    </w:p>
    <w:tbl>
      <w:tblPr>
        <w:tblW w:type="dxa" w:w="9020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E2E7EF" w:sz="4"/>
          <w:insideV w:val="single" w:color="E2E7EF" w:sz="4"/>
        </w:tblBorders>
      </w:tblPr>
      <w:tblGrid>
        <w:gridCol w:w="520"/>
        <w:gridCol w:w="2500"/>
        <w:gridCol w:w="2500"/>
        <w:gridCol w:w="900"/>
        <w:gridCol w:w="2600"/>
      </w:tblGrid>
      <w:tr>
        <w:trPr>
          <w:cantSplit/>
          <w:tblHeader/>
        </w:trPr>
        <w:tc>
          <w:tcPr>
            <w:tcW w:type="dxa" w:w="520"/>
            <w:shd w:fill="F3F5F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65C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shd w:fill="F3F5F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65C"/>
                <w:sz w:val="19"/>
                <w:szCs w:val="19"/>
              </w:rPr>
              <w:t xml:space="preserve">O que a criança faz</w:t>
            </w:r>
          </w:p>
        </w:tc>
        <w:tc>
          <w:tcPr>
            <w:tcW w:type="dxa" w:w="2500"/>
            <w:shd w:fill="F3F5F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65C"/>
                <w:sz w:val="19"/>
                <w:szCs w:val="19"/>
              </w:rPr>
              <w:t xml:space="preserve">O que o adulto devolve</w:t>
            </w:r>
          </w:p>
        </w:tc>
        <w:tc>
          <w:tcPr>
            <w:tcW w:type="dxa" w:w="900"/>
            <w:shd w:fill="F3F5F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65C"/>
                <w:sz w:val="19"/>
                <w:szCs w:val="19"/>
              </w:rPr>
              <w:t xml:space="preserve">Demora</w:t>
            </w:r>
          </w:p>
        </w:tc>
        <w:tc>
          <w:tcPr>
            <w:tcW w:type="dxa" w:w="2600"/>
            <w:shd w:fill="F3F5F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65C"/>
                <w:sz w:val="19"/>
                <w:szCs w:val="19"/>
              </w:rPr>
              <w:t xml:space="preserve">O que acontece a seguir</w:t>
            </w:r>
          </w:p>
        </w:tc>
      </w:tr>
      <w:tr>
        <w:trPr>
          <w:cantSplit/>
          <w:trHeight w:val="460" w:hRule="atLeast"/>
        </w:trPr>
        <w:tc>
          <w:tcPr>
            <w:tcW w:type="dxa" w:w="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E86A6"/>
          <w:sz w:val="18"/>
          <w:szCs w:val="18"/>
        </w:rPr>
        <w:t xml:space="preserve">Demora: imediata (menos de 2 segundos), curta (2 a 5), tardia (mais de 5), ou ausente.</w:t>
      </w:r>
    </w:p>
    <w:p>
      <w:pPr>
        <w:spacing w:after="120"/>
      </w:pPr>
      <w:r>
        <w:rPr>
          <w:rFonts w:ascii="Calibri" w:cs="Calibri" w:eastAsia="Calibri" w:hAnsi="Calibri"/>
          <w:color w:val="6E86A6"/>
          <w:sz w:val="18"/>
          <w:szCs w:val="18"/>
        </w:rPr>
        <w:t xml:space="preserve">O que acontece a seguir: a criança repete, expande, muda de sinal, orienta-se para um objeto, ou desiste.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3465C"/>
          <w:sz w:val="24"/>
          <w:szCs w:val="24"/>
        </w:rPr>
        <w:t xml:space="preserve">Leitura do conjunto</w:t>
      </w:r>
    </w:p>
    <w:tbl>
      <w:tblPr>
        <w:tblW w:type="dxa" w:w="9000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E2E7EF" w:sz="4"/>
          <w:insideV w:val="single" w:color="E2E7EF" w:sz="4"/>
        </w:tblBorders>
      </w:tblPr>
      <w:tblGrid>
        <w:gridCol w:w="3400"/>
        <w:gridCol w:w="5600"/>
      </w:tblGrid>
      <w:tr>
        <w:trPr>
          <w:cantSplit/>
          <w:tblHeader/>
        </w:trPr>
        <w:tc>
          <w:tcPr>
            <w:tcW w:type="dxa" w:w="3400"/>
            <w:shd w:fill="F3F5F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65C"/>
                <w:sz w:val="19"/>
                <w:szCs w:val="19"/>
              </w:rPr>
              <w:t xml:space="preserve">A observar</w:t>
            </w:r>
          </w:p>
        </w:tc>
        <w:tc>
          <w:tcPr>
            <w:tcW w:type="dxa" w:w="5600"/>
            <w:shd w:fill="F3F5F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65C"/>
                <w:sz w:val="19"/>
                <w:szCs w:val="19"/>
              </w:rPr>
              <w:t xml:space="preserve">Notas</w:t>
            </w:r>
          </w:p>
        </w:tc>
      </w:tr>
      <w:tr>
        <w:trPr>
          <w:cantSplit/>
          <w:trHeight w:val="420" w:hRule="atLeast"/>
        </w:trP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Quem inicia com mais frequência</w:t>
            </w:r>
          </w:p>
        </w:tc>
        <w:tc>
          <w:tcPr>
            <w:tcW w:type="dxa" w:w="5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Proporção de sinais devolvidos</w:t>
            </w:r>
          </w:p>
        </w:tc>
        <w:tc>
          <w:tcPr>
            <w:tcW w:type="dxa" w:w="5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Sinais que ficam sistematicamente sem resposta</w:t>
            </w:r>
          </w:p>
        </w:tc>
        <w:tc>
          <w:tcPr>
            <w:tcW w:type="dxa" w:w="5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Ruturas — e se há reparação, por quem</w:t>
            </w:r>
          </w:p>
        </w:tc>
        <w:tc>
          <w:tcPr>
            <w:tcW w:type="dxa" w:w="5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Repertório de sinais da criança: variado ou restrito</w:t>
            </w:r>
          </w:p>
        </w:tc>
        <w:tc>
          <w:tcPr>
            <w:tcW w:type="dxa" w:w="5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Orientação preferencial: pessoas ou objetos</w:t>
            </w:r>
          </w:p>
        </w:tc>
        <w:tc>
          <w:tcPr>
            <w:tcW w:type="dxa" w:w="5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>O adulto aguarda depois de devolver, ou preenche o silêncio</w:t>
            </w:r>
          </w:p>
        </w:tc>
        <w:tc>
          <w:tcPr>
            <w:tcW w:type="dxa" w:w="5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65C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33465C"/>
          <w:sz w:val="24"/>
          <w:szCs w:val="24"/>
        </w:rPr>
        <w:t xml:space="preserve">Cautelas de interpretação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Uma sessão de observação é uma amostra, e uma amostra colhida num contexto que ambos sabem estar a ser observado.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Estados de sono, fome ou doença alteram o repertório da criança e devem ser registados.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A grelha descreve o que se vê. Não atribui causa, e não mede competência parental.</w:t>
      </w:r>
    </w:p>
    <w:p>
      <w:pPr>
        <w:spacing w:after="120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• Um adulto em sofrimento não é um adulto negligente. A leitura do que se observou faz-se com a família, não sobre ela.</w:t>
      </w:r>
    </w:p>
    <w:p>
      <w:pPr>
        <w:spacing w:after="0"/>
      </w:pPr>
      <w:r>
        <w:rPr>
          <w:rFonts w:ascii="Calibri" w:cs="Calibri" w:eastAsia="Calibri" w:hAnsi="Calibri"/>
          <w:color w:val="6E86A6"/>
          <w:sz w:val="17"/>
          <w:szCs w:val="17"/>
        </w:rPr>
        <w:t xml:space="preserve">Material de autoria própria, para uso profissional. Ricardina Correia · Psicologia Pediátrica.</w:t>
      </w:r>
    </w:p>
    <w:sectPr>
      <w:headerReference w:type="default" r:id="rId7"/>
      <w:footerReference w:type="default" r:id="rId8"/>
      <w:pgSz w:w="11906" w:h="16838" w:orient="portrait"/>
      <w:pgMar w:top="11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86A6"/>
        <w:sz w:val="16"/>
        <w:szCs w:val="16"/>
      </w:rPr>
      <w:t xml:space="preserve">Grelha de observação da díade  ·  ricardinacorreia.pt  ·  página </w:t>
    </w:r>
    <w:r>
      <w:rPr>
        <w:rFonts w:ascii="Calibri" w:cs="Calibri" w:eastAsia="Calibri" w:hAnsi="Calibri"/>
        <w:color w:val="6E86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right"/>
    </w:pPr>
    <w:r>
      <w:drawing>
        <wp:inline distT="0" distB="0" distL="0" distR="0">
          <wp:extent cx="1257300" cy="762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E2E7EF" w:sz="6" w:space="6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65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27f41212236aea80fa8e4024dcf31d75c9b2ad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2026-09-10T13:11:58.256Z</dcterms:created>
  <dcterms:modified xsi:type="dcterms:W3CDTF">2026-09-10T13:11:58.256Z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