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2A594" w:sz="12" w:space="6"/>
        </w:pBdr>
        <w:spacing w:after="40" w:before="260"/>
      </w:pPr>
      <w:r>
        <w:rPr>
          <w:b/>
          <w:bCs/>
          <w:color w:val="33465C"/>
          <w:sz w:val="34"/>
          <w:szCs w:val="34"/>
        </w:rPr>
        <w:t xml:space="preserve">Como escolher um alvo</w:t>
      </w:r>
    </w:p>
    <w:p>
      <w:pPr>
        <w:spacing w:after="160" w:before="80"/>
      </w:pPr>
      <w:r>
        <w:rPr>
          <w:color w:val="6E86A6"/>
          <w:sz w:val="18"/>
          <w:szCs w:val="18"/>
        </w:rPr>
        <w:t xml:space="preserve">Três regras e um teste · para casa e para a escola</w:t>
      </w:r>
    </w:p>
    <w:p>
      <w:pPr>
        <w:spacing w:after="80" w:before="40"/>
      </w:pPr>
      <w:r>
        <w:rPr>
          <w:color w:val="6E86A6"/>
          <w:sz w:val="17"/>
          <w:szCs w:val="17"/>
        </w:rPr>
        <w:t xml:space="preserve">A maior parte dos planos de comportamento falha no primeiro passo: na escolha daquilo que se quer ver mudar. Um alvo mal escolhido não se salva com boa aplicação — não há forma de reforçar aquilo que ninguém consegue dizer se aconteceu.</w:t>
      </w:r>
    </w:p>
    <w:p>
      <w:pPr>
        <w:spacing w:after="80" w:before="40"/>
      </w:pPr>
      <w:r>
        <w:rPr>
          <w:color w:val="33465C"/>
          <w:sz w:val="17"/>
          <w:szCs w:val="17"/>
        </w:rPr>
        <w:t xml:space="preserve">Estas três regras aplicam-se igualmente em casa e na sala de aula.</w:t>
      </w:r>
    </w:p>
    <w:p>
      <w:pPr>
        <w:spacing w:before="16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80"/>
            </w:pPr>
            <w:r>
              <w:rPr>
                <w:b/>
                <w:bCs/>
                <w:color w:val="12A594"/>
                <w:sz w:val="20"/>
                <w:szCs w:val="20"/>
              </w:rPr>
              <w:t xml:space="preserve">1.  </w:t>
            </w:r>
            <w:r>
              <w:rPr>
                <w:b/>
                <w:bCs/>
                <w:color w:val="33465C"/>
                <w:sz w:val="20"/>
                <w:szCs w:val="20"/>
              </w:rPr>
              <w:t xml:space="preserve">Formulado no positivo</w:t>
            </w:r>
          </w:p>
          <w:p>
            <w:pPr>
              <w:spacing w:after="100"/>
            </w:pPr>
            <w:r>
              <w:rPr>
                <w:color w:val="6E86A6"/>
                <w:sz w:val="16"/>
                <w:szCs w:val="16"/>
              </w:rPr>
              <w:t xml:space="preserve">Nomear o comportamento que se quer ver, e não o que se quer que desapareça. Uma criança não consegue «fazer» o não fazer — precisa de saber o que deve fazer em vez disso.</w:t>
            </w:r>
          </w:p>
          <w:p>
            <w:pPr>
              <w:spacing w:after="40"/>
            </w:pPr>
            <w:r>
              <w:rPr>
                <w:b/>
                <w:bCs/>
                <w:color w:val="E24B78"/>
                <w:sz w:val="12"/>
                <w:szCs w:val="12"/>
              </w:rPr>
              <w:t xml:space="preserve">EM VEZ DE   </w:t>
            </w:r>
            <w:r>
              <w:rPr>
                <w:color w:val="33465C"/>
                <w:sz w:val="15"/>
                <w:szCs w:val="15"/>
              </w:rPr>
              <w:t xml:space="preserve">«Não interrompe a professora»</w:t>
            </w:r>
          </w:p>
          <w:p>
            <w:r>
              <w:rPr>
                <w:b/>
                <w:bCs/>
                <w:color w:val="12A594"/>
                <w:sz w:val="12"/>
                <w:szCs w:val="12"/>
              </w:rPr>
              <w:t xml:space="preserve">ANTES   </w:t>
            </w:r>
            <w:r>
              <w:rPr>
                <w:color w:val="33465C"/>
                <w:sz w:val="15"/>
                <w:szCs w:val="15"/>
              </w:rPr>
              <w:t xml:space="preserve">«Levanta o dedo e espera pela vez»</w:t>
            </w:r>
          </w:p>
        </w:tc>
      </w:tr>
    </w:tbl>
    <w:p>
      <w:pPr>
        <w:spacing w:before="14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80"/>
            </w:pPr>
            <w:r>
              <w:rPr>
                <w:b/>
                <w:bCs/>
                <w:color w:val="12A594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33465C"/>
                <w:sz w:val="20"/>
                <w:szCs w:val="20"/>
              </w:rPr>
              <w:t xml:space="preserve">Observável por qualquer pessoa</w:t>
            </w:r>
          </w:p>
          <w:p>
            <w:pPr>
              <w:spacing w:after="100"/>
            </w:pPr>
            <w:r>
              <w:rPr>
                <w:color w:val="6E86A6"/>
                <w:sz w:val="16"/>
                <w:szCs w:val="16"/>
              </w:rPr>
              <w:t xml:space="preserve">Tem de ser algo que duas pessoas diferentes, ao observar o mesmo momento, classificassem da mesma maneira. Se depende de interpretação, vai gerar discussão em vez de progresso.</w:t>
            </w:r>
          </w:p>
          <w:p>
            <w:pPr>
              <w:spacing w:after="40"/>
            </w:pPr>
            <w:r>
              <w:rPr>
                <w:b/>
                <w:bCs/>
                <w:color w:val="E24B78"/>
                <w:sz w:val="12"/>
                <w:szCs w:val="12"/>
              </w:rPr>
              <w:t xml:space="preserve">EM VEZ DE   </w:t>
            </w:r>
            <w:r>
              <w:rPr>
                <w:color w:val="33465C"/>
                <w:sz w:val="15"/>
                <w:szCs w:val="15"/>
              </w:rPr>
              <w:t xml:space="preserve">«Faz um esforço nos trabalhos»</w:t>
            </w:r>
          </w:p>
          <w:p>
            <w:r>
              <w:rPr>
                <w:b/>
                <w:bCs/>
                <w:color w:val="12A594"/>
                <w:sz w:val="12"/>
                <w:szCs w:val="12"/>
              </w:rPr>
              <w:t xml:space="preserve">ANTES   </w:t>
            </w:r>
            <w:r>
              <w:rPr>
                <w:color w:val="33465C"/>
                <w:sz w:val="15"/>
                <w:szCs w:val="15"/>
              </w:rPr>
              <w:t xml:space="preserve">«Começa os trabalhos até às 18h00»</w:t>
            </w:r>
          </w:p>
        </w:tc>
      </w:tr>
    </w:tbl>
    <w:p>
      <w:pPr>
        <w:spacing w:before="14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80"/>
            </w:pPr>
            <w:r>
              <w:rPr>
                <w:b/>
                <w:bCs/>
                <w:color w:val="12A594"/>
                <w:sz w:val="20"/>
                <w:szCs w:val="20"/>
              </w:rPr>
              <w:t xml:space="preserve">3.  </w:t>
            </w:r>
            <w:r>
              <w:rPr>
                <w:b/>
                <w:bCs/>
                <w:color w:val="33465C"/>
                <w:sz w:val="20"/>
                <w:szCs w:val="20"/>
              </w:rPr>
              <w:t xml:space="preserve">Ao alcance hoje, e não daqui a seis meses</w:t>
            </w:r>
          </w:p>
          <w:p>
            <w:pPr>
              <w:spacing w:after="100"/>
            </w:pPr>
            <w:r>
              <w:rPr>
                <w:color w:val="6E86A6"/>
                <w:sz w:val="16"/>
                <w:szCs w:val="16"/>
              </w:rPr>
              <w:t xml:space="preserve">O alvo tem de ser algo que já acontece pelo menos às vezes. Se nunca acontece, não é um alvo — é um objetivo de longo prazo, que precisa de ser dividido em passos mais pequenos.</w:t>
            </w:r>
          </w:p>
          <w:p>
            <w:pPr>
              <w:spacing w:after="40"/>
            </w:pPr>
            <w:r>
              <w:rPr>
                <w:b/>
                <w:bCs/>
                <w:color w:val="E24B78"/>
                <w:sz w:val="12"/>
                <w:szCs w:val="12"/>
              </w:rPr>
              <w:t xml:space="preserve">EM VEZ DE   </w:t>
            </w:r>
            <w:r>
              <w:rPr>
                <w:color w:val="33465C"/>
                <w:sz w:val="15"/>
                <w:szCs w:val="15"/>
              </w:rPr>
              <w:t xml:space="preserve">«Faz os trabalhos todos sozinho»</w:t>
            </w:r>
          </w:p>
          <w:p>
            <w:r>
              <w:rPr>
                <w:b/>
                <w:bCs/>
                <w:color w:val="12A594"/>
                <w:sz w:val="12"/>
                <w:szCs w:val="12"/>
              </w:rPr>
              <w:t xml:space="preserve">ANTES   </w:t>
            </w:r>
            <w:r>
              <w:rPr>
                <w:color w:val="33465C"/>
                <w:sz w:val="15"/>
                <w:szCs w:val="15"/>
              </w:rPr>
              <w:t xml:space="preserve">«Faz a primeira pergunta sozinho, antes de pedir ajuda»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AF8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O teste</w:t>
            </w:r>
          </w:p>
          <w:p>
            <w:r>
              <w:rPr>
                <w:b/>
                <w:bCs/>
                <w:color w:val="33465C"/>
                <w:sz w:val="21"/>
                <w:szCs w:val="21"/>
              </w:rPr>
              <w:t xml:space="preserve">Alguém que não conhece a criança conseguiria dizer, ao fim do dia, se aconteceu ou não — sem ter de perguntar a ninguém?</w:t>
            </w:r>
          </w:p>
          <w:p>
            <w:pPr>
              <w:spacing w:before="100"/>
            </w:pPr>
            <w:r>
              <w:rPr>
                <w:color w:val="6E86A6"/>
                <w:sz w:val="16"/>
                <w:szCs w:val="16"/>
              </w:rPr>
              <w:t xml:space="preserve">Se a resposta é não, o alvo ainda não está pronto. Reformular antes de começar.</w:t>
            </w:r>
          </w:p>
        </w:tc>
      </w:tr>
    </w:tbl>
    <w:p>
      <w:pPr>
        <w:spacing w:after="100" w:before="300"/>
      </w:pPr>
      <w:r>
        <w:rPr>
          <w:b/>
          <w:bCs/>
          <w:color w:val="33465C"/>
          <w:sz w:val="19"/>
          <w:szCs w:val="19"/>
        </w:rPr>
        <w:t xml:space="preserve">Exemplos que passam no teste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4759"/>
              <w:tblBorders>
                <w:top w:val="single" w:color="E2E7EF" w:sz="4"/>
                <w:left w:val="single" w:color="E2E7EF" w:sz="4"/>
                <w:bottom w:val="single" w:color="E2E7EF" w:sz="4"/>
                <w:right w:val="single" w:color="E2E7EF" w:sz="4"/>
                <w:insideH w:val="single" w:color="auto" w:sz="4"/>
                <w:insideV w:val="single" w:color="auto" w:sz="4"/>
              </w:tblBorders>
            </w:tblPr>
            <w:tblGrid>
              <w:gridCol w:w="4759"/>
            </w:tblGrid>
            <w:tr>
              <w:trPr>
                <w:cantSplit/>
              </w:trPr>
              <w:tc>
                <w:tcPr>
                  <w:tcW w:type="dxa" w:w="4759"/>
                  <w:shd w:fill="F4FAF8" w:val="clear"/>
                  <w:tcMar>
                    <w:top w:type="dxa" w:w="130"/>
                    <w:left w:type="dxa" w:w="150"/>
                    <w:bottom w:type="dxa" w:w="130"/>
                    <w:right w:type="dxa" w:w="150"/>
                  </w:tcMar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EM CASA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Vestir-se antes do pequeno-almoço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Pôr a mochila no sítio combinado ao chegar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Começar os trabalhos até às 18h00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Ir para a cama à hora combinada sem sair do quarto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Pedir ajuda em vez de rasgar a folha</w:t>
                  </w:r>
                </w:p>
              </w:tc>
            </w:tr>
          </w:tbl>
          <w:p/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4759"/>
              <w:tblBorders>
                <w:top w:val="single" w:color="E2E7EF" w:sz="4"/>
                <w:left w:val="single" w:color="E2E7EF" w:sz="4"/>
                <w:bottom w:val="single" w:color="E2E7EF" w:sz="4"/>
                <w:right w:val="single" w:color="E2E7EF" w:sz="4"/>
                <w:insideH w:val="single" w:color="auto" w:sz="4"/>
                <w:insideV w:val="single" w:color="auto" w:sz="4"/>
              </w:tblBorders>
            </w:tblPr>
            <w:tblGrid>
              <w:gridCol w:w="4759"/>
            </w:tblGrid>
            <w:tr>
              <w:trPr>
                <w:cantSplit/>
              </w:trPr>
              <w:tc>
                <w:tcPr>
                  <w:tcW w:type="dxa" w:w="4759"/>
                  <w:shd w:fill="F5F8FC" w:val="clear"/>
                  <w:tcMar>
                    <w:top w:type="dxa" w:w="130"/>
                    <w:left w:type="dxa" w:w="150"/>
                    <w:bottom w:type="dxa" w:w="130"/>
                    <w:right w:type="dxa" w:w="150"/>
                  </w:tcMar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NA SALA DE AULA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Levantar o dedo e esperar pela vez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Escrever o sumário até ao fim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Ter o material da aula em cima da mesa ao toque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Começar a ficha nos primeiros dois minutos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Registar o trabalho de casa na caderneta</w:t>
                  </w:r>
                </w:p>
              </w:tc>
            </w:tr>
          </w:tbl>
          <w:p/>
        </w:tc>
      </w:tr>
    </w:tbl>
    <w:p>
      <w:pPr>
        <w:spacing w:before="30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6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3465C"/>
                <w:sz w:val="19"/>
                <w:szCs w:val="19"/>
              </w:rPr>
              <w:t xml:space="preserve">Quantos alvos ao mesmo tempo</w:t>
            </w:r>
          </w:p>
          <w:p>
            <w:r>
              <w:rPr>
                <w:color w:val="6E86A6"/>
                <w:sz w:val="16"/>
                <w:szCs w:val="16"/>
              </w:rPr>
              <w:t xml:space="preserve">Um, ou no máximo dois — seis alvos é o mesmo que nenhum. O mesmo alvo em casa e na escola, sempre que for possível, porque uma estratégia aplicada só num contexto tem efeito só nesse contexto. Quando um alvo já acontece de forma consistente durante duas a três semanas, passa a ser rotina e liberta-se lugar para o seguinte.</w:t>
            </w:r>
          </w:p>
        </w:tc>
      </w:tr>
    </w:tbl>
    <w:p>
      <w:pPr>
        <w:spacing w:after="80" w:before="240"/>
      </w:pPr>
      <w:r>
        <w:rPr>
          <w:color w:val="9FB6D0"/>
          <w:sz w:val="14"/>
          <w:szCs w:val="14"/>
        </w:rPr>
        <w:t xml:space="preserve">Utilização livre, sem alteração e sem fins comerciais. Não substitui avaliação nem acompanhamento profissional.</w:t>
      </w:r>
    </w:p>
    <w:sectPr>
      <w:footerReference w:type="default" r:id="rId7"/>
      <w:pgSz w:w="11906" w:h="16838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</w:pPr>
    <w:r>
      <w:rPr>
        <w:color w:val="9FB6D0"/>
        <w:sz w:val="14"/>
        <w:szCs w:val="14"/>
      </w:rPr>
      <w:t xml:space="preserve">Ricardina Correia  ·  Psicologia pediátrica  ·  ricardinacorreia.pt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d79fd02f886ac46a54cd3e884cc4a7983a53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escolher um alvo</dc:title>
  <dc:creator>Ricardina Correia</dc:creator>
  <cp:lastModifiedBy>Un-named</cp:lastModifiedBy>
  <cp:revision>1</cp:revision>
  <dcterms:created xsi:type="dcterms:W3CDTF">2026-08-13T07:54:32.662Z</dcterms:created>
  <dcterms:modified xsi:type="dcterms:W3CDTF">2026-08-13T07:54:32.662Z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