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24B78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Guião para a reunião na escola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Preencher antes da reunião · levar impresso</w:t>
      </w:r>
    </w:p>
    <w:p>
      <w:pPr>
        <w:spacing w:after="80" w:before="40"/>
      </w:pPr>
      <w:r>
        <w:rPr>
          <w:color w:val="6E86A6"/>
          <w:sz w:val="18"/>
          <w:szCs w:val="18"/>
        </w:rPr>
        <w:t xml:space="preserve">Uma reunião produtiva junta duas fontes de informação sobre a mesma criança: o que a família observa em casa e o que a escola observa em contexto de grupo. Nenhuma das partes tem o quadro completo. Este guião serve para levar a sua metade organizada — e para sair com medidas concretas em vez de boas intenções.</w:t>
      </w:r>
    </w:p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Antes de entrar: o que quero que aconteça a seguir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Uma ou duas medidas concretas com as quais sairia satisfeito. Não «que percebam a situação» — isso não é verificável.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Uma nota antes de entrar</w:t>
            </w:r>
          </w:p>
          <w:p>
            <w:r>
              <w:rPr>
                <w:color w:val="6E86A6"/>
                <w:sz w:val="16"/>
                <w:szCs w:val="16"/>
              </w:rPr>
              <w:t xml:space="preserve">Muitos pais chegam a estas reuniões a sentir-se avaliados como pais. Reconhecer isso não elimina a sensação, mas evita que ela conduza a conversa. Do outro lado acontece o mesmo: um pedido pode ser ouvido como crítica ao trabalho do professor.</w:t>
            </w:r>
          </w:p>
        </w:tc>
      </w:tr>
    </w:tbl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2  </w:t>
      </w:r>
      <w:r>
        <w:rPr>
          <w:b/>
          <w:bCs/>
          <w:color w:val="33465C"/>
          <w:sz w:val="21"/>
          <w:szCs w:val="21"/>
        </w:rPr>
        <w:t xml:space="preserve">O que se observa em casa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Exemplos concretos e datados. Em vez de «tem dificuldade em concentrar-se», escrever «demora cerca de 90 minutos a fazer um trabalho que os colegas fazem em 20».</w:t>
      </w:r>
    </w:p>
    <w:p>
      <w:pPr>
        <w:spacing w:after="8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338"/>
      </w:tblGrid>
      <w:tr>
        <w:trPr>
          <w:cantSplit/>
        </w:trPr>
        <w:tc>
          <w:tcPr>
            <w:tcW w:type="dxa" w:w="1500"/>
            <w:shd w:fill="F6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E86A6"/>
                <w:sz w:val="14"/>
                <w:szCs w:val="14"/>
              </w:rPr>
              <w:t xml:space="preserve">DATA</w:t>
            </w:r>
          </w:p>
        </w:tc>
        <w:tc>
          <w:tcPr>
            <w:tcW w:type="dxa" w:w="2800"/>
            <w:shd w:fill="F6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E86A6"/>
                <w:sz w:val="14"/>
                <w:szCs w:val="14"/>
              </w:rPr>
              <w:t xml:space="preserve">SITUAÇÃO</w:t>
            </w:r>
          </w:p>
        </w:tc>
        <w:tc>
          <w:tcPr>
            <w:tcW w:type="dxa" w:w="5338"/>
            <w:shd w:fill="F6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E86A6"/>
                <w:sz w:val="14"/>
                <w:szCs w:val="14"/>
              </w:rPr>
              <w:t xml:space="preserve">O QUE ACONTECEU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3  </w:t>
      </w:r>
      <w:r>
        <w:rPr>
          <w:b/>
          <w:bCs/>
          <w:color w:val="33465C"/>
          <w:sz w:val="21"/>
          <w:szCs w:val="21"/>
        </w:rPr>
        <w:t xml:space="preserve">O que corre bem, e o que já ajuda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Uma reunião que começa só por dificuldades coloca ambos os lados em posição de defesa. Nomear o que a criança consegue fazer, e o que na escola já a tem ajudado, é informação útil.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4  </w:t>
      </w:r>
      <w:r>
        <w:rPr>
          <w:b/>
          <w:bCs/>
          <w:color w:val="33465C"/>
          <w:sz w:val="21"/>
          <w:szCs w:val="21"/>
        </w:rPr>
        <w:t xml:space="preserve">O que se pretende pedir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Formulado como medidas, não como problemas. «Lugar na primeira fila, longe da janela» é acionável; «precisa de mais atenção» não é. Se houver relatório, indicar apenas as recomendações que dependem da escola — o relatório completo não deve ser distribuído.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O QUE A FAMÍLIA SE COMPROMETE A FAZER DA SUA PARTE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5  </w:t>
      </w:r>
      <w:r>
        <w:rPr>
          <w:b/>
          <w:bCs/>
          <w:color w:val="33465C"/>
          <w:sz w:val="21"/>
          <w:szCs w:val="21"/>
        </w:rPr>
        <w:t xml:space="preserve">Durante a reunião</w:t>
      </w:r>
    </w:p>
    <w:p>
      <w:pPr>
        <w:spacing w:after="60" w:before="60"/>
      </w:pPr>
      <w:r>
        <w:rPr>
          <w:b/>
          <w:bCs/>
          <w:color w:val="E24B78"/>
          <w:sz w:val="19"/>
          <w:szCs w:val="19"/>
        </w:rPr>
        <w:t xml:space="preserve">·  </w:t>
      </w:r>
      <w:r>
        <w:rPr>
          <w:b/>
          <w:bCs/>
          <w:color w:val="33465C"/>
          <w:sz w:val="19"/>
          <w:szCs w:val="19"/>
        </w:rPr>
        <w:t xml:space="preserve">Começar por perguntar</w:t>
      </w:r>
      <w:r>
        <w:rPr>
          <w:color w:val="6E86A6"/>
          <w:sz w:val="19"/>
          <w:szCs w:val="19"/>
        </w:rPr>
        <w:t xml:space="preserve">  — como é que ele tem estado nas aulas, na vossa perspetiva?</w:t>
      </w:r>
    </w:p>
    <w:p>
      <w:pPr>
        <w:spacing w:after="60" w:before="60"/>
      </w:pPr>
      <w:r>
        <w:rPr>
          <w:b/>
          <w:bCs/>
          <w:color w:val="E24B78"/>
          <w:sz w:val="19"/>
          <w:szCs w:val="19"/>
        </w:rPr>
        <w:t xml:space="preserve">·  </w:t>
      </w:r>
      <w:r>
        <w:rPr>
          <w:b/>
          <w:bCs/>
          <w:color w:val="33465C"/>
          <w:sz w:val="19"/>
          <w:szCs w:val="19"/>
        </w:rPr>
        <w:t xml:space="preserve">Perguntar o que já foi tentado</w:t>
      </w:r>
      <w:r>
        <w:rPr>
          <w:color w:val="6E86A6"/>
          <w:sz w:val="19"/>
          <w:szCs w:val="19"/>
        </w:rPr>
        <w:t xml:space="preserve">  — evita repetir o que falhou</w:t>
      </w:r>
    </w:p>
    <w:p>
      <w:pPr>
        <w:spacing w:after="60" w:before="60"/>
      </w:pPr>
      <w:r>
        <w:rPr>
          <w:b/>
          <w:bCs/>
          <w:color w:val="E24B78"/>
          <w:sz w:val="19"/>
          <w:szCs w:val="19"/>
        </w:rPr>
        <w:t xml:space="preserve">·  </w:t>
      </w:r>
      <w:r>
        <w:rPr>
          <w:b/>
          <w:bCs/>
          <w:color w:val="33465C"/>
          <w:sz w:val="19"/>
          <w:szCs w:val="19"/>
        </w:rPr>
        <w:t xml:space="preserve">Falar do comportamento, não da pessoa</w:t>
      </w:r>
      <w:r>
        <w:rPr>
          <w:color w:val="6E86A6"/>
          <w:sz w:val="19"/>
          <w:szCs w:val="19"/>
        </w:rPr>
        <w:t xml:space="preserve">  — «desiste quando o texto é longo», não «é preguiçoso»</w:t>
      </w:r>
    </w:p>
    <w:p>
      <w:pPr>
        <w:spacing w:after="60" w:before="60"/>
      </w:pPr>
      <w:r>
        <w:rPr>
          <w:b/>
          <w:bCs/>
          <w:color w:val="E24B78"/>
          <w:sz w:val="19"/>
          <w:szCs w:val="19"/>
        </w:rPr>
        <w:t xml:space="preserve">·  </w:t>
      </w:r>
      <w:r>
        <w:rPr>
          <w:b/>
          <w:bCs/>
          <w:color w:val="33465C"/>
          <w:sz w:val="19"/>
          <w:szCs w:val="19"/>
        </w:rPr>
        <w:t xml:space="preserve">Oferecer o que resulta em casa</w:t>
      </w:r>
      <w:r>
        <w:rPr>
          <w:color w:val="6E86A6"/>
          <w:sz w:val="19"/>
          <w:szCs w:val="19"/>
        </w:rPr>
        <w:t xml:space="preserve">  — dá ao professor algo aplicável já</w:t>
      </w:r>
    </w:p>
    <w:p>
      <w:pPr>
        <w:spacing w:after="60" w:before="60"/>
      </w:pPr>
      <w:r>
        <w:rPr>
          <w:b/>
          <w:bCs/>
          <w:color w:val="E24B78"/>
          <w:sz w:val="19"/>
          <w:szCs w:val="19"/>
        </w:rPr>
        <w:t xml:space="preserve">·  </w:t>
      </w:r>
      <w:r>
        <w:rPr>
          <w:b/>
          <w:bCs/>
          <w:color w:val="33465C"/>
          <w:sz w:val="19"/>
          <w:szCs w:val="19"/>
        </w:rPr>
        <w:t xml:space="preserve">Assumir uma parte do plano</w:t>
      </w:r>
      <w:r>
        <w:rPr>
          <w:color w:val="6E86A6"/>
          <w:sz w:val="19"/>
          <w:szCs w:val="19"/>
        </w:rPr>
        <w:t xml:space="preserve">  — um acordo em que só a escola tem tarefas raramente se cumpre</w:t>
      </w:r>
    </w:p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6  </w:t>
      </w:r>
      <w:r>
        <w:rPr>
          <w:b/>
          <w:bCs/>
          <w:color w:val="33465C"/>
          <w:sz w:val="21"/>
          <w:szCs w:val="21"/>
        </w:rPr>
        <w:t xml:space="preserve">Antes de sair — preencher na sala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São estas três respostas que transformam intenções em compromissos verificáveis.</w:t>
      </w:r>
    </w:p>
    <w:p>
      <w:pPr>
        <w:spacing w:after="0" w:before="140"/>
      </w:pPr>
      <w:r>
        <w:rPr>
          <w:b/>
          <w:bCs/>
          <w:color w:val="33465C"/>
          <w:sz w:val="19"/>
          <w:szCs w:val="19"/>
        </w:rPr>
        <w:t xml:space="preserve">Quem fica responsável por cada medida?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0" w:before="140"/>
      </w:pPr>
      <w:r>
        <w:rPr>
          <w:b/>
          <w:bCs/>
          <w:color w:val="33465C"/>
          <w:sz w:val="19"/>
          <w:szCs w:val="19"/>
        </w:rPr>
        <w:t xml:space="preserve">A partir de que data começa a ser aplicada?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0" w:before="140"/>
      </w:pPr>
      <w:r>
        <w:rPr>
          <w:b/>
          <w:bCs/>
          <w:color w:val="33465C"/>
          <w:sz w:val="19"/>
          <w:szCs w:val="19"/>
        </w:rPr>
        <w:t xml:space="preserve">Quando é feita a próxima revisão?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80" w:before="160"/>
      </w:pPr>
      <w:r>
        <w:rPr>
          <w:color w:val="6E86A6"/>
          <w:sz w:val="16"/>
          <w:szCs w:val="16"/>
        </w:rPr>
        <w:t xml:space="preserve">Pedir que fique registado em ata não é desconfiança — é o que permite retomar o assunto sem recomeçar.</w:t>
      </w:r>
    </w:p>
    <w:p>
      <w:pPr>
        <w:spacing w:after="60" w:before="280"/>
      </w:pPr>
      <w:r>
        <w:rPr>
          <w:b/>
          <w:bCs/>
          <w:color w:val="E24B78"/>
          <w:sz w:val="20"/>
          <w:szCs w:val="20"/>
        </w:rPr>
        <w:t xml:space="preserve">7  </w:t>
      </w:r>
      <w:r>
        <w:rPr>
          <w:b/>
          <w:bCs/>
          <w:color w:val="33465C"/>
          <w:sz w:val="21"/>
          <w:szCs w:val="21"/>
        </w:rPr>
        <w:t xml:space="preserve">Depois da reunião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Dar notícias, incluindo as boas</w:t>
            </w:r>
          </w:p>
          <w:p>
            <w:r>
              <w:rPr>
                <w:color w:val="6E86A6"/>
                <w:sz w:val="16"/>
                <w:szCs w:val="16"/>
              </w:rPr>
              <w:t xml:space="preserve">Uma mensagem breve a dizer que uma medida está a resultar faz mais pela relação do que qualquer reunião. As escolas recebem sobretudo contactos quando algo corre mal; a família que também comunica o que corre bem torna-se um interlocutor diferente.</w:t>
            </w:r>
          </w:p>
        </w:tc>
      </w:tr>
    </w:tbl>
    <w:p>
      <w:pPr>
        <w:spacing w:after="20" w:before="240"/>
      </w:pPr>
      <w:r>
        <w:rPr>
          <w:color w:val="9FB6D0"/>
          <w:sz w:val="14"/>
          <w:szCs w:val="14"/>
        </w:rPr>
        <w:t xml:space="preserve">Enquadramento: Decreto-Lei n.º 54/2018, de 6 de julho — regime jurídico da educação inclusiva.</w:t>
      </w:r>
    </w:p>
    <w:p>
      <w:pPr>
        <w:spacing w:after="80" w:before="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Guião para a reunião na escola</dc:title>
  <dc:creator>Ricardina Correia</dc:creator>
  <cp:lastModifiedBy>Un-named</cp:lastModifiedBy>
  <cp:revision>1</cp:revision>
  <dcterms:created xsi:type="dcterms:W3CDTF">2026-08-13T07:54:32.516Z</dcterms:created>
  <dcterms:modified xsi:type="dcterms:W3CDTF">2026-08-13T07:54:32.516Z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