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142875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7B5BD6" w:sz="12" w:space="6"/>
        </w:pBdr>
        <w:spacing w:after="40" w:before="260"/>
      </w:pPr>
      <w:r>
        <w:rPr>
          <w:b/>
          <w:bCs/>
          <w:color w:val="33465C"/>
          <w:sz w:val="34"/>
          <w:szCs w:val="34"/>
        </w:rPr>
        <w:t xml:space="preserve">Maturação cortical na PHDA</w:t>
      </w:r>
    </w:p>
    <w:p>
      <w:pPr>
        <w:spacing w:after="160" w:before="80"/>
      </w:pPr>
      <w:r>
        <w:rPr>
          <w:color w:val="6E86A6"/>
          <w:sz w:val="18"/>
          <w:szCs w:val="18"/>
        </w:rPr>
        <w:t xml:space="preserve">Nota científica · os dados e os limites</w:t>
      </w:r>
    </w:p>
    <w:p>
      <w:pPr>
        <w:spacing w:after="80" w:before="40"/>
      </w:pPr>
      <w:r>
        <w:rPr>
          <w:color w:val="6E86A6"/>
          <w:sz w:val="17"/>
          <w:szCs w:val="17"/>
        </w:rPr>
        <w:t xml:space="preserve">Ouve-se com frequência que «o cérebro amadurece mais tarde». A afirmação tem base num estudo concreto, com dados concretos — e com limites que raramente são referidos quando a frase é repetida. Esta nota apresenta ambos.</w:t>
      </w:r>
    </w:p>
    <w:p>
      <w:pPr>
        <w:spacing w:after="60" w:before="280"/>
      </w:pPr>
      <w:r>
        <w:rPr>
          <w:b/>
          <w:bCs/>
          <w:color w:val="7B5BD6"/>
          <w:sz w:val="20"/>
          <w:szCs w:val="20"/>
        </w:rPr>
        <w:t xml:space="preserve">1  </w:t>
      </w:r>
      <w:r>
        <w:rPr>
          <w:b/>
          <w:bCs/>
          <w:color w:val="33465C"/>
          <w:sz w:val="21"/>
          <w:szCs w:val="21"/>
        </w:rPr>
        <w:t xml:space="preserve">O estudo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Shaw P. e colaboradores (2007), «Attention-deficit/hyperactivity disorder is characterized by a delay in cortical maturation», publicado nos Proceedings of the National Academy of Sciences. Estudo longitudinal do National Institute of Mental Health, com 223 crianças e adolescentes com diagnóstico de PHDA e 223 em desenvolvimento típico. Foram analisadas 824 ressonâncias magnéticas, com estimativa da espessura cortical em mais de 40 000 pontos do cérebro.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A medida usada foi a idade em que cada ponto do córtex atinge a sua espessura máxima — o momento em que o espessamento da infância dá lugar ao afinamento que se segue à puberdade.</w:t>
      </w:r>
    </w:p>
    <w:p>
      <w:pPr>
        <w:spacing w:after="60" w:before="280"/>
      </w:pPr>
      <w:r>
        <w:rPr>
          <w:b/>
          <w:bCs/>
          <w:color w:val="7B5BD6"/>
          <w:sz w:val="20"/>
          <w:szCs w:val="20"/>
        </w:rPr>
        <w:t xml:space="preserve">2  </w:t>
      </w:r>
      <w:r>
        <w:rPr>
          <w:b/>
          <w:bCs/>
          <w:color w:val="33465C"/>
          <w:sz w:val="21"/>
          <w:szCs w:val="21"/>
        </w:rPr>
        <w:t xml:space="preserve">O resultado</w:t>
      </w: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4048"/>
        <w:gridCol w:w="5590"/>
      </w:tblGrid>
      <w:tr>
        <w:trPr>
          <w:cantSplit/>
        </w:trPr>
        <w:tc>
          <w:tcPr>
            <w:tcW w:type="dxa" w:w="4048"/>
            <w:shd w:fill="F6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3465C"/>
                <w:sz w:val="15"/>
                <w:szCs w:val="15"/>
              </w:rPr>
              <w:t xml:space="preserve">Desenvolvimento típico</w:t>
            </w:r>
          </w:p>
        </w:tc>
        <w:tc>
          <w:tcPr>
            <w:tcW w:type="dxa" w:w="5590"/>
            <w:shd w:fill="F6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E86A6"/>
                <w:sz w:val="15"/>
                <w:szCs w:val="15"/>
              </w:rPr>
              <w:t xml:space="preserve">7,5 anos</w:t>
            </w:r>
          </w:p>
        </w:tc>
      </w:tr>
      <w:tr>
        <w:trPr>
          <w:cantSplit/>
        </w:trPr>
        <w:tc>
          <w:tcPr>
            <w:tcW w:type="dxa" w:w="404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3465C"/>
                <w:sz w:val="15"/>
                <w:szCs w:val="15"/>
              </w:rPr>
              <w:t xml:space="preserve">PHDA</w:t>
            </w:r>
          </w:p>
        </w:tc>
        <w:tc>
          <w:tcPr>
            <w:tcW w:type="dxa" w:w="559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7B5BD6"/>
                <w:sz w:val="15"/>
                <w:szCs w:val="15"/>
              </w:rPr>
              <w:t xml:space="preserve">10,5 anos  —  cerca de 3 anos de diferença</w:t>
            </w:r>
          </w:p>
        </w:tc>
      </w:tr>
    </w:tbl>
    <w:p>
      <w:pPr>
        <w:spacing w:after="80" w:before="40"/>
      </w:pPr>
      <w:r>
        <w:rPr>
          <w:color w:val="9FB6D0"/>
          <w:sz w:val="14"/>
          <w:szCs w:val="14"/>
        </w:rPr>
        <w:t xml:space="preserve">Idade mediana em que metade dos pontos corticais atingiu a espessura máxima.</w:t>
      </w:r>
    </w:p>
    <w:p>
      <w:pPr>
        <w:spacing w:after="80" w:before="120"/>
      </w:pPr>
      <w:r>
        <w:rPr>
          <w:color w:val="6E86A6"/>
          <w:sz w:val="16"/>
          <w:szCs w:val="16"/>
        </w:rPr>
        <w:t xml:space="preserve">O atraso foi mais acentuado nas regiões pré-frontais — as que sustentam o controlo da atenção, a inibição e o planeamento motor. No córtex pré-frontal médio a diferença chegou aos cinco anos; noutras regiões pré-frontais foi de cerca de dois. O córtex motor primário foi a única área a amadurecer ligeiramente mais cedo no grupo com PHDA.</w:t>
      </w:r>
    </w:p>
    <w:p>
      <w:pPr>
        <w:spacing w:before="200"/>
      </w:pPr>
    </w:p>
    <w:p>
      <w:pPr>
        <w:spacing w:after="60" w:before="280"/>
      </w:pPr>
      <w:r>
        <w:rPr>
          <w:b/>
          <w:bCs/>
          <w:color w:val="7B5BD6"/>
          <w:sz w:val="20"/>
          <w:szCs w:val="20"/>
        </w:rPr>
        <w:t xml:space="preserve">3  </w:t>
      </w:r>
      <w:r>
        <w:rPr>
          <w:b/>
          <w:bCs/>
          <w:color w:val="33465C"/>
          <w:sz w:val="21"/>
          <w:szCs w:val="21"/>
        </w:rPr>
        <w:t xml:space="preserve">O que o estudo mostra</w:t>
      </w:r>
    </w:p>
    <w:p>
      <w:pPr>
        <w:spacing w:after="50" w:before="50"/>
      </w:pPr>
      <w:r>
        <w:rPr>
          <w:b/>
          <w:bCs/>
          <w:color w:val="12A594"/>
          <w:sz w:val="18"/>
          <w:szCs w:val="18"/>
        </w:rPr>
        <w:t xml:space="preserve">·  </w:t>
      </w:r>
      <w:r>
        <w:rPr>
          <w:color w:val="33465C"/>
          <w:sz w:val="18"/>
          <w:szCs w:val="18"/>
        </w:rPr>
        <w:t xml:space="preserve">A sequência de maturação é a mesma nos dois grupos — as áreas sensoriais primárias amadurecem antes das áreas de associação. Muda o calendário, não a ordem.</w:t>
      </w:r>
    </w:p>
    <w:p>
      <w:pPr>
        <w:spacing w:after="50" w:before="50"/>
      </w:pPr>
      <w:r>
        <w:rPr>
          <w:b/>
          <w:bCs/>
          <w:color w:val="12A594"/>
          <w:sz w:val="18"/>
          <w:szCs w:val="18"/>
        </w:rPr>
        <w:t xml:space="preserve">·  </w:t>
      </w:r>
      <w:r>
        <w:rPr>
          <w:color w:val="33465C"/>
          <w:sz w:val="18"/>
          <w:szCs w:val="18"/>
        </w:rPr>
        <w:t xml:space="preserve">A diferença é sistemática e concentra-se precisamente nas regiões associadas às funções que estão comprometidas na PHDA.</w:t>
      </w:r>
    </w:p>
    <w:p>
      <w:pPr>
        <w:spacing w:after="50" w:before="50"/>
      </w:pPr>
      <w:r>
        <w:rPr>
          <w:b/>
          <w:bCs/>
          <w:color w:val="12A594"/>
          <w:sz w:val="18"/>
          <w:szCs w:val="18"/>
        </w:rPr>
        <w:t xml:space="preserve">·  </w:t>
      </w:r>
      <w:r>
        <w:rPr>
          <w:color w:val="33465C"/>
          <w:sz w:val="18"/>
          <w:szCs w:val="18"/>
        </w:rPr>
        <w:t xml:space="preserve">Isto apoia a leitura de atraso de maturação, e não de desvio do percurso típico.</w:t>
      </w:r>
    </w:p>
    <w:p>
      <w:pPr>
        <w:spacing w:after="60" w:before="280"/>
      </w:pPr>
      <w:r>
        <w:rPr>
          <w:b/>
          <w:bCs/>
          <w:color w:val="7B5BD6"/>
          <w:sz w:val="20"/>
          <w:szCs w:val="20"/>
        </w:rPr>
        <w:t xml:space="preserve">4  </w:t>
      </w:r>
      <w:r>
        <w:rPr>
          <w:b/>
          <w:bCs/>
          <w:color w:val="33465C"/>
          <w:sz w:val="21"/>
          <w:szCs w:val="21"/>
        </w:rPr>
        <w:t xml:space="preserve">Os limites — e são importantes</w:t>
      </w:r>
    </w:p>
    <w:p>
      <w:pPr>
        <w:spacing w:after="30" w:before="100"/>
      </w:pPr>
      <w:r>
        <w:rPr>
          <w:b/>
          <w:bCs/>
          <w:color w:val="33465C"/>
          <w:sz w:val="16"/>
          <w:szCs w:val="16"/>
        </w:rPr>
        <w:t xml:space="preserve">São dados de grupo, não de indivíduo.</w:t>
      </w:r>
    </w:p>
    <w:p>
      <w:r>
        <w:rPr>
          <w:color w:val="6E86A6"/>
          <w:sz w:val="15"/>
          <w:szCs w:val="15"/>
        </w:rPr>
        <w:t xml:space="preserve">Descrevem uma diferença entre médias de dois grupos de mais de duzentas pessoas. Não permitem dizer nada sobre o cérebro de uma criança em concreto, nem prever o seu percurso.</w:t>
      </w:r>
    </w:p>
    <w:p>
      <w:pPr>
        <w:spacing w:after="30" w:before="100"/>
      </w:pPr>
      <w:r>
        <w:rPr>
          <w:b/>
          <w:bCs/>
          <w:color w:val="33465C"/>
          <w:sz w:val="16"/>
          <w:szCs w:val="16"/>
        </w:rPr>
        <w:t xml:space="preserve">Não serve para diagnosticar.</w:t>
      </w:r>
    </w:p>
    <w:p>
      <w:r>
        <w:rPr>
          <w:color w:val="6E86A6"/>
          <w:sz w:val="15"/>
          <w:szCs w:val="15"/>
        </w:rPr>
        <w:t xml:space="preserve">A ressonância magnética não é, nem passou a ser, um exame de diagnóstico da PHDA. O diagnóstico continua a ser clínico, feito a partir da história, da observação e da informação de mais do que um contexto.</w:t>
      </w:r>
    </w:p>
    <w:p>
      <w:pPr>
        <w:spacing w:after="30" w:before="100"/>
      </w:pPr>
      <w:r>
        <w:rPr>
          <w:b/>
          <w:bCs/>
          <w:color w:val="33465C"/>
          <w:sz w:val="16"/>
          <w:szCs w:val="16"/>
        </w:rPr>
        <w:t xml:space="preserve">Atraso não é garantia de recuperação.</w:t>
      </w:r>
    </w:p>
    <w:p>
      <w:r>
        <w:rPr>
          <w:color w:val="6E86A6"/>
          <w:sz w:val="15"/>
          <w:szCs w:val="15"/>
        </w:rPr>
        <w:t xml:space="preserve">«Amadurece mais tarde» não significa «vai passar». Uma parte das crianças mantém dificuldades significativas na idade adulta, e o estudo não permite prever quem.</w:t>
      </w:r>
    </w:p>
    <w:p>
      <w:pPr>
        <w:spacing w:after="30" w:before="100"/>
      </w:pPr>
      <w:r>
        <w:rPr>
          <w:b/>
          <w:bCs/>
          <w:color w:val="33465C"/>
          <w:sz w:val="16"/>
          <w:szCs w:val="16"/>
        </w:rPr>
        <w:t xml:space="preserve">Não justifica esperar.</w:t>
      </w:r>
    </w:p>
    <w:p>
      <w:r>
        <w:rPr>
          <w:color w:val="6E86A6"/>
          <w:sz w:val="15"/>
          <w:szCs w:val="15"/>
        </w:rPr>
        <w:t xml:space="preserve">É o uso indevido mais frequente desta informação. O atraso de maturação não é razão para adiar apoio: é razão para o dar durante o período em que a diferença existe, que é precisamente a idade escolar.</w:t>
      </w:r>
    </w:p>
    <w:p>
      <w:pPr>
        <w:spacing w:after="30" w:before="100"/>
      </w:pPr>
      <w:r>
        <w:rPr>
          <w:b/>
          <w:bCs/>
          <w:color w:val="33465C"/>
          <w:sz w:val="16"/>
          <w:szCs w:val="16"/>
        </w:rPr>
        <w:t xml:space="preserve">É uma medida entre muitas.</w:t>
      </w:r>
    </w:p>
    <w:p>
      <w:r>
        <w:rPr>
          <w:color w:val="6E86A6"/>
          <w:sz w:val="15"/>
          <w:szCs w:val="15"/>
        </w:rPr>
        <w:t xml:space="preserve">A espessura cortical é um indicador estrutural. Não capta funcionamento, nem substitui os dados clínicos e comportamentais em que assenta a compreensão do caso.</w:t>
      </w:r>
    </w:p>
    <w:p>
      <w:pPr>
        <w:spacing w:before="260"/>
      </w:pP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6F7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3465C"/>
                <w:sz w:val="19"/>
                <w:szCs w:val="19"/>
              </w:rPr>
              <w:t xml:space="preserve">Para que serve saber isto</w:t>
            </w:r>
          </w:p>
          <w:p>
            <w:r>
              <w:rPr>
                <w:color w:val="6E86A6"/>
                <w:sz w:val="16"/>
                <w:szCs w:val="16"/>
              </w:rPr>
              <w:t xml:space="preserve">Não muda o que se faz. Muda a forma como se lê o que se vê: a diferença entre uma criança que não quer e uma criança cujo sistema de controlo está a chegar mais tarde. É essa leitura que sustenta a paciência necessária para aplicar, durante meses, as estratégias que funcionam.</w:t>
            </w:r>
          </w:p>
        </w:tc>
      </w:tr>
    </w:tbl>
    <w:p>
      <w:pPr>
        <w:spacing w:after="80" w:before="200"/>
      </w:pPr>
      <w:r>
        <w:rPr>
          <w:color w:val="9FB6D0"/>
          <w:sz w:val="14"/>
          <w:szCs w:val="14"/>
        </w:rPr>
        <w:t xml:space="preserve">Referência: Shaw P., Eckstrand K., Sharp W., Blumenthal J., Lerch J. P., Greenstein D., Clasen L., Evans A., Giedd J., Rapoport J. L. (2007). Attention-deficit/hyperactivity disorder is characterized by a delay in cortical maturation. PNAS, 104(49), 19649–19654.</w:t>
      </w:r>
    </w:p>
    <w:p>
      <w:pPr>
        <w:spacing w:after="80" w:before="40"/>
      </w:pPr>
      <w:r>
        <w:rPr>
          <w:color w:val="9FB6D0"/>
          <w:sz w:val="14"/>
          <w:szCs w:val="14"/>
        </w:rPr>
        <w:t xml:space="preserve">Utilização livre, sem alteração e sem fins comerciais. Não substitui avaliação nem acompanhamento profissional.</w:t>
      </w:r>
    </w:p>
    <w:sectPr>
      <w:footerReference w:type="default" r:id="rId7"/>
      <w:pgSz w:w="11906" w:h="16838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EF" w:sz="4" w:space="6"/>
      </w:pBdr>
    </w:pPr>
    <w:r>
      <w:rPr>
        <w:color w:val="9FB6D0"/>
        <w:sz w:val="14"/>
        <w:szCs w:val="14"/>
      </w:rPr>
      <w:t xml:space="preserve">Ricardina Correia  ·  Psicologia pediátrica  ·  ricardinacorreia.pt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65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7d79fd02f886ac46a54cd3e884cc4a7983a530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Maturação cortical na PHDA — nota científica</dc:title>
  <dc:creator>Ricardina Correia</dc:creator>
  <cp:lastModifiedBy>Un-named</cp:lastModifiedBy>
  <cp:revision>1</cp:revision>
  <dcterms:created xsi:type="dcterms:W3CDTF">2026-08-13T07:54:32.695Z</dcterms:created>
  <dcterms:modified xsi:type="dcterms:W3CDTF">2026-08-13T07:54:32.695Z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