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14287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24B78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PHDA — o essencial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Perturbação de hiperatividade e défice de atenção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CEBF1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993556"/>
                <w:sz w:val="21"/>
                <w:szCs w:val="21"/>
              </w:rPr>
              <w:t xml:space="preserve">Não é uma dificuldade em saber o que fazer.</w:t>
            </w:r>
          </w:p>
          <w:p>
            <w:pPr>
              <w:jc w:val="center"/>
            </w:pPr>
            <w:r>
              <w:rPr>
                <w:b/>
                <w:bCs/>
                <w:color w:val="993556"/>
                <w:sz w:val="21"/>
                <w:szCs w:val="21"/>
              </w:rPr>
              <w:t xml:space="preserve">É uma dificuldade em fazer aquilo que se sabe.</w:t>
            </w:r>
          </w:p>
        </w:tc>
      </w:tr>
    </w:tbl>
    <w:p>
      <w:pPr>
        <w:spacing w:after="80" w:before="200"/>
      </w:pPr>
      <w:r>
        <w:rPr>
          <w:color w:val="6E86A6"/>
          <w:sz w:val="17"/>
          <w:szCs w:val="17"/>
        </w:rPr>
        <w:t xml:space="preserve">O que está comprometido não é o conhecimento da regra — é o sistema que converte o que se sabe em ação, no momento certo, sem que alguém esteja ao lado a lembrar. Esse sistema chama-se funções executivas: travar o impulso, manter uma instrução na cabeça, planear, gerir o tempo, sustentar o esforço e regular a emoção.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4759"/>
              <w:tblBorders>
                <w:top w:val="single" w:color="E2E7EF" w:sz="4"/>
                <w:left w:val="single" w:color="E2E7EF" w:sz="4"/>
                <w:bottom w:val="single" w:color="E2E7EF" w:sz="4"/>
                <w:right w:val="single" w:color="E2E7EF" w:sz="4"/>
                <w:insideH w:val="single" w:color="auto" w:sz="4"/>
                <w:insideV w:val="single" w:color="auto" w:sz="4"/>
              </w:tblBorders>
            </w:tblPr>
            <w:tblGrid>
              <w:gridCol w:w="4759"/>
            </w:tblGrid>
            <w:tr>
              <w:trPr>
                <w:cantSplit/>
              </w:trPr>
              <w:tc>
                <w:tcPr>
                  <w:tcW w:type="dxa" w:w="4759"/>
                  <w:shd w:fill="F4FAF8" w:val="clear"/>
                  <w:tcMar>
                    <w:top w:type="dxa" w:w="130"/>
                    <w:left w:type="dxa" w:w="150"/>
                    <w:bottom w:type="dxa" w:w="130"/>
                    <w:right w:type="dxa" w:w="150"/>
                  </w:tcMar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O QUE É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Uma dificuldade de autorregulação e de funções executivas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Uma condição do neurodesenvolvimento, com forte componente hereditária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Variável conforme as condições — melhora com interesse e retorno imediato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Acompanhada, muitas vezes, de reatividade emocional intensa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Presente em mais do que um contexto de vida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4759"/>
              <w:tblBorders>
                <w:top w:val="single" w:color="E2E7EF" w:sz="4"/>
                <w:left w:val="single" w:color="E2E7EF" w:sz="4"/>
                <w:bottom w:val="single" w:color="E2E7EF" w:sz="4"/>
                <w:right w:val="single" w:color="E2E7EF" w:sz="4"/>
                <w:insideH w:val="single" w:color="auto" w:sz="4"/>
                <w:insideV w:val="single" w:color="auto" w:sz="4"/>
              </w:tblBorders>
            </w:tblPr>
            <w:tblGrid>
              <w:gridCol w:w="4759"/>
            </w:tblGrid>
            <w:tr>
              <w:trPr>
                <w:cantSplit/>
              </w:trPr>
              <w:tc>
                <w:tcPr>
                  <w:tcW w:type="dxa" w:w="4759"/>
                  <w:shd w:fill="FDF6F8" w:val="clear"/>
                  <w:tcMar>
                    <w:top w:type="dxa" w:w="130"/>
                    <w:left w:type="dxa" w:w="150"/>
                    <w:bottom w:type="dxa" w:w="130"/>
                    <w:right w:type="dxa" w:w="150"/>
                  </w:tcMar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E24B78"/>
                      <w:sz w:val="15"/>
                      <w:szCs w:val="15"/>
                    </w:rPr>
                    <w:t xml:space="preserve">O QUE NÃO É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E24B78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Falta de vontade, preguiça ou má-educação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E24B78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Consequência de más práticas parentais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E24B78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Falta de inteligência — não há relação com a capacidade cognitiva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E24B78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Uma invenção recente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E24B78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Uma fase que passa só com o tempo</w:t>
                  </w:r>
                </w:p>
              </w:tc>
            </w:tr>
          </w:tbl>
          <w:p/>
        </w:tc>
      </w:tr>
    </w:tbl>
    <w:p>
      <w:pPr>
        <w:spacing w:after="60" w:before="300"/>
      </w:pPr>
      <w:r>
        <w:rPr>
          <w:b/>
          <w:bCs/>
          <w:color w:val="33465C"/>
          <w:sz w:val="19"/>
          <w:szCs w:val="19"/>
        </w:rPr>
        <w:t xml:space="preserve">Porque é que varia tanto de dia para dia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Três horas de Lego e cinco minutos de cópia não são contraditórios: são a mesma dificuldade em condições opostas. O que é interessante, novo, intenso ou com retorno imediato fornece de fora aquilo que a criança não consegue gerar de dentro.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4759"/>
              <w:tblBorders>
                <w:top w:val="single" w:color="E2E7EF" w:sz="4"/>
                <w:left w:val="single" w:color="E2E7EF" w:sz="4"/>
                <w:bottom w:val="single" w:color="E2E7EF" w:sz="4"/>
                <w:right w:val="single" w:color="E2E7EF" w:sz="4"/>
                <w:insideH w:val="single" w:color="auto" w:sz="4"/>
                <w:insideV w:val="single" w:color="auto" w:sz="4"/>
              </w:tblBorders>
            </w:tblPr>
            <w:tblGrid>
              <w:gridCol w:w="4759"/>
            </w:tblGrid>
            <w:tr>
              <w:trPr>
                <w:cantSplit/>
              </w:trPr>
              <w:tc>
                <w:tcPr>
                  <w:tcW w:type="dxa" w:w="4759"/>
                  <w:shd w:fill="F4FAF8" w:val="clear"/>
                  <w:tcMar>
                    <w:top w:type="dxa" w:w="130"/>
                    <w:left w:type="dxa" w:w="150"/>
                    <w:bottom w:type="dxa" w:w="130"/>
                    <w:right w:type="dxa" w:w="150"/>
                  </w:tcMar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MELHORA QUANDO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Tarefa nova, interessante ou intensa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Alguém presente ao lado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Retorno imediato e frequente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Passos curtos com fim visível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Tempo tornado percetível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4759"/>
              <w:tblBorders>
                <w:top w:val="single" w:color="E2E7EF" w:sz="4"/>
                <w:left w:val="single" w:color="E2E7EF" w:sz="4"/>
                <w:bottom w:val="single" w:color="E2E7EF" w:sz="4"/>
                <w:right w:val="single" w:color="E2E7EF" w:sz="4"/>
                <w:insideH w:val="single" w:color="auto" w:sz="4"/>
                <w:insideV w:val="single" w:color="auto" w:sz="4"/>
              </w:tblBorders>
            </w:tblPr>
            <w:tblGrid>
              <w:gridCol w:w="4759"/>
            </w:tblGrid>
            <w:tr>
              <w:trPr>
                <w:cantSplit/>
              </w:trPr>
              <w:tc>
                <w:tcPr>
                  <w:tcW w:type="dxa" w:w="4759"/>
                  <w:shd w:fill="F6F7FA" w:val="clear"/>
                  <w:tcMar>
                    <w:top w:type="dxa" w:w="130"/>
                    <w:left w:type="dxa" w:w="150"/>
                    <w:bottom w:type="dxa" w:w="130"/>
                    <w:right w:type="dxa" w:w="150"/>
                  </w:tcMar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6E86A6"/>
                      <w:sz w:val="15"/>
                      <w:szCs w:val="15"/>
                    </w:rPr>
                    <w:t xml:space="preserve">PIORA QUANDO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6E86A6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Tarefa repetitiva ou longa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6E86A6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Sem resultado visível a curto prazo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6E86A6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Recompensa distante no tempo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6E86A6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Várias instruções seguidas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6E86A6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Fim de dia, cansaço acumulado</w:t>
                  </w:r>
                </w:p>
              </w:tc>
            </w:tr>
          </w:tbl>
          <w:p/>
        </w:tc>
      </w:tr>
    </w:tbl>
    <w:p>
      <w:pPr>
        <w:spacing w:before="30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465C"/>
                <w:sz w:val="19"/>
                <w:szCs w:val="19"/>
              </w:rPr>
              <w:t xml:space="preserve">O que custa mais não são os sintomas</w:t>
            </w:r>
          </w:p>
          <w:p>
            <w:r>
              <w:rPr>
                <w:color w:val="6E86A6"/>
                <w:sz w:val="16"/>
                <w:szCs w:val="16"/>
              </w:rPr>
              <w:t xml:space="preserve">É o que se constrói à volta deles. Uma criança que ouve durante anos que é preguiçosa acaba por acreditar, e passa a desistir antes de tentar. Mudar a leitura — de falha de carácter para dificuldade de funcionamento — é a intervenção que mais altera o percurso.</w:t>
            </w:r>
          </w:p>
        </w:tc>
      </w:tr>
    </w:tbl>
    <w:p>
      <w:r>
        <w:br w:type="page"/>
      </w:r>
    </w:p>
    <w:p>
      <w:pPr>
        <w:pBdr>
          <w:bottom w:val="single" w:color="E24B78" w:sz="12" w:space="6"/>
        </w:pBdr>
        <w:spacing w:after="40" w:before="260"/>
      </w:pPr>
      <w:r>
        <w:rPr>
          <w:b/>
          <w:bCs/>
          <w:color w:val="33465C"/>
          <w:sz w:val="34"/>
          <w:szCs w:val="34"/>
        </w:rPr>
        <w:t xml:space="preserve">PHDA — o que ajuda</w:t>
      </w:r>
    </w:p>
    <w:p>
      <w:pPr>
        <w:spacing w:after="160" w:before="80"/>
      </w:pPr>
      <w:r>
        <w:rPr>
          <w:color w:val="6E86A6"/>
          <w:sz w:val="18"/>
          <w:szCs w:val="18"/>
        </w:rPr>
        <w:t xml:space="preserve">Em casa, na sala de aula, e o que se diz à criança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Se a dificuldade é converter conhecimento em ação, a intervenção tem de acontecer no momento e no local em que a ação falha — não em conversas sobre o assunto noutro momento.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4759"/>
              <w:tblBorders>
                <w:top w:val="single" w:color="E2E7EF" w:sz="4"/>
                <w:left w:val="single" w:color="E2E7EF" w:sz="4"/>
                <w:bottom w:val="single" w:color="E2E7EF" w:sz="4"/>
                <w:right w:val="single" w:color="E2E7EF" w:sz="4"/>
                <w:insideH w:val="single" w:color="auto" w:sz="4"/>
                <w:insideV w:val="single" w:color="auto" w:sz="4"/>
              </w:tblBorders>
            </w:tblPr>
            <w:tblGrid>
              <w:gridCol w:w="4759"/>
            </w:tblGrid>
            <w:tr>
              <w:trPr>
                <w:cantSplit/>
              </w:trPr>
              <w:tc>
                <w:tcPr>
                  <w:tcW w:type="dxa" w:w="4759"/>
                  <w:shd w:fill="F4FAF8" w:val="clear"/>
                  <w:tcMar>
                    <w:top w:type="dxa" w:w="130"/>
                    <w:left w:type="dxa" w:w="150"/>
                    <w:bottom w:type="dxa" w:w="130"/>
                    <w:right w:type="dxa" w:w="150"/>
                  </w:tcMar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EM CASA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Uma instrução de cada vez, e só a seguinte quando a primeira estiver feita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Tornar o tempo visível: temporizador ou ampulheta à vista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Rotinas escritas ou ilustradas no sítio onde a tarefa acontece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Reconhecer o esforço no momento, e não no fim da semana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Escolher duas ou três exigências de cada vez, em vez de corrigir tudo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12A594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Proteger a atividade em que a criança é competente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tbl>
            <w:tblPr>
              <w:tblW w:type="dxa" w:w="4759"/>
              <w:tblBorders>
                <w:top w:val="single" w:color="E2E7EF" w:sz="4"/>
                <w:left w:val="single" w:color="E2E7EF" w:sz="4"/>
                <w:bottom w:val="single" w:color="E2E7EF" w:sz="4"/>
                <w:right w:val="single" w:color="E2E7EF" w:sz="4"/>
                <w:insideH w:val="single" w:color="auto" w:sz="4"/>
                <w:insideV w:val="single" w:color="auto" w:sz="4"/>
              </w:tblBorders>
            </w:tblPr>
            <w:tblGrid>
              <w:gridCol w:w="4759"/>
            </w:tblGrid>
            <w:tr>
              <w:trPr>
                <w:cantSplit/>
              </w:trPr>
              <w:tc>
                <w:tcPr>
                  <w:tcW w:type="dxa" w:w="4759"/>
                  <w:shd w:fill="F5F8FC" w:val="clear"/>
                  <w:tcMar>
                    <w:top w:type="dxa" w:w="130"/>
                    <w:left w:type="dxa" w:w="150"/>
                    <w:bottom w:type="dxa" w:w="130"/>
                    <w:right w:type="dxa" w:w="150"/>
                  </w:tcMar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NA SALA DE AULA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Lugar que reduza distrações, perto do professor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Enunciados divididos em partes, com verificação a meio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Instruções por escrito além de ditas em voz alta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Tempo adicional, ou menos itens com a mesma exigência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Sinal combinado para retomar a atenção, sem exposição perante a turma</w:t>
                  </w:r>
                </w:p>
                <w:p>
                  <w:pPr>
                    <w:spacing w:after="40" w:before="40"/>
                  </w:pPr>
                  <w:r>
                    <w:rPr>
                      <w:b/>
                      <w:bCs/>
                      <w:color w:val="0C447C"/>
                      <w:sz w:val="15"/>
                      <w:szCs w:val="15"/>
                    </w:rPr>
                    <w:t xml:space="preserve">·  </w:t>
                  </w:r>
                  <w:r>
                    <w:rPr>
                      <w:color w:val="33465C"/>
                      <w:sz w:val="15"/>
                      <w:szCs w:val="15"/>
                    </w:rPr>
                    <w:t xml:space="preserve">Momentos previstos de movimento, em vez de os suprimir</w:t>
                  </w:r>
                </w:p>
              </w:tc>
            </w:tr>
          </w:tbl>
          <w:p/>
        </w:tc>
      </w:tr>
    </w:tbl>
    <w:p>
      <w:pPr>
        <w:spacing w:after="60" w:before="300"/>
      </w:pPr>
      <w:r>
        <w:rPr>
          <w:b/>
          <w:bCs/>
          <w:color w:val="33465C"/>
          <w:sz w:val="19"/>
          <w:szCs w:val="19"/>
        </w:rPr>
        <w:t xml:space="preserve">O que se diz à criança</w:t>
      </w:r>
    </w:p>
    <w:p>
      <w:pPr>
        <w:spacing w:after="80" w:before="40"/>
      </w:pPr>
      <w:r>
        <w:rPr>
          <w:color w:val="6E86A6"/>
          <w:sz w:val="16"/>
          <w:szCs w:val="16"/>
        </w:rPr>
        <w:t xml:space="preserve">Uma explicação que nomeie a dificuldade sem a transformar em identidade, e que inclua o que ela faz bem. Por exemplo:</w:t>
      </w: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CFBF7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r>
              <w:rPr>
                <w:color w:val="5C5340"/>
                <w:sz w:val="18"/>
                <w:szCs w:val="18"/>
              </w:rPr>
              <w:t xml:space="preserve">«O teu cérebro trabalha depressa e tem muitas ideias ao mesmo tempo. Isso é bom para muitas coisas, e torna outras mais difíceis — como esperar, ou começar coisas aborrecidas. Vamos aprender truques para essas.»</w:t>
            </w:r>
          </w:p>
        </w:tc>
      </w:tr>
    </w:tbl>
    <w:p>
      <w:pPr>
        <w:spacing w:after="60" w:before="300"/>
      </w:pPr>
      <w:r>
        <w:rPr>
          <w:b/>
          <w:bCs/>
          <w:color w:val="33465C"/>
          <w:sz w:val="19"/>
          <w:szCs w:val="19"/>
        </w:rPr>
        <w:t xml:space="preserve">Quando vale a pena avaliar</w:t>
      </w:r>
    </w:p>
    <w:p>
      <w:pPr>
        <w:spacing w:after="40" w:before="40"/>
      </w:pPr>
      <w:r>
        <w:rPr>
          <w:b/>
          <w:bCs/>
          <w:color w:val="E24B78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As dificuldades aparecem em mais do que um contexto, e não apenas num deles.</w:t>
      </w:r>
    </w:p>
    <w:p>
      <w:pPr>
        <w:spacing w:after="40" w:before="40"/>
      </w:pPr>
      <w:r>
        <w:rPr>
          <w:b/>
          <w:bCs/>
          <w:color w:val="E24B78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Mantêm-se há vários meses e não melhoram com os ajustes já feitos.</w:t>
      </w:r>
    </w:p>
    <w:p>
      <w:pPr>
        <w:spacing w:after="40" w:before="40"/>
      </w:pPr>
      <w:r>
        <w:rPr>
          <w:b/>
          <w:bCs/>
          <w:color w:val="E24B78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Há diferença acentuada entre o esforço feito e os resultados obtidos.</w:t>
      </w:r>
    </w:p>
    <w:p>
      <w:pPr>
        <w:spacing w:after="40" w:before="40"/>
      </w:pPr>
      <w:r>
        <w:rPr>
          <w:b/>
          <w:bCs/>
          <w:color w:val="E24B78"/>
          <w:sz w:val="18"/>
          <w:szCs w:val="18"/>
        </w:rPr>
        <w:t xml:space="preserve">·  </w:t>
      </w:r>
      <w:r>
        <w:rPr>
          <w:color w:val="33465C"/>
          <w:sz w:val="18"/>
          <w:szCs w:val="18"/>
        </w:rPr>
        <w:t xml:space="preserve">Existem sinais de sofrimento: desânimo, recusa da escola, isolamento dos pares.</w:t>
      </w:r>
    </w:p>
    <w:p>
      <w:pPr>
        <w:spacing w:before="260"/>
      </w:pPr>
    </w:p>
    <w:tbl>
      <w:tblPr>
        <w:tblW w:type="dxa" w:w="9638"/>
        <w:tblBorders>
          <w:top w:val="single" w:color="E2E7EF" w:sz="4"/>
          <w:left w:val="single" w:color="E2E7EF" w:sz="4"/>
          <w:bottom w:val="single" w:color="E2E7EF" w:sz="4"/>
          <w:right w:val="single" w:color="E2E7EF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465C"/>
                <w:sz w:val="19"/>
                <w:szCs w:val="19"/>
              </w:rPr>
              <w:t xml:space="preserve">Mais materiais e artigos</w:t>
            </w:r>
          </w:p>
          <w:p>
            <w:r>
              <w:rPr>
                <w:color w:val="6E86A6"/>
                <w:sz w:val="16"/>
                <w:szCs w:val="16"/>
              </w:rPr>
              <w:t xml:space="preserve">Grelhas de observação, guiões para a reunião na escola, registo de sono e artigos sobre neurodesenvolvimento, emoções e aprendizagem. Acesso livre, sem registo, em ricardinacorreia.pt/materiais</w:t>
            </w:r>
          </w:p>
        </w:tc>
      </w:tr>
    </w:tbl>
    <w:p>
      <w:pPr>
        <w:spacing w:after="80" w:before="200"/>
      </w:pPr>
      <w:r>
        <w:rPr>
          <w:color w:val="9FB6D0"/>
          <w:sz w:val="14"/>
          <w:szCs w:val="14"/>
        </w:rPr>
        <w:t xml:space="preserve">Utilização livre, sem alteração e sem fins comerciais. Não substitui avaliação nem acompanhamento profissional.</w:t>
      </w:r>
    </w:p>
    <w:sectPr>
      <w:footerReference w:type="default" r:id="rId7"/>
      <w:pgSz w:w="11906" w:h="16838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7EF" w:sz="4" w:space="6"/>
      </w:pBdr>
    </w:pPr>
    <w:r>
      <w:rPr>
        <w:color w:val="9FB6D0"/>
        <w:sz w:val="14"/>
        <w:szCs w:val="14"/>
      </w:rPr>
      <w:t xml:space="preserve">Ricardina Correia  ·  Psicologia pediátrica  ·  ricardinacorreia.pt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65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d79fd02f886ac46a54cd3e884cc4a7983a53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PHDA — o essencial</dc:title>
  <dc:creator>Ricardina Correia</dc:creator>
  <cp:lastModifiedBy>Un-named</cp:lastModifiedBy>
  <cp:revision>1</cp:revision>
  <dcterms:created xsi:type="dcterms:W3CDTF">2026-08-13T07:54:32.629Z</dcterms:created>
  <dcterms:modified xsi:type="dcterms:W3CDTF">2026-08-13T07:54:32.629Z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