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7B5BD6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Registo de sono — três semanas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Preencher à noite e de manhã · levar à consulta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Ao fim de três semanas o padrão torna-se visível — e nem sempre corresponde à impressão que a família tem. É esse padrão, e não a memória de quem está cansado, que serve de base às alterações a introduzir na rotina.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Importante: registar primeiro, alterar depois. As três semanas servem para observar a rotina como ela é hoje. Se se mudarem coisas a meio, deixa de haver ponto de partida com que comparar.</w:t>
      </w:r>
    </w:p>
    <w:p>
      <w:pPr>
        <w:spacing w:after="80" w:before="240"/>
      </w:pPr>
      <w:r>
        <w:rPr>
          <w:b/>
          <w:bCs/>
          <w:color w:val="7B5BD6"/>
          <w:sz w:val="19"/>
          <w:szCs w:val="19"/>
        </w:rPr>
        <w:t xml:space="preserve">Exemplo de preenchimento</w:t>
      </w:r>
      <w:r>
        <w:rPr>
          <w:color w:val="9FB6D0"/>
          <w:sz w:val="15"/>
          <w:szCs w:val="15"/>
        </w:rPr>
        <w:t xml:space="preserve">   (não preencher esta — é só para mostrar como se faz)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200"/>
        <w:gridCol w:w="1300"/>
        <w:gridCol w:w="1050"/>
        <w:gridCol w:w="1400"/>
        <w:gridCol w:w="2788"/>
      </w:tblGrid>
      <w:tr>
        <w:trPr>
          <w:cantSplit/>
        </w:trPr>
        <w:tc>
          <w:tcPr>
            <w:tcW w:type="dxa" w:w="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Data</w:t>
            </w:r>
          </w:p>
        </w:tc>
        <w:tc>
          <w:tcPr>
            <w:tcW w:type="dxa" w:w="10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Deitou-se</w:t>
            </w:r>
          </w:p>
        </w:tc>
        <w:tc>
          <w:tcPr>
            <w:tcW w:type="dxa" w:w="12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Adormeceu ao fim de</w:t>
            </w:r>
          </w:p>
        </w:tc>
        <w:tc>
          <w:tcPr>
            <w:tcW w:type="dxa" w:w="13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Acordou durante a noite</w:t>
            </w:r>
          </w:p>
        </w:tc>
        <w:tc>
          <w:tcPr>
            <w:tcW w:type="dxa" w:w="105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Levantou-se</w:t>
            </w:r>
          </w:p>
        </w:tc>
        <w:tc>
          <w:tcPr>
            <w:tcW w:type="dxa" w:w="14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acordou</w:t>
            </w:r>
          </w:p>
        </w:tc>
        <w:tc>
          <w:tcPr>
            <w:tcW w:type="dxa" w:w="278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Notas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21h40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45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1 vez, 3h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7h10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Difícil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Fez os TPC até tarde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21h30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20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Não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7h00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Bem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22h15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1h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 vezes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7h05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Muito difícil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Treino, deitou-se tarde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21h30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25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Não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7h00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Bem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22h30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15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Não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8h20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Bem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Sexta, deixámos ver TV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23h00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30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Não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9h30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Bem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22h00</w:t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50 min</w:t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1 vez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7h15</w:t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Difícil</w:t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>Ansioso com a semana</w:t>
            </w:r>
          </w:p>
        </w:tc>
      </w:tr>
    </w:tbl>
    <w:p>
      <w:pPr>
        <w:spacing w:after="80" w:before="300"/>
      </w:pPr>
      <w:r>
        <w:rPr>
          <w:b/>
          <w:bCs/>
          <w:color w:val="33465C"/>
          <w:sz w:val="19"/>
          <w:szCs w:val="19"/>
        </w:rPr>
        <w:t xml:space="preserve">Semana 1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200"/>
        <w:gridCol w:w="1300"/>
        <w:gridCol w:w="1050"/>
        <w:gridCol w:w="1400"/>
        <w:gridCol w:w="2788"/>
      </w:tblGrid>
      <w:tr>
        <w:trPr>
          <w:cantSplit/>
        </w:trPr>
        <w:tc>
          <w:tcPr>
            <w:tcW w:type="dxa" w:w="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Data</w:t>
            </w:r>
          </w:p>
        </w:tc>
        <w:tc>
          <w:tcPr>
            <w:tcW w:type="dxa" w:w="10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Deitou-se</w:t>
            </w:r>
          </w:p>
        </w:tc>
        <w:tc>
          <w:tcPr>
            <w:tcW w:type="dxa" w:w="12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Adormeceu ao fim de</w:t>
            </w:r>
          </w:p>
        </w:tc>
        <w:tc>
          <w:tcPr>
            <w:tcW w:type="dxa" w:w="13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Acordou durante a noite</w:t>
            </w:r>
          </w:p>
        </w:tc>
        <w:tc>
          <w:tcPr>
            <w:tcW w:type="dxa" w:w="105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Levantou-se</w:t>
            </w:r>
          </w:p>
        </w:tc>
        <w:tc>
          <w:tcPr>
            <w:tcW w:type="dxa" w:w="14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acordou</w:t>
            </w:r>
          </w:p>
        </w:tc>
        <w:tc>
          <w:tcPr>
            <w:tcW w:type="dxa" w:w="278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Notas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33465C"/>
          <w:sz w:val="19"/>
          <w:szCs w:val="19"/>
        </w:rPr>
        <w:t xml:space="preserve">Semana 2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200"/>
        <w:gridCol w:w="1300"/>
        <w:gridCol w:w="1050"/>
        <w:gridCol w:w="1400"/>
        <w:gridCol w:w="2788"/>
      </w:tblGrid>
      <w:tr>
        <w:trPr>
          <w:cantSplit/>
        </w:trPr>
        <w:tc>
          <w:tcPr>
            <w:tcW w:type="dxa" w:w="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Data</w:t>
            </w:r>
          </w:p>
        </w:tc>
        <w:tc>
          <w:tcPr>
            <w:tcW w:type="dxa" w:w="10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Deitou-se</w:t>
            </w:r>
          </w:p>
        </w:tc>
        <w:tc>
          <w:tcPr>
            <w:tcW w:type="dxa" w:w="12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Adormeceu ao fim de</w:t>
            </w:r>
          </w:p>
        </w:tc>
        <w:tc>
          <w:tcPr>
            <w:tcW w:type="dxa" w:w="13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Acordou durante a noite</w:t>
            </w:r>
          </w:p>
        </w:tc>
        <w:tc>
          <w:tcPr>
            <w:tcW w:type="dxa" w:w="105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Levantou-se</w:t>
            </w:r>
          </w:p>
        </w:tc>
        <w:tc>
          <w:tcPr>
            <w:tcW w:type="dxa" w:w="14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acordou</w:t>
            </w:r>
          </w:p>
        </w:tc>
        <w:tc>
          <w:tcPr>
            <w:tcW w:type="dxa" w:w="278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Notas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300"/>
      </w:pPr>
      <w:r>
        <w:rPr>
          <w:b/>
          <w:bCs/>
          <w:color w:val="33465C"/>
          <w:sz w:val="19"/>
          <w:szCs w:val="19"/>
        </w:rPr>
        <w:t xml:space="preserve">Semana 3 — de ___ / ___ a ___ / ___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200"/>
        <w:gridCol w:w="1300"/>
        <w:gridCol w:w="1050"/>
        <w:gridCol w:w="1400"/>
        <w:gridCol w:w="2788"/>
      </w:tblGrid>
      <w:tr>
        <w:trPr>
          <w:cantSplit/>
        </w:trPr>
        <w:tc>
          <w:tcPr>
            <w:tcW w:type="dxa" w:w="9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Data</w:t>
            </w:r>
          </w:p>
        </w:tc>
        <w:tc>
          <w:tcPr>
            <w:tcW w:type="dxa" w:w="10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Deitou-se</w:t>
            </w:r>
          </w:p>
        </w:tc>
        <w:tc>
          <w:tcPr>
            <w:tcW w:type="dxa" w:w="12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Adormeceu ao fim de</w:t>
            </w:r>
          </w:p>
        </w:tc>
        <w:tc>
          <w:tcPr>
            <w:tcW w:type="dxa" w:w="13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Acordou durante a noite</w:t>
            </w:r>
          </w:p>
        </w:tc>
        <w:tc>
          <w:tcPr>
            <w:tcW w:type="dxa" w:w="105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Levantou-se</w:t>
            </w:r>
          </w:p>
        </w:tc>
        <w:tc>
          <w:tcPr>
            <w:tcW w:type="dxa" w:w="1400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Como acordou</w:t>
            </w:r>
          </w:p>
        </w:tc>
        <w:tc>
          <w:tcPr>
            <w:tcW w:type="dxa" w:w="2788"/>
            <w:shd w:fill="F6F7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6E86A6"/>
                <w:sz w:val="13"/>
                <w:szCs w:val="13"/>
              </w:rPr>
              <w:t xml:space="preserve">Notas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Seg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Ter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Qua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Qui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Sex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Sáb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9FB6D0"/>
                <w:sz w:val="15"/>
                <w:szCs w:val="15"/>
              </w:rPr>
              <w:t xml:space="preserve">Dom</w:t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  <w:tc>
          <w:tcPr>
            <w:tcW w:type="dxa" w:w="278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color w:val="6E86A6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280"/>
      </w:pPr>
      <w:r>
        <w:rPr>
          <w:b/>
          <w:bCs/>
          <w:color w:val="7B5BD6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O que também vale a pena anotar</w:t>
      </w:r>
    </w:p>
    <w:p>
      <w:pPr>
        <w:spacing w:after="50" w:before="50"/>
      </w:pPr>
      <w:r>
        <w:rPr>
          <w:b/>
          <w:bCs/>
          <w:color w:val="7B5BD6"/>
          <w:sz w:val="18"/>
          <w:szCs w:val="18"/>
        </w:rPr>
        <w:t xml:space="preserve">·  </w:t>
      </w:r>
      <w:r>
        <w:rPr>
          <w:color w:val="6E86A6"/>
          <w:sz w:val="18"/>
          <w:szCs w:val="18"/>
        </w:rPr>
        <w:t xml:space="preserve">O que aconteceu nos dias em que foi mais difícil adormecer — houve treino, ecrãs, discussão, teste no dia seguinte?</w:t>
      </w:r>
    </w:p>
    <w:p>
      <w:pPr>
        <w:spacing w:after="50" w:before="50"/>
      </w:pPr>
      <w:r>
        <w:rPr>
          <w:b/>
          <w:bCs/>
          <w:color w:val="7B5BD6"/>
          <w:sz w:val="18"/>
          <w:szCs w:val="18"/>
        </w:rPr>
        <w:t xml:space="preserve">·  </w:t>
      </w:r>
      <w:r>
        <w:rPr>
          <w:color w:val="6E86A6"/>
          <w:sz w:val="18"/>
          <w:szCs w:val="18"/>
        </w:rPr>
        <w:t xml:space="preserve">Quem esteve presente no adormecer, e se foi preciso ficar até adormecer.</w:t>
      </w:r>
    </w:p>
    <w:p>
      <w:pPr>
        <w:spacing w:after="50" w:before="50"/>
      </w:pPr>
      <w:r>
        <w:rPr>
          <w:b/>
          <w:bCs/>
          <w:color w:val="7B5BD6"/>
          <w:sz w:val="18"/>
          <w:szCs w:val="18"/>
        </w:rPr>
        <w:t xml:space="preserve">·  </w:t>
      </w:r>
      <w:r>
        <w:rPr>
          <w:color w:val="6E86A6"/>
          <w:sz w:val="18"/>
          <w:szCs w:val="18"/>
        </w:rPr>
        <w:t xml:space="preserve">Sestas durante o dia, e a que horas.</w:t>
      </w:r>
    </w:p>
    <w:p>
      <w:pPr>
        <w:spacing w:after="50" w:before="50"/>
      </w:pPr>
      <w:r>
        <w:rPr>
          <w:b/>
          <w:bCs/>
          <w:color w:val="7B5BD6"/>
          <w:sz w:val="18"/>
          <w:szCs w:val="18"/>
        </w:rPr>
        <w:t xml:space="preserve">·  </w:t>
      </w:r>
      <w:r>
        <w:rPr>
          <w:color w:val="6E86A6"/>
          <w:sz w:val="18"/>
          <w:szCs w:val="18"/>
        </w:rPr>
        <w:t xml:space="preserve">Alterações de rotina: viagens, doença, mudanças em casa.</w:t>
      </w:r>
    </w:p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Se aparecerem estes sinais, vale a pena consultar antes das três semanas</w:t>
            </w:r>
          </w:p>
          <w:p>
            <w:r>
              <w:rPr>
                <w:color w:val="6E86A6"/>
                <w:sz w:val="16"/>
                <w:szCs w:val="16"/>
              </w:rPr>
              <w:t xml:space="preserve">Ressonar audível e regular, respiração pela boca ou pausas na respiração durante o sono; sonolência acentuada de dia apesar de dormir as horas recomendadas; ou resistência em deitar-se acompanhada de medo intenso ou sofrimento evidente.</w:t>
            </w:r>
          </w:p>
        </w:tc>
      </w:tr>
    </w:tbl>
    <w:p>
      <w:pPr>
        <w:spacing w:after="80" w:before="24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Registo de sono — três semanas</dc:title>
  <dc:creator>Ricardina Correia</dc:creator>
  <cp:lastModifiedBy>Un-named</cp:lastModifiedBy>
  <cp:revision>1</cp:revision>
  <dcterms:created xsi:type="dcterms:W3CDTF">2026-08-13T07:54:32.571Z</dcterms:created>
  <dcterms:modified xsi:type="dcterms:W3CDTF">2026-08-13T07:54:32.571Z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