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142875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C447C" w:sz="12" w:space="6"/>
        </w:pBdr>
        <w:spacing w:after="40" w:before="260"/>
      </w:pPr>
      <w:r>
        <w:rPr>
          <w:b/>
          <w:bCs/>
          <w:color w:val="33465C"/>
          <w:sz w:val="34"/>
          <w:szCs w:val="34"/>
        </w:rPr>
        <w:t xml:space="preserve">Antes de pedir avaliação</w:t>
      </w:r>
    </w:p>
    <w:p>
      <w:pPr>
        <w:spacing w:after="160" w:before="80"/>
      </w:pPr>
      <w:r>
        <w:rPr>
          <w:color w:val="6E86A6"/>
          <w:sz w:val="18"/>
          <w:szCs w:val="18"/>
        </w:rPr>
        <w:t xml:space="preserve">Três semanas de observação · e o que levar à primeira consulta</w:t>
      </w:r>
    </w:p>
    <w:p>
      <w:pPr>
        <w:spacing w:after="80" w:before="40"/>
      </w:pPr>
      <w:r>
        <w:rPr>
          <w:color w:val="6E86A6"/>
          <w:sz w:val="17"/>
          <w:szCs w:val="17"/>
        </w:rPr>
        <w:t xml:space="preserve">Uma avaliação desenhada a partir de informação incompleta responde a perguntas que não eram bem as certas. Três semanas de registo mudam a qualidade da primeira consulta mais do que qualquer outra coisa que se possa fazer antes dela.</w:t>
      </w:r>
    </w:p>
    <w:p>
      <w:pPr>
        <w:spacing w:after="80" w:before="40"/>
      </w:pPr>
      <w:r>
        <w:rPr>
          <w:color w:val="33465C"/>
          <w:sz w:val="17"/>
          <w:szCs w:val="17"/>
        </w:rPr>
        <w:t xml:space="preserve">Registar sem alterar nada. O objetivo é observar a situação como ela é hoje — não corrigi-la.</w:t>
      </w:r>
    </w:p>
    <w:p>
      <w:pPr>
        <w:spacing w:after="80" w:before="240"/>
      </w:pPr>
      <w:r>
        <w:rPr>
          <w:b/>
          <w:bCs/>
          <w:color w:val="0C447C"/>
          <w:sz w:val="19"/>
          <w:szCs w:val="19"/>
        </w:rPr>
        <w:t xml:space="preserve">Exemplo de preenchimento</w:t>
      </w:r>
      <w:r>
        <w:rPr>
          <w:color w:val="9FB6D0"/>
          <w:sz w:val="15"/>
          <w:szCs w:val="15"/>
        </w:rPr>
        <w:t xml:space="preserve">   (não preencher esta — é só para mostrar como se faz)</w:t>
      </w: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3938"/>
        <w:gridCol w:w="1500"/>
        <w:gridCol w:w="1500"/>
      </w:tblGrid>
      <w:tr>
        <w:trPr>
          <w:cantSplit/>
        </w:trPr>
        <w:tc>
          <w:tcPr>
            <w:tcW w:type="dxa" w:w="8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Dia</w:t>
            </w:r>
          </w:p>
        </w:tc>
        <w:tc>
          <w:tcPr>
            <w:tcW w:type="dxa" w:w="19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Onde e quando</w:t>
            </w:r>
          </w:p>
        </w:tc>
        <w:tc>
          <w:tcPr>
            <w:tcW w:type="dxa" w:w="3938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O que aconteceu</w:t>
            </w:r>
          </w:p>
        </w:tc>
        <w:tc>
          <w:tcPr>
            <w:tcW w:type="dxa" w:w="15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Antes disso</w:t>
            </w:r>
          </w:p>
        </w:tc>
        <w:tc>
          <w:tcPr>
            <w:tcW w:type="dxa" w:w="15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Como acabou</w:t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Seg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Casa, TPC, 18h</w:t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Levantou-se 6 vezes em 40 min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Veio da escola direto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Acabou com choro</w:t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Ter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Casa, jantar</w:t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Correu bem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—</w:t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Qua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Escola, manhã</w:t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Recado do prof. — não copiou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Dormiu mal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Ficou envergonhado</w:t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Qui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Casa, banho</w:t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Recusou durante 30 min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Estava a ver TV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Cedemos</w:t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Sex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Casa, TPC, 17h</w:t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Fez sozinho em 20 min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Fomos ao parque antes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Ficou contente</w:t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Sáb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Futebol</w:t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Zangou-se com colega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Perderam o jogo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Saiu a chorar</w:t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Dom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Casa, tarde</w:t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Duas horas de Lego, calmo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Escolheu ele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300"/>
      </w:pPr>
      <w:r>
        <w:rPr>
          <w:b/>
          <w:bCs/>
          <w:color w:val="33465C"/>
          <w:sz w:val="19"/>
          <w:szCs w:val="19"/>
        </w:rPr>
        <w:t xml:space="preserve">Semana 1 — de ___ / ___ a ___ / ___</w:t>
      </w: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3938"/>
        <w:gridCol w:w="1500"/>
        <w:gridCol w:w="1500"/>
      </w:tblGrid>
      <w:tr>
        <w:trPr>
          <w:cantSplit/>
        </w:trPr>
        <w:tc>
          <w:tcPr>
            <w:tcW w:type="dxa" w:w="8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Dia</w:t>
            </w:r>
          </w:p>
        </w:tc>
        <w:tc>
          <w:tcPr>
            <w:tcW w:type="dxa" w:w="19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Onde e quando</w:t>
            </w:r>
          </w:p>
        </w:tc>
        <w:tc>
          <w:tcPr>
            <w:tcW w:type="dxa" w:w="3938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O que aconteceu</w:t>
            </w:r>
          </w:p>
        </w:tc>
        <w:tc>
          <w:tcPr>
            <w:tcW w:type="dxa" w:w="15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Antes disso</w:t>
            </w:r>
          </w:p>
        </w:tc>
        <w:tc>
          <w:tcPr>
            <w:tcW w:type="dxa" w:w="15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Como acabou</w:t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Seg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Ter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Qua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Qui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Sex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Sáb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Dom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bCs/>
          <w:color w:val="33465C"/>
          <w:sz w:val="19"/>
          <w:szCs w:val="19"/>
        </w:rPr>
        <w:t xml:space="preserve">Semana 2 — de ___ / ___ a ___ / ___</w:t>
      </w: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3938"/>
        <w:gridCol w:w="1500"/>
        <w:gridCol w:w="1500"/>
      </w:tblGrid>
      <w:tr>
        <w:trPr>
          <w:cantSplit/>
        </w:trPr>
        <w:tc>
          <w:tcPr>
            <w:tcW w:type="dxa" w:w="8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Dia</w:t>
            </w:r>
          </w:p>
        </w:tc>
        <w:tc>
          <w:tcPr>
            <w:tcW w:type="dxa" w:w="19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Onde e quando</w:t>
            </w:r>
          </w:p>
        </w:tc>
        <w:tc>
          <w:tcPr>
            <w:tcW w:type="dxa" w:w="3938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O que aconteceu</w:t>
            </w:r>
          </w:p>
        </w:tc>
        <w:tc>
          <w:tcPr>
            <w:tcW w:type="dxa" w:w="15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Antes disso</w:t>
            </w:r>
          </w:p>
        </w:tc>
        <w:tc>
          <w:tcPr>
            <w:tcW w:type="dxa" w:w="15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Como acabou</w:t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Seg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Ter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Qua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Qui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Sex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Sáb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Dom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300"/>
      </w:pPr>
      <w:r>
        <w:rPr>
          <w:b/>
          <w:bCs/>
          <w:color w:val="33465C"/>
          <w:sz w:val="19"/>
          <w:szCs w:val="19"/>
        </w:rPr>
        <w:t xml:space="preserve">Semana 3 — de ___ / ___ a ___ / ___</w:t>
      </w: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3938"/>
        <w:gridCol w:w="1500"/>
        <w:gridCol w:w="1500"/>
      </w:tblGrid>
      <w:tr>
        <w:trPr>
          <w:cantSplit/>
        </w:trPr>
        <w:tc>
          <w:tcPr>
            <w:tcW w:type="dxa" w:w="8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Dia</w:t>
            </w:r>
          </w:p>
        </w:tc>
        <w:tc>
          <w:tcPr>
            <w:tcW w:type="dxa" w:w="19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Onde e quando</w:t>
            </w:r>
          </w:p>
        </w:tc>
        <w:tc>
          <w:tcPr>
            <w:tcW w:type="dxa" w:w="3938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O que aconteceu</w:t>
            </w:r>
          </w:p>
        </w:tc>
        <w:tc>
          <w:tcPr>
            <w:tcW w:type="dxa" w:w="15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Antes disso</w:t>
            </w:r>
          </w:p>
        </w:tc>
        <w:tc>
          <w:tcPr>
            <w:tcW w:type="dxa" w:w="15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Como acabou</w:t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Seg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Ter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Qua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Qui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Sex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Sáb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Dom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39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</w:tbl>
    <w:p>
      <w:pPr>
        <w:spacing w:after="60" w:before="280"/>
      </w:pPr>
      <w:r>
        <w:rPr>
          <w:b/>
          <w:bCs/>
          <w:color w:val="0C447C"/>
          <w:sz w:val="20"/>
          <w:szCs w:val="20"/>
        </w:rPr>
        <w:t xml:space="preserve">1  </w:t>
      </w:r>
      <w:r>
        <w:rPr>
          <w:b/>
          <w:bCs/>
          <w:color w:val="33465C"/>
          <w:sz w:val="21"/>
          <w:szCs w:val="21"/>
        </w:rPr>
        <w:t xml:space="preserve">O que levar à primeira consulta</w:t>
      </w:r>
    </w:p>
    <w:p>
      <w:pPr>
        <w:spacing w:after="80" w:before="40"/>
      </w:pPr>
      <w:r>
        <w:rPr>
          <w:color w:val="6E86A6"/>
          <w:sz w:val="16"/>
          <w:szCs w:val="16"/>
        </w:rPr>
        <w:t xml:space="preserve">A primeira consulta é habitualmente só com os pais. É nela que se define o que vai ser avaliado.</w:t>
      </w:r>
    </w:p>
    <w:p>
      <w:pPr>
        <w:spacing w:after="50" w:before="50"/>
      </w:pPr>
      <w:r>
        <w:rPr>
          <w:b/>
          <w:bCs/>
          <w:color w:val="0C447C"/>
          <w:sz w:val="18"/>
          <w:szCs w:val="18"/>
        </w:rPr>
        <w:t xml:space="preserve">·  </w:t>
      </w:r>
      <w:r>
        <w:rPr>
          <w:color w:val="33465C"/>
          <w:sz w:val="18"/>
          <w:szCs w:val="18"/>
        </w:rPr>
        <w:t xml:space="preserve">Estas três semanas de registo.</w:t>
      </w:r>
    </w:p>
    <w:p>
      <w:pPr>
        <w:spacing w:after="50" w:before="50"/>
      </w:pPr>
      <w:r>
        <w:rPr>
          <w:b/>
          <w:bCs/>
          <w:color w:val="0C447C"/>
          <w:sz w:val="18"/>
          <w:szCs w:val="18"/>
        </w:rPr>
        <w:t xml:space="preserve">·  </w:t>
      </w:r>
      <w:r>
        <w:rPr>
          <w:color w:val="33465C"/>
          <w:sz w:val="18"/>
          <w:szCs w:val="18"/>
        </w:rPr>
        <w:t xml:space="preserve">O que se pretende ver esclarecido — as perguntas concretas a que a avaliação deve responder.</w:t>
      </w:r>
    </w:p>
    <w:p>
      <w:pPr>
        <w:spacing w:after="50" w:before="50"/>
      </w:pPr>
      <w:r>
        <w:rPr>
          <w:b/>
          <w:bCs/>
          <w:color w:val="0C447C"/>
          <w:sz w:val="18"/>
          <w:szCs w:val="18"/>
        </w:rPr>
        <w:t xml:space="preserve">·  </w:t>
      </w:r>
      <w:r>
        <w:rPr>
          <w:color w:val="33465C"/>
          <w:sz w:val="18"/>
          <w:szCs w:val="18"/>
        </w:rPr>
        <w:t xml:space="preserve">O impacto no dia a dia: aprendizagem, relação com os pares, autonomia, sono, humor, e como a criança se vê a si própria.</w:t>
      </w:r>
    </w:p>
    <w:p>
      <w:pPr>
        <w:spacing w:after="50" w:before="50"/>
      </w:pPr>
      <w:r>
        <w:rPr>
          <w:b/>
          <w:bCs/>
          <w:color w:val="0C447C"/>
          <w:sz w:val="18"/>
          <w:szCs w:val="18"/>
        </w:rPr>
        <w:t xml:space="preserve">·  </w:t>
      </w:r>
      <w:r>
        <w:rPr>
          <w:color w:val="33465C"/>
          <w:sz w:val="18"/>
          <w:szCs w:val="18"/>
        </w:rPr>
        <w:t xml:space="preserve">Onde acontece: casa, escola, atividades, com os amigos — a diferença entre contextos é ela própria informação.</w:t>
      </w:r>
    </w:p>
    <w:p>
      <w:pPr>
        <w:spacing w:after="50" w:before="50"/>
      </w:pPr>
      <w:r>
        <w:rPr>
          <w:b/>
          <w:bCs/>
          <w:color w:val="0C447C"/>
          <w:sz w:val="18"/>
          <w:szCs w:val="18"/>
        </w:rPr>
        <w:t xml:space="preserve">·  </w:t>
      </w:r>
      <w:r>
        <w:rPr>
          <w:color w:val="33465C"/>
          <w:sz w:val="18"/>
          <w:szCs w:val="18"/>
        </w:rPr>
        <w:t xml:space="preserve">O que já foi tentado, e o que resultou ou não.</w:t>
      </w:r>
    </w:p>
    <w:p>
      <w:pPr>
        <w:spacing w:after="50" w:before="50"/>
      </w:pPr>
      <w:r>
        <w:rPr>
          <w:b/>
          <w:bCs/>
          <w:color w:val="0C447C"/>
          <w:sz w:val="18"/>
          <w:szCs w:val="18"/>
        </w:rPr>
        <w:t xml:space="preserve">·  </w:t>
      </w:r>
      <w:r>
        <w:rPr>
          <w:color w:val="33465C"/>
          <w:sz w:val="18"/>
          <w:szCs w:val="18"/>
        </w:rPr>
        <w:t xml:space="preserve">O que corre bem: competências, interesses, o que faz com gosto.</w:t>
      </w:r>
    </w:p>
    <w:p>
      <w:pPr>
        <w:spacing w:after="50" w:before="50"/>
      </w:pPr>
      <w:r>
        <w:rPr>
          <w:b/>
          <w:bCs/>
          <w:color w:val="0C447C"/>
          <w:sz w:val="18"/>
          <w:szCs w:val="18"/>
        </w:rPr>
        <w:t xml:space="preserve">·  </w:t>
      </w:r>
      <w:r>
        <w:rPr>
          <w:color w:val="33465C"/>
          <w:sz w:val="18"/>
          <w:szCs w:val="18"/>
        </w:rPr>
        <w:t xml:space="preserve">Relatórios anteriores, informação escrita da escola e registos de saúde relevantes.</w:t>
      </w:r>
    </w:p>
    <w:p>
      <w:pPr>
        <w:spacing w:after="80" w:before="160"/>
      </w:pPr>
      <w:r>
        <w:rPr>
          <w:color w:val="6E86A6"/>
          <w:sz w:val="16"/>
          <w:szCs w:val="16"/>
        </w:rPr>
        <w:t xml:space="preserve">Há uma folha própria para organizar estes pontos, disponível em ricardinacorreia.pt/materiais.</w:t>
      </w:r>
    </w:p>
    <w:p>
      <w:pPr>
        <w:spacing w:after="80" w:before="200"/>
      </w:pPr>
      <w:r>
        <w:rPr>
          <w:color w:val="9FB6D0"/>
          <w:sz w:val="14"/>
          <w:szCs w:val="14"/>
        </w:rPr>
        <w:t xml:space="preserve">Utilização livre, sem alteração e sem fins comerciais. Não substitui avaliação nem acompanhamento profissional.</w:t>
      </w:r>
    </w:p>
    <w:sectPr>
      <w:footerReference w:type="default" r:id="rId7"/>
      <w:pgSz w:w="11906" w:h="16838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EF" w:sz="4" w:space="6"/>
      </w:pBdr>
    </w:pPr>
    <w:r>
      <w:rPr>
        <w:color w:val="9FB6D0"/>
        <w:sz w:val="14"/>
        <w:szCs w:val="14"/>
      </w:rPr>
      <w:t xml:space="preserve">Ricardina Correia  ·  Psicologia pediátrica  ·  ricardinacorreia.pt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65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7d79fd02f886ac46a54cd3e884cc4a7983a530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Antes de pedir avaliação — três semanas de observação</dc:title>
  <dc:creator>Ricardina Correia</dc:creator>
  <cp:lastModifiedBy>Un-named</cp:lastModifiedBy>
  <cp:revision>1</cp:revision>
  <dcterms:created xsi:type="dcterms:W3CDTF">2026-08-13T07:54:32.684Z</dcterms:created>
  <dcterms:modified xsi:type="dcterms:W3CDTF">2026-08-13T07:54:32.684Z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