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b/>
          <w:color w:val="2E74B5"/>
          <w:sz w:val="20"/>
        </w:rPr>
        <w:t>DOCUMENTO EJECUTIVO</w:t>
      </w:r>
    </w:p>
    <w:p>
      <w:pPr>
        <w:pStyle w:val="Title"/>
      </w:pPr>
      <w:r>
        <w:t>Modernización de identidad y acceso seguro</w:t>
      </w:r>
    </w:p>
    <w:p>
      <w:pPr>
        <w:pStyle w:val="Subtitle"/>
      </w:pPr>
      <w:r>
        <w:t>Caso ejecutivo para decisión directiva</w:t>
      </w:r>
    </w:p>
    <w:p>
      <w:r>
        <w:rPr>
          <w:b/>
        </w:rPr>
        <w:t xml:space="preserve">Preparado para: </w:t>
      </w:r>
      <w:r>
        <w:t>Dirección y equipo de Tecnología</w:t>
      </w:r>
    </w:p>
    <w:p>
      <w:r>
        <w:rPr>
          <w:b/>
        </w:rPr>
        <w:t xml:space="preserve">Fecha base: </w:t>
      </w:r>
      <w:r>
        <w:t>11 de agosto de 2026</w:t>
      </w:r>
    </w:p>
    <w:p>
      <w:r>
        <w:rPr>
          <w:b/>
        </w:rPr>
        <w:t xml:space="preserve">Estado: </w:t>
      </w:r>
      <w:r>
        <w:t>Propuesta para aprobación y levantamiento técnico</w:t>
      </w:r>
    </w:p>
    <w:p>
      <w:pPr>
        <w:pStyle w:val="Caption"/>
      </w:pPr>
      <w:r>
        <w:t>Documento sujeto a validación de licencias Microsoft, versión de FortiOS/FortiClient, contrato Fortinet y capacidad interna.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1F7"/>
          </w:tcPr>
          <w:p>
            <w:pPr>
              <w:spacing w:after="60"/>
            </w:pPr>
            <w:r>
              <w:rPr>
                <w:b/>
                <w:color w:val="16324F"/>
              </w:rPr>
              <w:t>Decisión solicitada</w:t>
            </w:r>
          </w:p>
          <w:p>
            <w:pPr>
              <w:spacing w:after="0"/>
            </w:pPr>
            <w:r>
              <w:t>Autorizar un proyecto por fases para unificar la identidad de cada empleado, adoptar autenticación resistente al phishing, extender los controles corporativos a portátiles y modernizar la política de contraseñas sin reemplazar Active Directory, Zimbra ni FortiGate.</w:t>
            </w:r>
          </w:p>
        </w:tc>
      </w:tr>
    </w:tbl>
    <w:p>
      <w:pPr>
        <w:spacing w:after="20"/>
      </w:pPr>
    </w:p>
    <w:p>
      <w:pPr>
        <w:pStyle w:val="Heading1"/>
      </w:pPr>
      <w:r>
        <w:t>1. Resumen ejecutivo</w:t>
      </w:r>
    </w:p>
    <w:p>
      <w:r>
        <w:t>La organización dispone de una base local sólida: tres controladores de dominio Windows Server 2022 para aproximadamente 40 usuarios, correo independiente en Zimbra, Microsoft 365 para una parte de la población y acceso remoto mediante FortiClient VPN seguido de Escritorio remoto. El riesgo principal no es la disponibilidad del dominio, sino la fragmentación de identidad y la dependencia de credenciales susceptibles de phishing.</w:t>
      </w:r>
    </w:p>
    <w:p>
      <w:pPr>
        <w:pStyle w:val="ListBullet"/>
      </w:pPr>
      <w:r>
        <w:t>Una misma persona utiliza identidades diferentes en Windows, Microsoft 365, Zimbra y el portátil remoto.</w:t>
      </w:r>
    </w:p>
    <w:p>
      <w:pPr>
        <w:pStyle w:val="ListBullet"/>
      </w:pPr>
      <w:r>
        <w:t>Las licencias de Microsoft 365 se administran con direcciones basadas en cargos; esto reduce trazabilidad y puede inducir uso compartido de credenciales.</w:t>
      </w:r>
    </w:p>
    <w:p>
      <w:pPr>
        <w:pStyle w:val="ListBullet"/>
      </w:pPr>
      <w:r>
        <w:t>Los portátiles externos se inician con cuentas locales antes de establecer la VPN, por lo que quedan parcialmente fuera del gobierno corporativo.</w:t>
      </w:r>
    </w:p>
    <w:p>
      <w:pPr>
        <w:pStyle w:val="ListBullet"/>
      </w:pPr>
      <w:r>
        <w:t>SMS y llamada dejarán de ser métodos provistos por Microsoft Entra el 1 de febrero de 2027.</w:t>
      </w:r>
    </w:p>
    <w:p>
      <w:pPr>
        <w:pStyle w:val="ListBullet"/>
      </w:pPr>
      <w:r>
        <w:t>El cambio periódico obligatorio de contraseña incentiva variaciones predecibles y no debe ser el control central de seguridad.</w:t>
      </w:r>
    </w:p>
    <w:p>
      <w:pPr>
        <w:pStyle w:val="Heading1"/>
      </w:pPr>
      <w:r>
        <w:t>2. Estado actual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Componente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Situación actual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Consecuencia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Active Directory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MIDOMINIO.LOCAL; tres DC Server 2022; ~40 usuarios.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Base estable, pero separada del tenant.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Microsoft 365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Tenant independiente; licencias asociadas en varios casos a cuentas por cargo.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Trazabilidad, baja y MFA dependen de una cuenta que no representa claramente a una persona.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Correo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Zimbra con direcciones como cargo@midominio.com.co.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Puede conservarse; correo e identidad no tienen que ser la misma cuenta.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Portátiles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Inicio con cuenta local; luego FortiClient VPN y RDP al PC de oficina.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Dos inicios de sesión, menor control del equipo y recuperación compleja fuera de la oficina.</w:t>
            </w:r>
          </w:p>
        </w:tc>
      </w:tr>
      <w:t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Autenticación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Presencia de SMS/voz y contraseñas.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Exposición a phishing, SIM swap y cambios regulatorios/tecnológicos.</w:t>
            </w:r>
          </w:p>
        </w:tc>
      </w:tr>
    </w:tbl>
    <w:p>
      <w:pPr>
        <w:pStyle w:val="Heading1"/>
      </w:pPr>
      <w:r>
        <w:t>3. Por qué es importante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Objetivo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Valor para la organización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Reducir incidentes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Passkeys y Windows Hello reducen el valor de robar o reutilizar una contraseña.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Responsabilidad individual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Cada acceso, licencia y método de recuperación queda asociado a una persona.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Continuidad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La autenticación de Microsoft 365 no depende de que los DC estén disponibles para cada acceso.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Trabajo remoto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El portátil se convierte en equipo corporativo administrado, no en un equipo aislado que solo ejecuta una VPN.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Cumplimiento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Se eliminan SMS y voz antes del retiro obligatorio y se documentan controles compensatorios.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Experiencia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Un usuario personal, Windows Hello y SSO disminuyen solicitudes repetidas de credenciales.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DECEC"/>
          </w:tcPr>
          <w:p>
            <w:pPr>
              <w:spacing w:after="60"/>
            </w:pPr>
            <w:r>
              <w:rPr>
                <w:b/>
                <w:color w:val="9B1C1C"/>
              </w:rPr>
              <w:t>Riesgo de no actuar</w:t>
            </w:r>
          </w:p>
          <w:p>
            <w:pPr>
              <w:spacing w:after="0"/>
            </w:pPr>
            <w:r>
              <w:t>Después del 1 de febrero de 2027, un usuario cuyo único MFA sea SMS o voz quedará bloqueado hasta registrar una passkey. La organización además conservaría cuentas compartidas, trazabilidad limitada y portátiles no gobernados.</w:t>
            </w:r>
          </w:p>
        </w:tc>
      </w:tr>
    </w:tbl>
    <w:p>
      <w:pPr>
        <w:spacing w:after="20"/>
      </w:pPr>
    </w:p>
    <w:p>
      <w:pPr>
        <w:pStyle w:val="Heading1"/>
      </w:pPr>
      <w:r>
        <w:t>4. Solución propuesta</w:t>
      </w:r>
    </w:p>
    <w:p>
      <w:r>
        <w:t>Se conservarán MIDOMINIO.LOCAL, Zimbra y FortiGate. El cambio consiste en añadir una capa coherente de identidad y control:</w:t>
      </w:r>
    </w:p>
    <w:p>
      <w:pPr>
        <w:pStyle w:val="ListNumber"/>
      </w:pPr>
      <w:r>
        <w:t>Agregar midominio.com.co como sufijo UPN, sin renombrar el dominio interno.</w:t>
      </w:r>
    </w:p>
    <w:p>
      <w:pPr>
        <w:pStyle w:val="ListNumber"/>
      </w:pPr>
      <w:r>
        <w:t>Asignar a cada persona una identidad nombre.apellido@midominio.com.co y una licencia individual cuando corresponda.</w:t>
      </w:r>
    </w:p>
    <w:p>
      <w:pPr>
        <w:pStyle w:val="ListNumber"/>
      </w:pPr>
      <w:r>
        <w:t>Sincronizar identidades desde AD hacia Entra mediante Password Hash Synchronization.</w:t>
      </w:r>
    </w:p>
    <w:p>
      <w:pPr>
        <w:pStyle w:val="ListNumber"/>
      </w:pPr>
      <w:r>
        <w:t>Registrar los equipos corporativos mediante Microsoft Entra Hybrid Join.</w:t>
      </w:r>
    </w:p>
    <w:p>
      <w:pPr>
        <w:pStyle w:val="ListNumber"/>
      </w:pPr>
      <w:r>
        <w:t>Adoptar Windows Hello for Business en los equipos y passkeys en Microsoft 365.</w:t>
      </w:r>
    </w:p>
    <w:p>
      <w:pPr>
        <w:pStyle w:val="ListNumber"/>
      </w:pPr>
      <w:r>
        <w:t>Integrar FortiGate/FortiClient con Entra mediante SAML y MFA, sujeto a compatibilidad.</w:t>
      </w:r>
    </w:p>
    <w:p>
      <w:pPr>
        <w:pStyle w:val="ListNumber"/>
      </w:pPr>
      <w:r>
        <w:t>Extender administración, cifrado, actualizaciones y protección de endpoint a portátiles.</w:t>
      </w:r>
    </w:p>
    <w:p>
      <w:pPr>
        <w:pStyle w:val="ListNumber"/>
      </w:pPr>
      <w:r>
        <w:t>Sustituir la caducidad periódica de contraseña por una política moderna con controles compensatorios.</w:t>
      </w:r>
    </w:p>
    <w:p>
      <w:pPr>
        <w:pStyle w:val="Heading1"/>
      </w:pPr>
      <w:r>
        <w:t>5. Qué cambia al iniciar sesión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Escenario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Hoy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Objetivo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PC de oficina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MIDOMINIO\nombre.apellido + contraseña.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nombre.apellido@midominio.com.co con Windows Hello; contraseña disponible para contingencia.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Microsoft 365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 de cargo y SMS/MFA según configuración.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Identidad personal + passkey; SSO en equipo corporativo.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Portátil remoto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 local → FortiClient → credencial VPN → RDP.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 corporativa/Hello → VPN corporativa con identidad y MFA → RDP, manteniendo el modelo de acceso remoto inicialmente.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Recuperación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Cambio manual y métodos dependientes del teléfono.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Procedimiento verificado con Temporary Access Pass, llave de respaldo y mesa de ayuda.</w:t>
            </w:r>
          </w:p>
        </w:tc>
      </w:tr>
    </w:tbl>
    <w:p>
      <w:r>
        <w:t>La fase inicial mantiene el Escritorio remoto al PC de oficina. No se abrirá RDP directamente a Internet. Una evolución posterior podrá evaluar acceso directo a aplicaciones, ZTNA o retiro de dependencias innecesarias de RDP.</w:t>
      </w:r>
    </w:p>
    <w:p>
      <w:pPr>
        <w:pStyle w:val="Heading1"/>
      </w:pPr>
      <w:r>
        <w:t>6. Extensión del entorno corporativo a portátiles</w:t>
      </w:r>
    </w:p>
    <w:p>
      <w:r>
        <w:t>El objetivo no es solamente conectar una red: es llevar identidad, configuración y protección al dispositivo remoto.</w:t>
      </w:r>
    </w:p>
    <w:p>
      <w:pPr>
        <w:pStyle w:val="ListBullet"/>
      </w:pPr>
      <w:r>
        <w:t>Equipo unido al dominio y registrado de forma híbrida, o administrado por Entra/Intune según el modelo aprobado.</w:t>
      </w:r>
    </w:p>
    <w:p>
      <w:pPr>
        <w:pStyle w:val="ListBullet"/>
      </w:pPr>
      <w:r>
        <w:t>BitLocker con clave de recuperación custodiada por TI, TPM y Secure Boot.</w:t>
      </w:r>
    </w:p>
    <w:p>
      <w:pPr>
        <w:pStyle w:val="ListBullet"/>
      </w:pPr>
      <w:r>
        <w:t>Windows Hello, EDR/antivirus, firewall, parches y eliminación de administradores locales innecesarios.</w:t>
      </w:r>
    </w:p>
    <w:p>
      <w:pPr>
        <w:pStyle w:val="ListBullet"/>
      </w:pPr>
      <w:r>
        <w:t>FortiClient administrado por EMS cuando el licenciamiento y la arquitectura lo permitan.</w:t>
      </w:r>
    </w:p>
    <w:p>
      <w:pPr>
        <w:pStyle w:val="ListBullet"/>
      </w:pPr>
      <w:r>
        <w:t>VPN antes del inicio de sesión para contactar el dominio en escenarios de aprovisionamiento o cambio de contraseña.</w:t>
      </w:r>
    </w:p>
    <w:p>
      <w:pPr>
        <w:pStyle w:val="ListBullet"/>
      </w:pPr>
      <w:r>
        <w:t>Preferencia por un túnel previo basado en certificado de equipo y autenticación posterior del usuario con Entra/MFA.</w:t>
      </w:r>
    </w:p>
    <w:p>
      <w:pPr>
        <w:pStyle w:val="ListBullet"/>
      </w:pPr>
      <w:r>
        <w:t>Acceso RDP limitado al equipo asignado, con reglas de firewall, registros y segmentación.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AF1F7"/>
          </w:tcPr>
          <w:p>
            <w:pPr>
              <w:spacing w:after="60"/>
            </w:pPr>
            <w:r>
              <w:rPr>
                <w:b/>
                <w:color w:val="16324F"/>
              </w:rPr>
              <w:t>Decisión de arquitectura VPN</w:t>
            </w:r>
          </w:p>
          <w:p>
            <w:pPr>
              <w:spacing w:after="0"/>
            </w:pPr>
            <w:r>
              <w:t>Fortinet documenta SAML con Microsoft Entra y VPN antes del inicio de Windows, incluso con certificados de equipo mediante EMS. La opción final requiere conocer modelo de FortiGate, versión de FortiOS, modalidad SSL/IPsec, versión/licencia de FortiClient, existencia de EMS y PKI. No se comprometerá su disponibilidad sin una prueba de concepto.</w:t>
            </w:r>
          </w:p>
        </w:tc>
      </w:tr>
    </w:tbl>
    <w:p>
      <w:pPr>
        <w:spacing w:after="20"/>
      </w:pPr>
    </w:p>
    <w:p>
      <w:pPr>
        <w:pStyle w:val="Heading1"/>
      </w:pPr>
      <w:r>
        <w:t>7. Política moderna de contraseñas</w:t>
      </w:r>
    </w:p>
    <w:p>
      <w:r>
        <w:t>Microsoft Research explica que la caducidad frecuente lleva a patrones previsibles: usuarios incrementan números, cambian una letra o reutilizan estructuras. Microsoft 365 desaconseja la expiración periódica para cuentas cloud; NIST SP 800-63B-4 también indica que no deben exigirse cambios periódicos sin evidencia de compromiso.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Control propuesto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Política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Longitud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Mínimo objetivo de 15 caracteres; se favorecen frases de paso memorables y únicas.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Caducidad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Sin vencimiento periódico para usuarios, una vez desplegados los controles compensatorios.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Cambio obligatorio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Inmediato ante sospecha, filtración, restablecimiento, malware o instrucción de TI.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Bloqueo de débiles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Microsoft Entra Password Protection para impedir términos comunes, comprometidos y propios de la organización.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MFA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Passkey/Windows Hello; SMS y voz se retiran.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Reutilización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Prohibida fuera de la organización; historial y monitoreo internos.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Administradores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Llaves FIDO2 y cuentas separadas; política más estricta según riesgo.</w:t>
            </w:r>
          </w:p>
        </w:tc>
      </w:tr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Cuentas de servicio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Contraseñas administradas/gMSA o certificados; no se aplica la misma política humana.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FF4D6"/>
          </w:tcPr>
          <w:p>
            <w:pPr>
              <w:spacing w:after="60"/>
            </w:pPr>
            <w:r>
              <w:rPr>
                <w:b/>
                <w:color w:val="8A6500"/>
              </w:rPr>
              <w:t>Condición de seguridad</w:t>
            </w:r>
          </w:p>
          <w:p>
            <w:pPr>
              <w:spacing w:after="0"/>
            </w:pPr>
            <w:r>
              <w:t>No se recomienda configurar “la contraseña nunca expira” antes de activar passkeys/MFA, bloqueo de contraseñas débiles, monitoreo, procedimiento de respuesta y protección de cuentas privilegiadas. La mejora es un paquete de controles, no un ajuste aislado.</w:t>
            </w:r>
          </w:p>
        </w:tc>
      </w:tr>
    </w:tbl>
    <w:p>
      <w:pPr>
        <w:spacing w:after="20"/>
      </w:pPr>
    </w:p>
    <w:p>
      <w:pPr>
        <w:pStyle w:val="Heading1"/>
      </w:pPr>
      <w:r>
        <w:t>8. Costos y recursos</w:t>
      </w:r>
    </w:p>
    <w:p>
      <w:r>
        <w:t>Las cifras siguientes son escenarios de planeación, no cotizaciones. Valores públicos de referencia en USD, compromiso anual, antes de impuestos y conversión a COP.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8"/>
              </w:rPr>
              <w:t>Concepto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8"/>
              </w:rPr>
              <w:t>Referencia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8"/>
              </w:rPr>
              <w:t>Estimación para 40 usuarios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Entra ID P1 independiente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USD 7 usuario/mes.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USD 280/mes; USD 3.360/año.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Business Premium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USD 22 usuario/mes con Teams.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USD 880/mes; USD 10.560/año si se licencia a los 40.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Incremento Standard → Premium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Precios públicos: USD 14 → USD 22.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USD 8 usuario/mes; USD 320/mes si los 40 ya tuvieran Standard.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Llaves FIDO2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Presupuesto orientativo, sujeto a proveedor.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Dos por administrador y para usuarios sin dispositivo compatible; cantidad tras inventario.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FortiClient EMS / Fortinet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Depende del contrato, versión y número de endpoints.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Cotización obligatoria con partner; podría ser costo nuevo.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Servidor Entra Connect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VM miembro dedicada recomendada.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Sin compra de hardware si existe capacidad y licenciamiento Windows.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Servicios profesionales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Diseño, piloto, despliegue y documentación.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80–140 horas como rango inicial; ajustar tras descubrimiento.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Trabajo interno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TI, comunicaciones y soporte a usuarios.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0,25–0,5 FTE durante 4–6 meses, con mayor carga en pilotos.</w:t>
            </w:r>
          </w:p>
        </w:tc>
      </w:tr>
    </w:tbl>
    <w:p>
      <w:r>
        <w:t>Modelo recomendado para evaluar: Business Premium para quienes requieren Office y administración completa del portátil; Entra ID P1 para usuarios interactivos sin Office que queden sujetos a Acceso Condicional. La asignación exacta exige inventario y validación contractual.</w:t>
      </w:r>
    </w:p>
    <w:p>
      <w:pPr>
        <w:pStyle w:val="Heading1"/>
      </w:pPr>
      <w:r>
        <w:t>9. Tiempo y etapas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600"/>
        <w:gridCol w:w="50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Etapa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Duración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Resultado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Descubrimiento y decisión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 semanas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Inventario, licencias, Fortinet, riesgos y diseño aprobado.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Identidad y passkeys piloto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2–3 semanas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Cuentas personales, administradores protegidos y usuarios piloto.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Entra Connect y dispositivos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3–5 semanas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Sincronización, SSO e Hybrid Join validados.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Portátiles y VPN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3–6 semanas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Piloto de equipo corporativo remoto y SAML/prelogon según compatibilidad.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Despliegue general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4–6 semanas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Migración por grupos, formación y soporte.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Estabilización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2–4 semanas</w:t>
            </w:r>
          </w:p>
        </w:tc>
        <w:tc>
          <w:tcPr>
            <w:tcW w:type="dxa" w:w="5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Auditoría, eliminación de SMS/voz y cierre.</w:t>
            </w:r>
          </w:p>
        </w:tc>
      </w:tr>
    </w:tbl>
    <w:p>
      <w:r>
        <w:t>Duración total estimada: 4 a 6 meses. La línea de passkeys debe comenzar inmediatamente y concluir antes de la fecha interna propuesta del 15 de diciembre de 2026.</w:t>
      </w:r>
    </w:p>
    <w:p>
      <w:pPr>
        <w:pStyle w:val="Heading1"/>
      </w:pPr>
      <w:r>
        <w:t>10. Riesgos y mitigaciones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Riesgo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shd w:fill="EAF1F7"/>
            <w:vAlign w:val="center"/>
          </w:tcPr>
          <w:p>
            <w:pPr>
              <w:spacing w:after="0"/>
            </w:pPr>
            <w:r>
              <w:rPr>
                <w:b/>
                <w:color w:val="16324F"/>
                <w:sz w:val="19"/>
              </w:rPr>
              <w:t>Mitigación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Duplicar o asociar incorrectamente cuentas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Tabla de correspondencia, OU piloto y Entra Connect en staging.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Bloquear usuarios al exigir passkey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Piloto, TAP, método de respaldo y soporte reforzado.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Incompatibilidad Fortinet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Inventario de versiones, matriz de soporte y prueba de concepto.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Cambiar contraseñas sin controles compensatorios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No modificar caducidad hasta cumplir el criterio técnico de salida.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Costos superiores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Licenciamiento por perfiles, cotización local y aprobación por etapa.</w:t>
            </w:r>
          </w:p>
        </w:tc>
      </w:tr>
      <w:t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Resistencia del usuario</w:t>
            </w:r>
          </w:p>
        </w:tc>
        <w:tc>
          <w:tcPr>
            <w:tcW w:type="dxa" w:w="6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Comunicación simple, demostraciones y acompañamiento.</w:t>
            </w:r>
          </w:p>
        </w:tc>
      </w:tr>
    </w:tbl>
    <w:p>
      <w:pPr>
        <w:pStyle w:val="Heading1"/>
      </w:pPr>
      <w:r>
        <w:t>11. Indicadores de éxito</w:t>
      </w:r>
    </w:p>
    <w:p>
      <w:pPr>
        <w:pStyle w:val="ListBullet"/>
      </w:pPr>
      <w:r>
        <w:t>100 % de personas con identidad individual y propietario documentado.</w:t>
      </w:r>
    </w:p>
    <w:p>
      <w:pPr>
        <w:pStyle w:val="ListBullet"/>
      </w:pPr>
      <w:r>
        <w:t>100 % de administradores con cuenta separada y FIDO2.</w:t>
      </w:r>
    </w:p>
    <w:p>
      <w:pPr>
        <w:pStyle w:val="ListBullet"/>
      </w:pPr>
      <w:r>
        <w:t>0 usuarios dependientes de SMS o voz antes del 15 de diciembre de 2026.</w:t>
      </w:r>
    </w:p>
    <w:p>
      <w:pPr>
        <w:pStyle w:val="ListBullet"/>
      </w:pPr>
      <w:r>
        <w:t>100 % de portátiles corporativos cifrados, inventariados y bajo política.</w:t>
      </w:r>
    </w:p>
    <w:p>
      <w:pPr>
        <w:pStyle w:val="ListBullet"/>
      </w:pPr>
      <w:r>
        <w:t>100 % de accesos VPN asociados a una persona y protegidos con MFA compatible.</w:t>
      </w:r>
    </w:p>
    <w:p>
      <w:pPr>
        <w:pStyle w:val="ListBullet"/>
      </w:pPr>
      <w:r>
        <w:t>Reducción de cuentas locales y compartidas a excepciones justificadas.</w:t>
      </w:r>
    </w:p>
    <w:p>
      <w:pPr>
        <w:pStyle w:val="ListBullet"/>
      </w:pPr>
      <w:r>
        <w:t>Procedimientos de alta, cambio, retiro y recuperación probados.</w:t>
      </w:r>
    </w:p>
    <w:p>
      <w:pPr>
        <w:pStyle w:val="Heading1"/>
      </w:pPr>
      <w:r>
        <w:t>12. Aprobación solicitada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F4EF"/>
          </w:tcPr>
          <w:p>
            <w:pPr>
              <w:spacing w:after="60"/>
            </w:pPr>
            <w:r>
              <w:rPr>
                <w:b/>
                <w:color w:val="1F6B52"/>
              </w:rPr>
              <w:t>Recomendación</w:t>
            </w:r>
          </w:p>
          <w:p>
            <w:pPr>
              <w:spacing w:after="0"/>
            </w:pPr>
            <w:r>
              <w:t>Aprobar la fase de descubrimiento y piloto, autorizar cotizaciones de Microsoft/Fortinet/llaves FIDO2 y designar un patrocinador ejecutivo. La aprobación del despliegue total se realiza al superar los criterios del piloto y confirmar el costo final.</w:t>
            </w:r>
          </w:p>
        </w:tc>
      </w:tr>
    </w:tbl>
    <w:p>
      <w:pPr>
        <w:spacing w:after="20"/>
      </w:pPr>
    </w:p>
    <w:p>
      <w:pPr>
        <w:pStyle w:val="Heading1"/>
      </w:pPr>
      <w:r>
        <w:t>Fuentes y respaldo</w:t>
      </w:r>
    </w:p>
    <w:p>
      <w:r>
        <w:t>Fuentes primarias consultadas. Los precios son referencias públicas en USD observadas el 11 de agosto de 2026; deben confirmarse con el proveedor colombiano antes de aprobar compras.</w:t>
      </w:r>
    </w:p>
    <w:p>
      <w:pPr>
        <w:pStyle w:val="ListBullet"/>
      </w:pPr>
      <w:hyperlink r:id="rId11">
        <w:r>
          <w:rPr>
            <w:color w:val="2E74B5"/>
            <w:u w:val="single"/>
          </w:rPr>
          <w:t>Microsoft: retiro de SMS/voz y adopción de passkeys</w:t>
        </w:r>
      </w:hyperlink>
    </w:p>
    <w:p>
      <w:pPr>
        <w:pStyle w:val="ListBullet"/>
      </w:pPr>
      <w:hyperlink r:id="rId12">
        <w:r>
          <w:rPr>
            <w:color w:val="2E74B5"/>
            <w:u w:val="single"/>
          </w:rPr>
          <w:t>Microsoft: passkeys (FIDO2) en Entra ID</w:t>
        </w:r>
      </w:hyperlink>
    </w:p>
    <w:p>
      <w:pPr>
        <w:pStyle w:val="ListBullet"/>
      </w:pPr>
      <w:hyperlink r:id="rId13">
        <w:r>
          <w:rPr>
            <w:color w:val="2E74B5"/>
            <w:u w:val="single"/>
          </w:rPr>
          <w:t>Microsoft: sincronización de hash de contraseña</w:t>
        </w:r>
      </w:hyperlink>
    </w:p>
    <w:p>
      <w:pPr>
        <w:pStyle w:val="ListBullet"/>
      </w:pPr>
      <w:hyperlink r:id="rId14">
        <w:r>
          <w:rPr>
            <w:color w:val="2E74B5"/>
            <w:u w:val="single"/>
          </w:rPr>
          <w:t>Microsoft: Windows Hello for Business y Cloud Kerberos Trust</w:t>
        </w:r>
      </w:hyperlink>
    </w:p>
    <w:p>
      <w:pPr>
        <w:pStyle w:val="ListBullet"/>
      </w:pPr>
      <w:hyperlink r:id="rId15">
        <w:r>
          <w:rPr>
            <w:color w:val="2E74B5"/>
            <w:u w:val="single"/>
          </w:rPr>
          <w:t>Microsoft: comprobación de Microsoft Entra Hybrid Join</w:t>
        </w:r>
      </w:hyperlink>
    </w:p>
    <w:p>
      <w:pPr>
        <w:pStyle w:val="ListBullet"/>
      </w:pPr>
      <w:hyperlink r:id="rId16">
        <w:r>
          <w:rPr>
            <w:color w:val="2E74B5"/>
            <w:u w:val="single"/>
          </w:rPr>
          <w:t>Microsoft: recomendaciones de políticas de contraseña</w:t>
        </w:r>
      </w:hyperlink>
    </w:p>
    <w:p>
      <w:pPr>
        <w:pStyle w:val="ListBullet"/>
      </w:pPr>
      <w:hyperlink r:id="rId17">
        <w:r>
          <w:rPr>
            <w:color w:val="2E74B5"/>
            <w:u w:val="single"/>
          </w:rPr>
          <w:t>Microsoft Research: Microsoft Password Guidance</w:t>
        </w:r>
      </w:hyperlink>
    </w:p>
    <w:p>
      <w:pPr>
        <w:pStyle w:val="ListBullet"/>
      </w:pPr>
      <w:hyperlink r:id="rId18">
        <w:r>
          <w:rPr>
            <w:color w:val="2E74B5"/>
            <w:u w:val="single"/>
          </w:rPr>
          <w:t>NIST SP 800-63B-4: Authentication and Authenticator Management</w:t>
        </w:r>
      </w:hyperlink>
    </w:p>
    <w:p>
      <w:pPr>
        <w:pStyle w:val="ListBullet"/>
      </w:pPr>
      <w:hyperlink r:id="rId19">
        <w:r>
          <w:rPr>
            <w:color w:val="2E74B5"/>
            <w:u w:val="single"/>
          </w:rPr>
          <w:t>Fortinet: SSL VPN con Microsoft Entra SSO</w:t>
        </w:r>
      </w:hyperlink>
    </w:p>
    <w:p>
      <w:pPr>
        <w:pStyle w:val="ListBullet"/>
      </w:pPr>
      <w:hyperlink r:id="rId20">
        <w:r>
          <w:rPr>
            <w:color w:val="2E74B5"/>
            <w:u w:val="single"/>
          </w:rPr>
          <w:t>Fortinet: VPN antes del inicio de sesión</w:t>
        </w:r>
      </w:hyperlink>
    </w:p>
    <w:p>
      <w:pPr>
        <w:pStyle w:val="ListBullet"/>
      </w:pPr>
      <w:hyperlink r:id="rId21">
        <w:r>
          <w:rPr>
            <w:color w:val="2E74B5"/>
            <w:u w:val="single"/>
          </w:rPr>
          <w:t>Fortinet: prelogon con certificado de equipo y EMS</w:t>
        </w:r>
      </w:hyperlink>
    </w:p>
    <w:p>
      <w:pPr>
        <w:pStyle w:val="ListBullet"/>
      </w:pPr>
      <w:hyperlink r:id="rId22">
        <w:r>
          <w:rPr>
            <w:color w:val="2E74B5"/>
            <w:u w:val="single"/>
          </w:rPr>
          <w:t>Microsoft: precios de Microsoft Entra</w:t>
        </w:r>
      </w:hyperlink>
    </w:p>
    <w:p>
      <w:pPr>
        <w:pStyle w:val="ListBullet"/>
      </w:pPr>
      <w:hyperlink r:id="rId23">
        <w:r>
          <w:rPr>
            <w:color w:val="2E74B5"/>
            <w:u w:val="single"/>
          </w:rPr>
          <w:t>Microsoft: precio y contenido de Business Premium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B6573"/>
        <w:sz w:val="18"/>
      </w:rPr>
      <w:t>Proyecto de identidad y acceso seguro | Documento ejecutivo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entra/identity/authentication/concept-sms-voice-retirement" TargetMode="External"/><Relationship Id="rId12" Type="http://schemas.openxmlformats.org/officeDocument/2006/relationships/hyperlink" Target="https://learn.microsoft.com/en-us/entra/identity/authentication/concept-authentication-passkeys-fido2" TargetMode="External"/><Relationship Id="rId13" Type="http://schemas.openxmlformats.org/officeDocument/2006/relationships/hyperlink" Target="https://learn.microsoft.com/en-us/entra/identity/hybrid/connect/how-to-connect-password-hash-synchronization" TargetMode="External"/><Relationship Id="rId14" Type="http://schemas.openxmlformats.org/officeDocument/2006/relationships/hyperlink" Target="https://learn.microsoft.com/en-us/windows/security/identity-protection/hello-for-business/deploy/" TargetMode="External"/><Relationship Id="rId15" Type="http://schemas.openxmlformats.org/officeDocument/2006/relationships/hyperlink" Target="https://learn.microsoft.com/es-es/entra/identity/devices/how-to-hybrid-join-verify" TargetMode="External"/><Relationship Id="rId16" Type="http://schemas.openxmlformats.org/officeDocument/2006/relationships/hyperlink" Target="https://learn.microsoft.com/en-us/microsoft-365/admin/misc/password-policy-recommendations?view=o365-worldwide" TargetMode="External"/><Relationship Id="rId17" Type="http://schemas.openxmlformats.org/officeDocument/2006/relationships/hyperlink" Target="https://www.microsoft.com/en-us/research/wp-content/uploads/2016/06/Microsoft_Password_Guidance-1.pdf" TargetMode="External"/><Relationship Id="rId18" Type="http://schemas.openxmlformats.org/officeDocument/2006/relationships/hyperlink" Target="https://nvlpubs.nist.gov/nistpubs/SpecialPublications/NIST.SP.800-63b-4.pdf" TargetMode="External"/><Relationship Id="rId19" Type="http://schemas.openxmlformats.org/officeDocument/2006/relationships/hyperlink" Target="https://docs.fortinet.com/document/fortigate/7.4.8/administration-guide/109964/ssl-vpn-with-microsoft-entra-sso-integration" TargetMode="External"/><Relationship Id="rId20" Type="http://schemas.openxmlformats.org/officeDocument/2006/relationships/hyperlink" Target="https://docs.fortinet.com/document/forticlient/7.4.3/administration-guide/479513/activating-vpn-before-windows-logon" TargetMode="External"/><Relationship Id="rId21" Type="http://schemas.openxmlformats.org/officeDocument/2006/relationships/hyperlink" Target="https://docs.fortinet.com/document/forticlient/7.4.4/administration-guide/505235/appendix-f-ssl-vpn-prelogon" TargetMode="External"/><Relationship Id="rId22" Type="http://schemas.openxmlformats.org/officeDocument/2006/relationships/hyperlink" Target="https://www.microsoft.com/en-us/security/business/microsoft-entra-pricing" TargetMode="External"/><Relationship Id="rId23" Type="http://schemas.openxmlformats.org/officeDocument/2006/relationships/hyperlink" Target="https://www.microsoft.com/en-us/microsoft-365/business/microsoft-365-business-premiu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