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EFD5" w14:textId="4E191564" w:rsidR="00FD0FD1" w:rsidRDefault="00FD0FD1" w:rsidP="00FD0FD1">
      <w:pPr>
        <w:ind w:firstLine="360"/>
      </w:pPr>
      <w:r>
        <w:t xml:space="preserve">Given the provided data, we </w:t>
      </w:r>
      <w:proofErr w:type="gramStart"/>
      <w:r>
        <w:t>are able to</w:t>
      </w:r>
      <w:proofErr w:type="gramEnd"/>
      <w:r>
        <w:t xml:space="preserve"> draw three conclusions about Kickstart</w:t>
      </w:r>
      <w:r w:rsidR="00C24AF7">
        <w:t>er</w:t>
      </w:r>
      <w:r>
        <w:t xml:space="preserve"> campaigns. The first</w:t>
      </w:r>
      <w:r w:rsidR="00D00288">
        <w:t xml:space="preserve"> is that theater cam</w:t>
      </w:r>
      <w:r w:rsidR="00671B0F">
        <w:t xml:space="preserve">paigns </w:t>
      </w:r>
      <w:r w:rsidR="006F2D9E">
        <w:t xml:space="preserve">appear to be the most popular category </w:t>
      </w:r>
      <w:r w:rsidR="00843C48">
        <w:t>of projects</w:t>
      </w:r>
      <w:r w:rsidR="00334A9F">
        <w:t>, as there have been 1,393 campaigns</w:t>
      </w:r>
      <w:r w:rsidR="003573D0">
        <w:t xml:space="preserve"> total</w:t>
      </w:r>
      <w:r w:rsidR="00410C96">
        <w:t xml:space="preserve">, with all other categories at or below 700. </w:t>
      </w:r>
    </w:p>
    <w:p w14:paraId="33568D0C" w14:textId="77777777" w:rsidR="007A0CBD" w:rsidRDefault="007A0CBD" w:rsidP="00FD0FD1">
      <w:pPr>
        <w:ind w:firstLine="360"/>
      </w:pPr>
    </w:p>
    <w:p w14:paraId="753DEB1C" w14:textId="703A80EF" w:rsidR="00EE53B4" w:rsidRDefault="00871FAD" w:rsidP="002311F7">
      <w:pPr>
        <w:ind w:firstLine="360"/>
        <w:jc w:val="center"/>
      </w:pPr>
      <w:r>
        <w:rPr>
          <w:noProof/>
        </w:rPr>
        <w:drawing>
          <wp:inline distT="0" distB="0" distL="0" distR="0" wp14:anchorId="0F7141E5" wp14:editId="72E1BDA0">
            <wp:extent cx="5547360" cy="2926080"/>
            <wp:effectExtent l="0" t="0" r="152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08F8F9-5A26-46C0-A4ED-E2D2096C7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537F1C" w14:textId="673691C0" w:rsidR="00EE53B4" w:rsidRDefault="00EE53B4" w:rsidP="00FD0FD1">
      <w:pPr>
        <w:ind w:firstLine="360"/>
      </w:pPr>
    </w:p>
    <w:p w14:paraId="33825821" w14:textId="2E926CD4" w:rsidR="00871FAD" w:rsidRDefault="002D2B56" w:rsidP="00FD0FD1">
      <w:pPr>
        <w:ind w:firstLine="360"/>
      </w:pPr>
      <w:r>
        <w:t xml:space="preserve">Looking further into our data, we </w:t>
      </w:r>
      <w:proofErr w:type="gramStart"/>
      <w:r>
        <w:t>are able to</w:t>
      </w:r>
      <w:proofErr w:type="gramEnd"/>
      <w:r>
        <w:t xml:space="preserve"> draw our second conclusion that </w:t>
      </w:r>
      <w:r w:rsidR="00847E22">
        <w:t xml:space="preserve">although theater campaigns appear to be the most popular category, </w:t>
      </w:r>
      <w:r w:rsidR="00D05909">
        <w:t xml:space="preserve">music campaigns appear to be the most successful. </w:t>
      </w:r>
      <w:r w:rsidR="00CA2E09">
        <w:t xml:space="preserve">Given the data, we can see that 77% of music campaigns are successful, </w:t>
      </w:r>
      <w:r w:rsidR="00E8533C">
        <w:t xml:space="preserve">compared </w:t>
      </w:r>
      <w:r w:rsidR="00E64CF7">
        <w:t xml:space="preserve">to theater with a 60% success rate. </w:t>
      </w:r>
    </w:p>
    <w:tbl>
      <w:tblPr>
        <w:tblW w:w="6705" w:type="dxa"/>
        <w:tblLook w:val="04A0" w:firstRow="1" w:lastRow="0" w:firstColumn="1" w:lastColumn="0" w:noHBand="0" w:noVBand="1"/>
      </w:tblPr>
      <w:tblGrid>
        <w:gridCol w:w="1420"/>
        <w:gridCol w:w="1700"/>
        <w:gridCol w:w="732"/>
        <w:gridCol w:w="539"/>
        <w:gridCol w:w="1134"/>
        <w:gridCol w:w="1180"/>
      </w:tblGrid>
      <w:tr w:rsidR="00B53D69" w:rsidRPr="00B53D69" w14:paraId="32F3DB0B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50A9" w14:textId="77777777" w:rsidR="00B53D69" w:rsidRPr="00B53D69" w:rsidRDefault="00B53D69" w:rsidP="007A0C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4674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8891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CD89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6B6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EB13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D69" w:rsidRPr="00B53D69" w14:paraId="6E5E6667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27161B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87E3E0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3DC897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515E2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654E74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7F7955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D69" w:rsidRPr="00B53D69" w14:paraId="645107CB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B63EC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851ACB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61B138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87227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046F1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E604C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B53D69" w:rsidRPr="00B53D69" w14:paraId="047BDE11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DBD4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08C4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1C40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7CF1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2482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6BD6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B53D69" w:rsidRPr="00B53D69" w14:paraId="3D4DD0AD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E62E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286F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0D3A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6147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E0B1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E8D4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53D69" w:rsidRPr="00B53D69" w14:paraId="2BDEE8B5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5782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0E2F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19F0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BF37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6F35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1003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B53D69" w:rsidRPr="00B53D69" w14:paraId="07C97FBC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2246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ABF2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5EED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EE4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B6C" w14:textId="77777777" w:rsidR="00B53D69" w:rsidRPr="00B53D69" w:rsidRDefault="00B53D69" w:rsidP="00B53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79B9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53D69" w:rsidRPr="00B53D69" w14:paraId="14A80FEE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F463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506F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7D54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D289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B580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C047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B53D69" w:rsidRPr="00B53D69" w14:paraId="5E682E9A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D06A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39C4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E414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9EDF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8F0E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ED9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B53D69" w:rsidRPr="00B53D69" w14:paraId="62C7DCBE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A6A1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62C7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428A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5E3C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DCD1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089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B53D69" w:rsidRPr="00B53D69" w14:paraId="34B71D09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EF9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7A27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FFE3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7983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6C75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A47C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B53D69" w:rsidRPr="00B53D69" w14:paraId="54FAC3CC" w14:textId="77777777" w:rsidTr="007A0CBD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C300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C3F2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F8F3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5A8A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5F49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56CD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D69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B53D69" w:rsidRPr="00B53D69" w14:paraId="399225D0" w14:textId="77777777" w:rsidTr="007A0CBD">
        <w:trPr>
          <w:trHeight w:val="288"/>
        </w:trPr>
        <w:tc>
          <w:tcPr>
            <w:tcW w:w="1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365455" w14:textId="77777777" w:rsidR="00B53D69" w:rsidRPr="00B53D69" w:rsidRDefault="00B53D69" w:rsidP="00B5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4E17F2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F97B4D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FC1163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33E9B1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990643" w14:textId="77777777" w:rsidR="00B53D69" w:rsidRPr="00B53D69" w:rsidRDefault="00B53D69" w:rsidP="00B53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3D69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6CC09D8E" w14:textId="77777777" w:rsidR="00B53D69" w:rsidRDefault="00B53D69" w:rsidP="00FD0FD1">
      <w:pPr>
        <w:ind w:firstLine="360"/>
      </w:pPr>
    </w:p>
    <w:p w14:paraId="1628A27C" w14:textId="77777777" w:rsidR="00A16C33" w:rsidRDefault="0057161C" w:rsidP="00FD0FD1">
      <w:pPr>
        <w:ind w:firstLine="360"/>
      </w:pPr>
      <w:r>
        <w:lastRenderedPageBreak/>
        <w:t xml:space="preserve">The </w:t>
      </w:r>
      <w:r w:rsidR="006A4F7D">
        <w:t>third</w:t>
      </w:r>
      <w:r>
        <w:t xml:space="preserve"> </w:t>
      </w:r>
      <w:r w:rsidR="00732BC6">
        <w:t xml:space="preserve">conclusion we can draw from the given data is that the greater the campaign goal, the greater the percentage of </w:t>
      </w:r>
      <w:r w:rsidR="00B27A04">
        <w:t>failed campaigns.</w:t>
      </w:r>
      <w:r w:rsidR="00A869B3">
        <w:t xml:space="preserve"> When the campaign goal is less than $1000, </w:t>
      </w:r>
      <w:r w:rsidR="00BF5CD5">
        <w:t xml:space="preserve">the success rate is </w:t>
      </w:r>
      <w:r w:rsidR="00ED2D85">
        <w:t xml:space="preserve">71% and the fail rate is 25%. On the contrary, when the campaign goal is </w:t>
      </w:r>
      <w:r w:rsidR="00A16C33">
        <w:t>greater than or equal to $50,000, the success rate falls to 19% and the fail rate rises to 58%.</w:t>
      </w:r>
    </w:p>
    <w:p w14:paraId="611ED8C7" w14:textId="77777777" w:rsidR="00A16C33" w:rsidRDefault="00A16C33" w:rsidP="00FD0FD1">
      <w:pPr>
        <w:ind w:firstLine="360"/>
      </w:pPr>
    </w:p>
    <w:p w14:paraId="51670E22" w14:textId="7B1894A2" w:rsidR="00EE53B4" w:rsidRDefault="00932E84" w:rsidP="00E9589B">
      <w:pPr>
        <w:ind w:firstLine="360"/>
        <w:jc w:val="center"/>
      </w:pPr>
      <w:r>
        <w:rPr>
          <w:noProof/>
        </w:rPr>
        <w:drawing>
          <wp:inline distT="0" distB="0" distL="0" distR="0" wp14:anchorId="5261F8C1" wp14:editId="4B2DA419">
            <wp:extent cx="5037771" cy="3308034"/>
            <wp:effectExtent l="0" t="0" r="1079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B58FCD-6F46-4167-9007-10A5E730F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0F4B95" w14:textId="58D35A62" w:rsidR="00EE53B4" w:rsidRDefault="00EE53B4" w:rsidP="00FD0FD1">
      <w:pPr>
        <w:ind w:firstLine="360"/>
      </w:pPr>
    </w:p>
    <w:p w14:paraId="204F5BDF" w14:textId="77777777" w:rsidR="00FE60C4" w:rsidRDefault="00F52FF4" w:rsidP="00FD0FD1">
      <w:pPr>
        <w:ind w:firstLine="360"/>
      </w:pPr>
      <w:r>
        <w:t xml:space="preserve">One limitation to the data set is that it only </w:t>
      </w:r>
      <w:r w:rsidR="00ED1C32">
        <w:t xml:space="preserve">provides data from </w:t>
      </w:r>
      <w:r w:rsidR="00F905B4">
        <w:t xml:space="preserve">21 countries. </w:t>
      </w:r>
      <w:r w:rsidR="00DA1073">
        <w:t xml:space="preserve">The UN currently recognizes </w:t>
      </w:r>
      <w:r w:rsidR="000A0435">
        <w:t xml:space="preserve">193 </w:t>
      </w:r>
      <w:r w:rsidR="00EC6BFF">
        <w:t>countries</w:t>
      </w:r>
      <w:r w:rsidR="00711303">
        <w:t xml:space="preserve">, so this data set might not be </w:t>
      </w:r>
      <w:r w:rsidR="000D5331">
        <w:t xml:space="preserve">a clear enough representation of </w:t>
      </w:r>
      <w:r w:rsidR="00750535">
        <w:t xml:space="preserve">crowdfunding campaigns. </w:t>
      </w:r>
    </w:p>
    <w:p w14:paraId="3F3F57D7" w14:textId="7CC0777B" w:rsidR="00EE53B4" w:rsidRDefault="00A071BF" w:rsidP="00FD0FD1">
      <w:pPr>
        <w:ind w:firstLine="360"/>
      </w:pPr>
      <w:r>
        <w:t>We are also unable to tell from the data if any of the campaigns were featured projects on Kickstarter</w:t>
      </w:r>
      <w:r w:rsidR="007A0CBD">
        <w:t>’s website</w:t>
      </w:r>
      <w:r w:rsidR="002261FC">
        <w:t>,</w:t>
      </w:r>
      <w:r w:rsidR="00EC34B4">
        <w:t xml:space="preserve"> or</w:t>
      </w:r>
      <w:r w:rsidR="002261FC">
        <w:t xml:space="preserve"> if they</w:t>
      </w:r>
      <w:r w:rsidR="00EC34B4">
        <w:t xml:space="preserve"> received more exposure. </w:t>
      </w:r>
      <w:r w:rsidR="00C32DE5">
        <w:t>Projects that are featured on Kickstarter’s homepage may have an advantage</w:t>
      </w:r>
      <w:r w:rsidR="00647F47">
        <w:t xml:space="preserve"> and could potentially draw in more donations than </w:t>
      </w:r>
      <w:r w:rsidR="0015600C">
        <w:t xml:space="preserve">campaigns that </w:t>
      </w:r>
      <w:proofErr w:type="gramStart"/>
      <w:r w:rsidR="0015600C">
        <w:t>have to</w:t>
      </w:r>
      <w:proofErr w:type="gramEnd"/>
      <w:r w:rsidR="0015600C">
        <w:t xml:space="preserve"> be searched for. </w:t>
      </w:r>
    </w:p>
    <w:p w14:paraId="723CA8AD" w14:textId="635EDC9E" w:rsidR="00727B05" w:rsidRDefault="00093563" w:rsidP="002311F7">
      <w:pPr>
        <w:ind w:firstLine="360"/>
      </w:pPr>
      <w:r>
        <w:t>If we had data or from more countries, or data regarding a campaign’s exposure, our analysis might look different. However, using the data we do have, a</w:t>
      </w:r>
      <w:r w:rsidR="002261FC">
        <w:t xml:space="preserve">nother </w:t>
      </w:r>
      <w:r w:rsidR="00633462">
        <w:t xml:space="preserve">way to analyze </w:t>
      </w:r>
      <w:r w:rsidR="002311F7">
        <w:t>it</w:t>
      </w:r>
      <w:r w:rsidR="00633462">
        <w:t xml:space="preserve"> would be</w:t>
      </w:r>
      <w:r w:rsidR="0011168B">
        <w:t xml:space="preserve"> to</w:t>
      </w:r>
      <w:r w:rsidR="00633462">
        <w:t xml:space="preserve"> creat</w:t>
      </w:r>
      <w:r w:rsidR="0011168B">
        <w:t>e</w:t>
      </w:r>
      <w:r w:rsidR="00633462">
        <w:t xml:space="preserve"> a graph or table that </w:t>
      </w:r>
      <w:r w:rsidR="0011168B">
        <w:t>compares the length of time a campaign is open to its success rate. We cou</w:t>
      </w:r>
      <w:r w:rsidR="00B841B4">
        <w:t>ld compare these results to determine if campaigns that are open</w:t>
      </w:r>
      <w:r w:rsidR="00CB3ACC">
        <w:t xml:space="preserve"> longer see higher success rates, or if length of time makes </w:t>
      </w:r>
      <w:r w:rsidR="00757E24">
        <w:t>any difference after a certain point.</w:t>
      </w:r>
    </w:p>
    <w:sectPr w:rsidR="0072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847D3"/>
    <w:multiLevelType w:val="hybridMultilevel"/>
    <w:tmpl w:val="E3E2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0B"/>
    <w:rsid w:val="000333A9"/>
    <w:rsid w:val="00051087"/>
    <w:rsid w:val="00093563"/>
    <w:rsid w:val="000A0435"/>
    <w:rsid w:val="000D2D22"/>
    <w:rsid w:val="000D5331"/>
    <w:rsid w:val="0011168B"/>
    <w:rsid w:val="0012170B"/>
    <w:rsid w:val="0015600C"/>
    <w:rsid w:val="001A0B40"/>
    <w:rsid w:val="002261FC"/>
    <w:rsid w:val="002311F7"/>
    <w:rsid w:val="002D2B56"/>
    <w:rsid w:val="00334A9F"/>
    <w:rsid w:val="003573D0"/>
    <w:rsid w:val="00410C96"/>
    <w:rsid w:val="0057161C"/>
    <w:rsid w:val="00633462"/>
    <w:rsid w:val="00647F47"/>
    <w:rsid w:val="00671B0F"/>
    <w:rsid w:val="006A4F7D"/>
    <w:rsid w:val="006F2D9E"/>
    <w:rsid w:val="00711303"/>
    <w:rsid w:val="00727B05"/>
    <w:rsid w:val="00732BC6"/>
    <w:rsid w:val="00750535"/>
    <w:rsid w:val="00757E24"/>
    <w:rsid w:val="007A06AE"/>
    <w:rsid w:val="007A0CBD"/>
    <w:rsid w:val="007E429D"/>
    <w:rsid w:val="0082319D"/>
    <w:rsid w:val="00843C48"/>
    <w:rsid w:val="00847E22"/>
    <w:rsid w:val="0086151B"/>
    <w:rsid w:val="00871FAD"/>
    <w:rsid w:val="00932E84"/>
    <w:rsid w:val="00945C66"/>
    <w:rsid w:val="00A071BF"/>
    <w:rsid w:val="00A16C33"/>
    <w:rsid w:val="00A62DB2"/>
    <w:rsid w:val="00A869B3"/>
    <w:rsid w:val="00B27A04"/>
    <w:rsid w:val="00B42F5B"/>
    <w:rsid w:val="00B53D69"/>
    <w:rsid w:val="00B841B4"/>
    <w:rsid w:val="00BA4803"/>
    <w:rsid w:val="00BF5CD5"/>
    <w:rsid w:val="00C24AF7"/>
    <w:rsid w:val="00C32DE5"/>
    <w:rsid w:val="00CA2E09"/>
    <w:rsid w:val="00CB3ACC"/>
    <w:rsid w:val="00D00288"/>
    <w:rsid w:val="00D05909"/>
    <w:rsid w:val="00DA1073"/>
    <w:rsid w:val="00E60220"/>
    <w:rsid w:val="00E64CF7"/>
    <w:rsid w:val="00E8533C"/>
    <w:rsid w:val="00E9589B"/>
    <w:rsid w:val="00EC34B4"/>
    <w:rsid w:val="00EC6BFF"/>
    <w:rsid w:val="00ED1C32"/>
    <w:rsid w:val="00ED2D85"/>
    <w:rsid w:val="00EE53B4"/>
    <w:rsid w:val="00F52FF4"/>
    <w:rsid w:val="00F905B4"/>
    <w:rsid w:val="00FD0FD1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B81"/>
  <w15:chartTrackingRefBased/>
  <w15:docId w15:val="{7A1E88A7-8E00-40E0-9AF0-0824B8E2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892dcdaa868a894/Documents/Git/Trilogy/InClass/ExcelHomework/Kickstarter_Excel_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892dcdaa868a894/Documents/Git/Trilogy/InClass/ExcelHomework/Kickstarter_Excel_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[Kickstarter_Excel_HW.xlsx]CategoryPivotTable!PivotTable2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Campaigns and Their</a:t>
            </a:r>
            <a:r>
              <a:rPr lang="en-US" baseline="0"/>
              <a:t> State Based on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CategoryPivotTable!$B$4:$B$5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CategoryPivotTable!$A$6:$A$15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CategoryPivotTable!$B$6:$B$15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25-43B5-897B-AE91533370F9}"/>
            </c:ext>
          </c:extLst>
        </c:ser>
        <c:ser>
          <c:idx val="1"/>
          <c:order val="1"/>
          <c:tx>
            <c:strRef>
              <c:f>CategoryPivotTable!$C$4:$C$5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CategoryPivotTable!$A$6:$A$15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CategoryPivotTable!$C$6:$C$15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325-43B5-897B-AE91533370F9}"/>
            </c:ext>
          </c:extLst>
        </c:ser>
        <c:ser>
          <c:idx val="2"/>
          <c:order val="2"/>
          <c:tx>
            <c:strRef>
              <c:f>CategoryPivotTable!$D$4:$D$5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CategoryPivotTable!$A$6:$A$15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CategoryPivotTable!$D$6:$D$15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325-43B5-897B-AE91533370F9}"/>
            </c:ext>
          </c:extLst>
        </c:ser>
        <c:ser>
          <c:idx val="3"/>
          <c:order val="3"/>
          <c:tx>
            <c:strRef>
              <c:f>CategoryPivotTable!$E$4:$E$5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CategoryPivotTable!$A$6:$A$15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CategoryPivotTable!$E$6:$E$15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325-43B5-897B-AE91533370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5543040"/>
        <c:axId val="275543872"/>
      </c:barChart>
      <c:catAx>
        <c:axId val="27554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543872"/>
        <c:crosses val="autoZero"/>
        <c:auto val="1"/>
        <c:lblAlgn val="ctr"/>
        <c:lblOffset val="100"/>
        <c:noMultiLvlLbl val="0"/>
      </c:catAx>
      <c:valAx>
        <c:axId val="27554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</a:t>
                </a:r>
                <a:r>
                  <a:rPr lang="en-US" baseline="0"/>
                  <a:t> Totals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54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Campaign State Percentages Based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BonusWork!$F$1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BonusWork!$A$2:$A$13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45999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BonusWork!$F$2:$F$13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3A-4503-8C21-7EF82981F80A}"/>
            </c:ext>
          </c:extLst>
        </c:ser>
        <c:ser>
          <c:idx val="1"/>
          <c:order val="1"/>
          <c:tx>
            <c:strRef>
              <c:f>BonusWork!$G$1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BonusWork!$A$2:$A$13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45999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BonusWork!$G$2:$G$13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3A-4503-8C21-7EF82981F80A}"/>
            </c:ext>
          </c:extLst>
        </c:ser>
        <c:ser>
          <c:idx val="2"/>
          <c:order val="2"/>
          <c:tx>
            <c:strRef>
              <c:f>BonusWork!$H$1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BonusWork!$A$2:$A$13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45999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BonusWork!$H$2:$H$13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3A-4503-8C21-7EF82981F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593952"/>
        <c:axId val="1312595200"/>
      </c:lineChart>
      <c:catAx>
        <c:axId val="131259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</a:t>
                </a:r>
                <a:r>
                  <a:rPr lang="en-US" baseline="0"/>
                  <a:t> Goal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595200"/>
        <c:crosses val="autoZero"/>
        <c:auto val="1"/>
        <c:lblAlgn val="ctr"/>
        <c:lblOffset val="100"/>
        <c:noMultiLvlLbl val="0"/>
      </c:catAx>
      <c:valAx>
        <c:axId val="13125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5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Corrie Thomas</dc:creator>
  <cp:keywords/>
  <dc:description/>
  <cp:lastModifiedBy>Corrie Thomas</cp:lastModifiedBy>
  <cp:revision>2</cp:revision>
  <dcterms:created xsi:type="dcterms:W3CDTF">2020-12-19T19:50:00Z</dcterms:created>
  <dcterms:modified xsi:type="dcterms:W3CDTF">2020-12-19T19:50:00Z</dcterms:modified>
</cp:coreProperties>
</file>