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160" w:line="259" w:lineRule="auto"/>
        <w:contextualSpacing w:val="0"/>
        <w:jc w:val="righ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Dariusz Nowak, 278679</w:t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center"/>
        <w:rPr>
          <w:rFonts w:ascii="Calibri" w:cs="Calibri" w:eastAsia="Calibri" w:hAnsi="Calibri"/>
          <w:b w:val="1"/>
          <w:sz w:val="96"/>
          <w:szCs w:val="96"/>
        </w:rPr>
      </w:pPr>
      <w:r w:rsidDel="00000000" w:rsidR="00000000" w:rsidRPr="00000000">
        <w:rPr>
          <w:rFonts w:ascii="Calibri" w:cs="Calibri" w:eastAsia="Calibri" w:hAnsi="Calibri"/>
          <w:b w:val="1"/>
          <w:sz w:val="96"/>
          <w:szCs w:val="96"/>
          <w:rtl w:val="0"/>
        </w:rPr>
        <w:t xml:space="preserve">Scenariusz nr 5</w:t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center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Budowa i działanie sieci Kohonena dla WTA.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Sieci Kohonena</w:t>
      </w:r>
      <w:r w:rsidDel="00000000" w:rsidR="00000000" w:rsidRPr="00000000">
        <w:rPr>
          <w:rtl w:val="0"/>
        </w:rPr>
        <w:t xml:space="preserve"> są szczególnym przypadkiem algorytmu realizującego uczenie się bez nadzoru. Ich głównym zadaniem jest organizacja wielowymiarowej informacji (np. obiektów opisanych 50 parametrami w taki sposób, żeby można ją było prezentować i analizować w przestrzeni o znacznie mniejszej liczbie wymiarów, czyli mapie (np. na dwuwymiarowym ekranie). Warunek: rzuty "podobnych" danych wejściowych powinny być bliskie również na mapie. Sieci Kohonena znane są też pod nazwami Self-Organizing Maps, Competitive Filters.</w:t>
        <w:br w:type="textWrapping"/>
        <w:br w:type="textWrapping"/>
        <w:t xml:space="preserve">Topologia sieci Kohonena odpowiada topologii docelowej przestrzeni. Jeśli np. chcemy prezentować wynik na ekranie, rozsądnym modelem jest prostokątna siatka węzłów (im więcej, tym wyższą rozdzielczość będzie miała mapa):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886200" cy="17526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Zasady działania sieci Kohonena:</w:t>
      </w:r>
      <w:r w:rsidDel="00000000" w:rsidR="00000000" w:rsidRPr="00000000">
        <w:rPr>
          <w:rtl w:val="0"/>
        </w:rPr>
        <w:br w:type="textWrapping"/>
        <w:br w:type="textWrapping"/>
        <w:t xml:space="preserve">-Wejścia (tyle, iloma parametrami opisano obiekty) połączone są ze wszystkimi węzłami sieci</w:t>
        <w:br w:type="textWrapping"/>
        <w:t xml:space="preserve">-Każdy węzeł przechowuje wektor wag o wymiarze identycznym z wektorami wejściowymi</w:t>
        <w:br w:type="textWrapping"/>
        <w:t xml:space="preserve">-Każdy węzeł oblicza swój poziom aktywacji jako iloczyn skalarny wektora wag i wektora wejściowego (podobnie jak w zwykłym neuronie)</w:t>
        <w:br w:type="textWrapping"/>
        <w:t xml:space="preserve">-Ten węzeł, który dla danego wektora wejściowego ma najwyższy poziom aktywacji, zostaje zwycięzcą i jest uaktywniony</w:t>
        <w:br w:type="textWrapping"/>
        <w:t xml:space="preserve">-Wzmacniamy podobieństwo węzła-zwycięzcy do aktualnych danych wejściowych poprzez dodanie do wektora wag wektora wejściowego (z pewnym współczynnikiem uczenia)</w:t>
        <w:br w:type="textWrapping"/>
        <w:t xml:space="preserve">-Każdy węzeł może być stowarzyszony z pewnymi innymi, sąsiednimi węzłami - wówczas te węzły również zostają zmodyfikowane, jednak w mniejszym stopniu.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WTA-</w:t>
      </w:r>
      <w:r w:rsidDel="00000000" w:rsidR="00000000" w:rsidRPr="00000000">
        <w:rPr>
          <w:rtl w:val="0"/>
        </w:rPr>
        <w:t xml:space="preserve">Po przedstawieniu sieci wektora wejściowego, neuron najbardziej podobny do elementu prezentowanego zostaje zmodyfikowany zgodnie z funkcją f tak, aby jego wagi były jak najbardziej zbliżone do wektora wejściowego.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WTM-</w:t>
      </w:r>
      <w:r w:rsidDel="00000000" w:rsidR="00000000" w:rsidRPr="00000000">
        <w:rPr>
          <w:rtl w:val="0"/>
        </w:rPr>
        <w:t xml:space="preserve">Różnica pomiędzy WTA polega na tym, że nie tylko neuron zwycięski jest pobudzany. Aktywowani są również jego sąsiedzi, im bliżej, tym mocniej.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43300" cy="381952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Topologia sieci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19550" cy="387667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87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dystans pomiędzy neuronami, im ciemniejszy kolor, tym większy dystans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34544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Rozklad wag wejść. Im ciemniejszy kolor, tym większa waga.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71875" cy="374332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74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wynik WTM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62450" cy="404812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04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Pozycje wag. Niebieskie punkty reprezentują neurony, a linie połączenia pomiędzy nimi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Podsumowanie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Algorytm WTM znacząco zmniejsza szanse na wystąpienie zjawiska tzw zagłodzenia neuronu, ponieważ nawet neurony znajdujące się daleko od “zwycięzcy” są w jakimś stopniu pobudzane, jak widać na rysunku z rozkładem WTM. Powoduje to również, że nie ma neuronów, które w wyraźny sposób dominują nad resztą. Istotny jest tutaj tak dobór odpowiedniej ilości neuronów.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1.png"/><Relationship Id="rId10" Type="http://schemas.openxmlformats.org/officeDocument/2006/relationships/image" Target="media/image9.png"/><Relationship Id="rId9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0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