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A45" w:rsidRPr="00170A1A" w:rsidRDefault="005C0A45" w:rsidP="000941AA">
      <w:pPr>
        <w:spacing w:line="240" w:lineRule="auto"/>
        <w:jc w:val="both"/>
        <w:rPr>
          <w:noProof/>
          <w:sz w:val="24"/>
          <w:szCs w:val="24"/>
          <w:lang w:val="ka-GE"/>
        </w:rPr>
      </w:pPr>
    </w:p>
    <w:p w:rsidR="005C0A45" w:rsidRPr="00170A1A" w:rsidRDefault="005C0A45" w:rsidP="000941AA">
      <w:pPr>
        <w:spacing w:line="240" w:lineRule="auto"/>
        <w:ind w:firstLine="708"/>
        <w:jc w:val="both"/>
        <w:rPr>
          <w:b/>
          <w:noProof/>
          <w:sz w:val="24"/>
          <w:szCs w:val="24"/>
          <w:lang w:val="ka-GE"/>
        </w:rPr>
      </w:pPr>
      <w:r w:rsidRPr="00170A1A">
        <w:rPr>
          <w:b/>
          <w:noProof/>
          <w:sz w:val="24"/>
          <w:szCs w:val="24"/>
          <w:lang w:val="ka-GE"/>
        </w:rPr>
        <w:t>დავით ბასიაშვილი</w:t>
      </w:r>
    </w:p>
    <w:p w:rsidR="005C0A45" w:rsidRPr="00170A1A" w:rsidRDefault="005C0A45" w:rsidP="000941AA">
      <w:pPr>
        <w:spacing w:line="240" w:lineRule="auto"/>
        <w:jc w:val="both"/>
        <w:rPr>
          <w:noProof/>
          <w:sz w:val="24"/>
          <w:szCs w:val="24"/>
          <w:lang w:val="ka-GE"/>
        </w:rPr>
      </w:pPr>
    </w:p>
    <w:p w:rsidR="005C0A45" w:rsidRPr="00170A1A" w:rsidRDefault="005C0A45" w:rsidP="000941AA">
      <w:pPr>
        <w:spacing w:line="240" w:lineRule="auto"/>
        <w:ind w:firstLine="708"/>
        <w:jc w:val="both"/>
        <w:rPr>
          <w:noProof/>
          <w:sz w:val="24"/>
          <w:szCs w:val="24"/>
          <w:lang w:val="ka-GE"/>
        </w:rPr>
      </w:pPr>
      <w:r w:rsidRPr="00170A1A">
        <w:rPr>
          <w:noProof/>
          <w:sz w:val="24"/>
          <w:szCs w:val="24"/>
          <w:lang w:val="ka-GE"/>
        </w:rPr>
        <w:t xml:space="preserve">სსიპ „კონკურენციის სააგენტოს“ </w:t>
      </w:r>
      <w:r w:rsidR="00331531" w:rsidRPr="00170A1A">
        <w:rPr>
          <w:noProof/>
          <w:sz w:val="24"/>
          <w:szCs w:val="24"/>
          <w:lang w:val="ka-GE"/>
        </w:rPr>
        <w:t>დომინირებული მდგომარეობის ბოროტად</w:t>
      </w:r>
      <w:r w:rsidR="00331531" w:rsidRPr="00170A1A">
        <w:rPr>
          <w:noProof/>
          <w:sz w:val="24"/>
          <w:szCs w:val="24"/>
          <w:lang w:val="en-US"/>
        </w:rPr>
        <w:t xml:space="preserve"> </w:t>
      </w:r>
      <w:r w:rsidR="00331531" w:rsidRPr="00170A1A">
        <w:rPr>
          <w:noProof/>
          <w:sz w:val="24"/>
          <w:szCs w:val="24"/>
          <w:lang w:val="ka-GE"/>
        </w:rPr>
        <w:t xml:space="preserve">გამოყენების გამოვლენისა და აღკვეთის </w:t>
      </w:r>
      <w:r w:rsidRPr="00170A1A">
        <w:rPr>
          <w:noProof/>
          <w:sz w:val="24"/>
          <w:szCs w:val="24"/>
          <w:lang w:val="ka-GE"/>
        </w:rPr>
        <w:t xml:space="preserve">სამმართველოს  მთავარი სპეციალისტი </w:t>
      </w:r>
    </w:p>
    <w:p w:rsidR="005C0A45" w:rsidRPr="00170A1A" w:rsidRDefault="005C0A45" w:rsidP="000941AA">
      <w:pPr>
        <w:spacing w:line="240" w:lineRule="auto"/>
        <w:ind w:firstLine="708"/>
        <w:jc w:val="both"/>
        <w:rPr>
          <w:noProof/>
          <w:sz w:val="24"/>
          <w:szCs w:val="24"/>
          <w:lang w:val="ka-GE"/>
        </w:rPr>
      </w:pPr>
    </w:p>
    <w:p w:rsidR="005C0A45" w:rsidRPr="00170A1A" w:rsidRDefault="005C0A45" w:rsidP="000941AA">
      <w:pPr>
        <w:spacing w:line="240" w:lineRule="auto"/>
        <w:ind w:firstLine="708"/>
        <w:jc w:val="both"/>
        <w:rPr>
          <w:noProof/>
          <w:sz w:val="24"/>
          <w:szCs w:val="24"/>
          <w:lang w:val="ka-GE"/>
        </w:rPr>
      </w:pPr>
      <w:r w:rsidRPr="00170A1A">
        <w:rPr>
          <w:noProof/>
          <w:sz w:val="24"/>
          <w:szCs w:val="24"/>
          <w:lang w:val="ka-GE"/>
        </w:rPr>
        <w:t>საკონტაქტო ინფორმაცია:</w:t>
      </w:r>
    </w:p>
    <w:p w:rsidR="005C0A45" w:rsidRPr="00170A1A" w:rsidRDefault="005C0A45" w:rsidP="000941AA">
      <w:pPr>
        <w:spacing w:line="240" w:lineRule="auto"/>
        <w:ind w:firstLine="708"/>
        <w:jc w:val="both"/>
        <w:rPr>
          <w:noProof/>
          <w:sz w:val="24"/>
          <w:szCs w:val="24"/>
          <w:lang w:val="ka-GE"/>
        </w:rPr>
      </w:pPr>
      <w:r w:rsidRPr="00170A1A">
        <w:rPr>
          <w:noProof/>
          <w:sz w:val="24"/>
          <w:szCs w:val="24"/>
          <w:lang w:val="ka-GE"/>
        </w:rPr>
        <w:t>მობილური:  5 99 56 35 03</w:t>
      </w:r>
    </w:p>
    <w:p w:rsidR="005C0A45" w:rsidRPr="00170A1A" w:rsidRDefault="005C0A45" w:rsidP="000941AA">
      <w:pPr>
        <w:spacing w:line="240" w:lineRule="auto"/>
        <w:ind w:firstLine="708"/>
        <w:jc w:val="both"/>
        <w:rPr>
          <w:noProof/>
          <w:sz w:val="24"/>
          <w:szCs w:val="24"/>
          <w:lang w:val="ka-GE"/>
        </w:rPr>
      </w:pPr>
      <w:r w:rsidRPr="00170A1A">
        <w:rPr>
          <w:noProof/>
          <w:sz w:val="24"/>
          <w:szCs w:val="24"/>
          <w:lang w:val="ka-GE"/>
        </w:rPr>
        <w:t>ელ-ფოსტა: dbasiashvili@yahoo.com</w:t>
      </w: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E07164" w:rsidRPr="00170A1A" w:rsidRDefault="00E07164"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AA1BA9" w:rsidRPr="00170A1A" w:rsidRDefault="00AA1BA9" w:rsidP="000941AA">
      <w:pPr>
        <w:spacing w:line="240" w:lineRule="auto"/>
        <w:ind w:firstLine="708"/>
        <w:jc w:val="both"/>
        <w:rPr>
          <w:b/>
          <w:noProof/>
          <w:sz w:val="24"/>
          <w:szCs w:val="24"/>
          <w:lang w:val="ka-GE"/>
        </w:rPr>
      </w:pPr>
    </w:p>
    <w:p w:rsidR="005C0A45" w:rsidRPr="00170A1A" w:rsidRDefault="005C0A45" w:rsidP="000941AA">
      <w:pPr>
        <w:spacing w:line="240" w:lineRule="auto"/>
        <w:ind w:firstLine="708"/>
        <w:jc w:val="both"/>
        <w:rPr>
          <w:b/>
          <w:noProof/>
          <w:sz w:val="24"/>
          <w:szCs w:val="24"/>
          <w:lang w:val="ka-GE"/>
        </w:rPr>
      </w:pPr>
    </w:p>
    <w:p w:rsidR="00F07F30" w:rsidRPr="00170A1A" w:rsidRDefault="00F07F30" w:rsidP="00AA1BA9">
      <w:pPr>
        <w:spacing w:line="240" w:lineRule="auto"/>
        <w:ind w:firstLine="708"/>
        <w:jc w:val="center"/>
        <w:rPr>
          <w:b/>
          <w:noProof/>
          <w:sz w:val="24"/>
          <w:szCs w:val="24"/>
          <w:lang w:val="ka-GE"/>
        </w:rPr>
      </w:pPr>
      <w:r w:rsidRPr="00170A1A">
        <w:rPr>
          <w:b/>
          <w:noProof/>
          <w:sz w:val="24"/>
          <w:szCs w:val="24"/>
          <w:lang w:val="ka-GE"/>
        </w:rPr>
        <w:lastRenderedPageBreak/>
        <w:t>ამერიკის შეერთებული შტატების ენერგეტიკული ბაზრის დერეგულაცია</w:t>
      </w:r>
      <w:r w:rsidR="006476D4" w:rsidRPr="00170A1A">
        <w:rPr>
          <w:b/>
          <w:noProof/>
          <w:sz w:val="24"/>
          <w:szCs w:val="24"/>
          <w:lang w:val="ka-GE"/>
        </w:rPr>
        <w:t xml:space="preserve"> და საქართველოს ენერგო ბაზრის პერსპექტივები</w:t>
      </w:r>
    </w:p>
    <w:p w:rsidR="00CF5066" w:rsidRPr="00170A1A" w:rsidRDefault="00CF5066" w:rsidP="006C70B7">
      <w:pPr>
        <w:spacing w:line="240" w:lineRule="auto"/>
        <w:ind w:firstLine="708"/>
        <w:jc w:val="center"/>
        <w:rPr>
          <w:noProof/>
          <w:sz w:val="24"/>
          <w:szCs w:val="24"/>
          <w:lang w:val="ka-GE"/>
        </w:rPr>
      </w:pPr>
      <w:r w:rsidRPr="00170A1A">
        <w:rPr>
          <w:noProof/>
          <w:sz w:val="24"/>
          <w:szCs w:val="24"/>
          <w:lang w:val="ka-GE"/>
        </w:rPr>
        <w:t>ენერგო ბაზარი, რეგულაცია, დერეგულაცია</w:t>
      </w:r>
      <w:r w:rsidR="00A70B0B" w:rsidRPr="00170A1A">
        <w:rPr>
          <w:noProof/>
          <w:sz w:val="24"/>
          <w:szCs w:val="24"/>
          <w:lang w:val="ka-GE"/>
        </w:rPr>
        <w:t>, მომხმარებელთა სარგებელი</w:t>
      </w:r>
    </w:p>
    <w:p w:rsidR="004F60CF" w:rsidRPr="00170A1A" w:rsidRDefault="004F60CF" w:rsidP="000941AA">
      <w:pPr>
        <w:spacing w:line="240" w:lineRule="auto"/>
        <w:ind w:firstLine="708"/>
        <w:jc w:val="both"/>
        <w:rPr>
          <w:sz w:val="24"/>
          <w:szCs w:val="24"/>
          <w:lang w:val="ka-GE"/>
        </w:rPr>
      </w:pPr>
      <w:r w:rsidRPr="00170A1A">
        <w:rPr>
          <w:sz w:val="24"/>
          <w:szCs w:val="24"/>
          <w:lang w:val="ka-GE"/>
        </w:rPr>
        <w:t xml:space="preserve">ელექტროენერგეტიკის, კომუნიკაციის,  გაზის, წყალმომარაგების და სარკინიგზო გადაზიდვების მახასიათებელი ის არის, რომ თავის ინფრასტრუქტურიდან გამომდინარე არის ქსელური ხასიათის და გვევლინებიან მონოპოლისტებად, შესაბამისი ბაზრები წარმოადგენს რეგულაციის სფეროს. მათი საქმიანობა თითქმის ყველა ქვეყანაში რეგულირდება დამოუკიდებელი მარეგულირებელი ორგანოს მიერ. </w:t>
      </w:r>
    </w:p>
    <w:p w:rsidR="004F60CF" w:rsidRPr="00170A1A" w:rsidRDefault="004F60CF" w:rsidP="000941AA">
      <w:pPr>
        <w:spacing w:line="240" w:lineRule="auto"/>
        <w:ind w:firstLine="708"/>
        <w:jc w:val="both"/>
        <w:rPr>
          <w:sz w:val="24"/>
          <w:szCs w:val="24"/>
          <w:lang w:val="ka-GE"/>
        </w:rPr>
      </w:pPr>
      <w:r w:rsidRPr="00170A1A">
        <w:rPr>
          <w:sz w:val="24"/>
          <w:szCs w:val="24"/>
          <w:lang w:val="ka-GE"/>
        </w:rPr>
        <w:t>გასული საუკუნის 80-იანი წლების დასაწყისიდან მაღალგანვითარებულ ქვეყნებში ადგილი აქვს ქსელური ხასიათის ეკონომიკის დარგების  დერეგულირებას და როგორც პრაქტიკა ცხადყოფს ამ დროიდან  ეს დარგები წარმატებით ფუნქციონირებენ კონკურენციულ გარემოში.</w:t>
      </w:r>
    </w:p>
    <w:p w:rsidR="00EB7518" w:rsidRPr="00170A1A" w:rsidRDefault="00D65C71" w:rsidP="000941AA">
      <w:pPr>
        <w:spacing w:line="240" w:lineRule="auto"/>
        <w:ind w:firstLine="708"/>
        <w:jc w:val="both"/>
        <w:rPr>
          <w:noProof/>
          <w:sz w:val="24"/>
          <w:szCs w:val="24"/>
          <w:lang w:val="ka-GE"/>
        </w:rPr>
      </w:pPr>
      <w:r w:rsidRPr="00170A1A">
        <w:rPr>
          <w:noProof/>
          <w:sz w:val="24"/>
          <w:szCs w:val="24"/>
          <w:lang w:val="ka-GE"/>
        </w:rPr>
        <w:t>აშშ ელექტროენერგიის სექტორი  არის ერთი ნათელი მაგალითი, რომელმაც მნიშვნელოვანი დერეგულირება განიცადა</w:t>
      </w:r>
      <w:r w:rsidR="00584E98" w:rsidRPr="00170A1A">
        <w:rPr>
          <w:noProof/>
          <w:sz w:val="24"/>
          <w:szCs w:val="24"/>
          <w:lang w:val="en-US"/>
        </w:rPr>
        <w:t xml:space="preserve"> </w:t>
      </w:r>
    </w:p>
    <w:p w:rsidR="00EB7518" w:rsidRPr="00170A1A" w:rsidRDefault="00D65C71" w:rsidP="000941AA">
      <w:pPr>
        <w:spacing w:line="240" w:lineRule="auto"/>
        <w:ind w:firstLine="708"/>
        <w:jc w:val="both"/>
        <w:rPr>
          <w:noProof/>
          <w:sz w:val="24"/>
          <w:szCs w:val="24"/>
          <w:lang w:val="ka-GE"/>
        </w:rPr>
      </w:pPr>
      <w:r w:rsidRPr="00170A1A">
        <w:rPr>
          <w:noProof/>
          <w:sz w:val="24"/>
          <w:szCs w:val="24"/>
          <w:lang w:val="ka-GE"/>
        </w:rPr>
        <w:t xml:space="preserve">ეს ცვლილებები ელექტროენერგეტიკის სფეროში განაპირობა 1992 წლის ენერგეტიკული პოლიტიკის </w:t>
      </w:r>
      <w:r w:rsidR="00584E98" w:rsidRPr="00170A1A">
        <w:rPr>
          <w:noProof/>
          <w:sz w:val="24"/>
          <w:szCs w:val="24"/>
          <w:lang w:val="ka-GE"/>
        </w:rPr>
        <w:t>აქტ</w:t>
      </w:r>
      <w:r w:rsidRPr="00170A1A">
        <w:rPr>
          <w:noProof/>
          <w:sz w:val="24"/>
          <w:szCs w:val="24"/>
          <w:lang w:val="ka-GE"/>
        </w:rPr>
        <w:t>მა და ძირითადი დერეგულაცია შეეხო: საბითუმო ელექტროენერგიის ბაზრის შექმნას</w:t>
      </w:r>
      <w:r w:rsidRPr="00170A1A">
        <w:rPr>
          <w:sz w:val="24"/>
          <w:szCs w:val="24"/>
        </w:rPr>
        <w:t xml:space="preserve">, </w:t>
      </w:r>
      <w:r w:rsidRPr="00170A1A">
        <w:rPr>
          <w:sz w:val="24"/>
          <w:szCs w:val="24"/>
          <w:lang w:val="ka-GE"/>
        </w:rPr>
        <w:t>ელექტროსადგურებს</w:t>
      </w:r>
      <w:r w:rsidR="0076210F" w:rsidRPr="00170A1A">
        <w:rPr>
          <w:sz w:val="24"/>
          <w:szCs w:val="24"/>
          <w:lang w:val="en-US"/>
        </w:rPr>
        <w:t>,</w:t>
      </w:r>
      <w:r w:rsidRPr="00170A1A">
        <w:rPr>
          <w:sz w:val="24"/>
          <w:szCs w:val="24"/>
          <w:lang w:val="ka-GE"/>
        </w:rPr>
        <w:t xml:space="preserve"> </w:t>
      </w:r>
      <w:r w:rsidR="00E65AAC" w:rsidRPr="00170A1A">
        <w:rPr>
          <w:sz w:val="24"/>
          <w:szCs w:val="24"/>
          <w:lang w:val="ka-GE"/>
        </w:rPr>
        <w:t xml:space="preserve">რომლებიც </w:t>
      </w:r>
      <w:r w:rsidR="0076210F" w:rsidRPr="00170A1A">
        <w:rPr>
          <w:sz w:val="24"/>
          <w:szCs w:val="24"/>
          <w:lang w:val="ka-GE"/>
        </w:rPr>
        <w:t>ვერტიკალურად ინტეგრირებული</w:t>
      </w:r>
      <w:r w:rsidR="0076210F" w:rsidRPr="00170A1A">
        <w:rPr>
          <w:sz w:val="24"/>
          <w:szCs w:val="24"/>
          <w:lang w:val="en-US"/>
        </w:rPr>
        <w:t xml:space="preserve"> </w:t>
      </w:r>
      <w:r w:rsidR="00E65AAC" w:rsidRPr="00170A1A">
        <w:rPr>
          <w:sz w:val="24"/>
          <w:szCs w:val="24"/>
          <w:lang w:val="ka-GE"/>
        </w:rPr>
        <w:t xml:space="preserve"> იყვნენ ელე</w:t>
      </w:r>
      <w:r w:rsidR="006170D0">
        <w:rPr>
          <w:sz w:val="24"/>
          <w:szCs w:val="24"/>
          <w:lang w:val="ka-GE"/>
        </w:rPr>
        <w:t>ქტროე</w:t>
      </w:r>
      <w:r w:rsidR="00E65AAC" w:rsidRPr="00170A1A">
        <w:rPr>
          <w:sz w:val="24"/>
          <w:szCs w:val="24"/>
          <w:lang w:val="ka-GE"/>
        </w:rPr>
        <w:t xml:space="preserve">ნერგიის კომუნალურ სამსახურებთან და </w:t>
      </w:r>
      <w:r w:rsidR="0076210F" w:rsidRPr="00170A1A">
        <w:rPr>
          <w:sz w:val="24"/>
          <w:szCs w:val="24"/>
          <w:lang w:val="ka-GE"/>
        </w:rPr>
        <w:t xml:space="preserve">დისტრიბუტორ </w:t>
      </w:r>
      <w:r w:rsidR="00E65AAC" w:rsidRPr="00170A1A">
        <w:rPr>
          <w:sz w:val="24"/>
          <w:szCs w:val="24"/>
          <w:lang w:val="ka-GE"/>
        </w:rPr>
        <w:t xml:space="preserve"> კომპანიებს. </w:t>
      </w:r>
    </w:p>
    <w:p w:rsidR="00EB7518" w:rsidRPr="00170A1A" w:rsidRDefault="007600D2" w:rsidP="000941AA">
      <w:pPr>
        <w:spacing w:line="240" w:lineRule="auto"/>
        <w:ind w:firstLine="708"/>
        <w:jc w:val="both"/>
        <w:rPr>
          <w:noProof/>
          <w:sz w:val="24"/>
          <w:szCs w:val="24"/>
          <w:lang w:val="ka-GE"/>
        </w:rPr>
      </w:pPr>
      <w:r w:rsidRPr="00170A1A">
        <w:rPr>
          <w:noProof/>
          <w:sz w:val="24"/>
          <w:szCs w:val="24"/>
          <w:lang w:val="ka-GE"/>
        </w:rPr>
        <w:t>ბოლო ორი ათეული წლის პერიოდი აშშ ენერგო დისტრიბუციის ინდუსტრიაში</w:t>
      </w:r>
      <w:r w:rsidR="005E4EC0" w:rsidRPr="00170A1A">
        <w:rPr>
          <w:noProof/>
          <w:sz w:val="24"/>
          <w:szCs w:val="24"/>
          <w:lang w:val="ka-GE"/>
        </w:rPr>
        <w:t xml:space="preserve"> ადგილი </w:t>
      </w:r>
      <w:r w:rsidR="007577AE" w:rsidRPr="00170A1A">
        <w:rPr>
          <w:noProof/>
          <w:sz w:val="24"/>
          <w:szCs w:val="24"/>
          <w:lang w:val="ka-GE"/>
        </w:rPr>
        <w:t>ქონდა</w:t>
      </w:r>
      <w:r w:rsidR="005E4EC0" w:rsidRPr="00170A1A">
        <w:rPr>
          <w:noProof/>
          <w:sz w:val="24"/>
          <w:szCs w:val="24"/>
          <w:lang w:val="ka-GE"/>
        </w:rPr>
        <w:t xml:space="preserve"> მასშტაბურ ცვლილებებს</w:t>
      </w:r>
      <w:r w:rsidR="007577AE" w:rsidRPr="00170A1A">
        <w:rPr>
          <w:noProof/>
          <w:sz w:val="24"/>
          <w:szCs w:val="24"/>
          <w:lang w:val="ka-GE"/>
        </w:rPr>
        <w:t>.</w:t>
      </w:r>
      <w:r w:rsidRPr="00170A1A">
        <w:rPr>
          <w:noProof/>
          <w:sz w:val="24"/>
          <w:szCs w:val="24"/>
          <w:lang w:val="ka-GE"/>
        </w:rPr>
        <w:t xml:space="preserve"> </w:t>
      </w:r>
      <w:r w:rsidR="007577AE" w:rsidRPr="00170A1A">
        <w:rPr>
          <w:noProof/>
          <w:sz w:val="24"/>
          <w:szCs w:val="24"/>
          <w:lang w:val="ka-GE"/>
        </w:rPr>
        <w:t xml:space="preserve">220 მილიარდიანი ინდუსტრია, </w:t>
      </w:r>
      <w:r w:rsidRPr="00170A1A">
        <w:rPr>
          <w:noProof/>
          <w:sz w:val="24"/>
          <w:szCs w:val="24"/>
          <w:lang w:val="ka-GE"/>
        </w:rPr>
        <w:t xml:space="preserve">რომელიც მილიონობით მომხმარებელს და ბიზნესს სექტორს აწვდის დენს  </w:t>
      </w:r>
      <w:r w:rsidR="00143789" w:rsidRPr="00170A1A">
        <w:rPr>
          <w:noProof/>
          <w:sz w:val="24"/>
          <w:szCs w:val="24"/>
          <w:lang w:val="ka-GE"/>
        </w:rPr>
        <w:t>დღ</w:t>
      </w:r>
      <w:r w:rsidR="007577AE" w:rsidRPr="00170A1A">
        <w:rPr>
          <w:noProof/>
          <w:sz w:val="24"/>
          <w:szCs w:val="24"/>
          <w:lang w:val="ka-GE"/>
        </w:rPr>
        <w:t xml:space="preserve">ემდე რჩება </w:t>
      </w:r>
      <w:r w:rsidRPr="00170A1A">
        <w:rPr>
          <w:noProof/>
          <w:sz w:val="24"/>
          <w:szCs w:val="24"/>
          <w:lang w:val="ka-GE"/>
        </w:rPr>
        <w:t xml:space="preserve"> მთავრობს მიერ  </w:t>
      </w:r>
      <w:r w:rsidR="007577AE" w:rsidRPr="00170A1A">
        <w:rPr>
          <w:noProof/>
          <w:sz w:val="24"/>
          <w:szCs w:val="24"/>
          <w:lang w:val="ka-GE"/>
        </w:rPr>
        <w:t xml:space="preserve">ყველაზე </w:t>
      </w:r>
      <w:r w:rsidRPr="00170A1A">
        <w:rPr>
          <w:noProof/>
          <w:sz w:val="24"/>
          <w:szCs w:val="24"/>
          <w:lang w:val="ka-GE"/>
        </w:rPr>
        <w:t xml:space="preserve">დიდ </w:t>
      </w:r>
      <w:r w:rsidR="007577AE" w:rsidRPr="00170A1A">
        <w:rPr>
          <w:noProof/>
          <w:sz w:val="24"/>
          <w:szCs w:val="24"/>
          <w:lang w:val="ka-GE"/>
        </w:rPr>
        <w:t>უკანასკნელ</w:t>
      </w:r>
      <w:r w:rsidRPr="00170A1A">
        <w:rPr>
          <w:noProof/>
          <w:sz w:val="24"/>
          <w:szCs w:val="24"/>
          <w:lang w:val="ka-GE"/>
        </w:rPr>
        <w:t xml:space="preserve"> </w:t>
      </w:r>
      <w:r w:rsidR="007577AE" w:rsidRPr="00170A1A">
        <w:rPr>
          <w:noProof/>
          <w:sz w:val="24"/>
          <w:szCs w:val="24"/>
          <w:lang w:val="ka-GE"/>
        </w:rPr>
        <w:t>ს</w:t>
      </w:r>
      <w:r w:rsidRPr="00170A1A">
        <w:rPr>
          <w:noProof/>
          <w:sz w:val="24"/>
          <w:szCs w:val="24"/>
          <w:lang w:val="ka-GE"/>
        </w:rPr>
        <w:t xml:space="preserve">ანქცირებულ </w:t>
      </w:r>
      <w:r w:rsidR="007577AE" w:rsidRPr="00170A1A">
        <w:rPr>
          <w:noProof/>
          <w:sz w:val="24"/>
          <w:szCs w:val="24"/>
          <w:lang w:val="ka-GE"/>
        </w:rPr>
        <w:t>მონოპოლიად</w:t>
      </w:r>
      <w:r w:rsidRPr="00170A1A">
        <w:rPr>
          <w:noProof/>
          <w:sz w:val="24"/>
          <w:szCs w:val="24"/>
          <w:lang w:val="ka-GE"/>
        </w:rPr>
        <w:t xml:space="preserve">, </w:t>
      </w:r>
      <w:r w:rsidR="003D50A3" w:rsidRPr="00170A1A">
        <w:rPr>
          <w:noProof/>
          <w:sz w:val="24"/>
          <w:szCs w:val="24"/>
          <w:lang w:val="ka-GE"/>
        </w:rPr>
        <w:t>სადაც</w:t>
      </w:r>
      <w:r w:rsidR="007577AE" w:rsidRPr="00170A1A">
        <w:rPr>
          <w:noProof/>
          <w:sz w:val="24"/>
          <w:szCs w:val="24"/>
          <w:lang w:val="ka-GE"/>
        </w:rPr>
        <w:t xml:space="preserve"> </w:t>
      </w:r>
      <w:r w:rsidRPr="00170A1A">
        <w:rPr>
          <w:noProof/>
          <w:sz w:val="24"/>
          <w:szCs w:val="24"/>
          <w:lang w:val="ka-GE"/>
        </w:rPr>
        <w:t xml:space="preserve">ნელა, მაგრამ ნაბიჯ-ნაბიჯ </w:t>
      </w:r>
      <w:r w:rsidR="007577AE" w:rsidRPr="00170A1A">
        <w:rPr>
          <w:noProof/>
          <w:sz w:val="24"/>
          <w:szCs w:val="24"/>
          <w:lang w:val="ka-GE"/>
        </w:rPr>
        <w:t xml:space="preserve">ხორცირელდება </w:t>
      </w:r>
      <w:r w:rsidR="003D50A3" w:rsidRPr="00170A1A">
        <w:rPr>
          <w:noProof/>
          <w:sz w:val="24"/>
          <w:szCs w:val="24"/>
          <w:lang w:val="ka-GE"/>
        </w:rPr>
        <w:t>დერეგულ</w:t>
      </w:r>
      <w:r w:rsidR="007577AE" w:rsidRPr="00170A1A">
        <w:rPr>
          <w:noProof/>
          <w:sz w:val="24"/>
          <w:szCs w:val="24"/>
          <w:lang w:val="ka-GE"/>
        </w:rPr>
        <w:t>აციის</w:t>
      </w:r>
      <w:r w:rsidRPr="00170A1A">
        <w:rPr>
          <w:noProof/>
          <w:sz w:val="24"/>
          <w:szCs w:val="24"/>
          <w:lang w:val="ka-GE"/>
        </w:rPr>
        <w:t xml:space="preserve"> </w:t>
      </w:r>
      <w:r w:rsidR="007577AE" w:rsidRPr="00170A1A">
        <w:rPr>
          <w:noProof/>
          <w:sz w:val="24"/>
          <w:szCs w:val="24"/>
          <w:lang w:val="ka-GE"/>
        </w:rPr>
        <w:t xml:space="preserve">პროცესი </w:t>
      </w:r>
      <w:r w:rsidRPr="00170A1A">
        <w:rPr>
          <w:noProof/>
          <w:sz w:val="24"/>
          <w:szCs w:val="24"/>
          <w:lang w:val="ka-GE"/>
        </w:rPr>
        <w:t>და გზას უხსნის დისტრიბუციის სფეროში კონკურენციას, რაც მომხმარებელს ელექტროენერგიის მიმწოდებლის არჩევის საშუალებას აძლევს.</w:t>
      </w:r>
    </w:p>
    <w:p w:rsidR="00EB7518" w:rsidRPr="00170A1A" w:rsidRDefault="007600D2" w:rsidP="000941AA">
      <w:pPr>
        <w:spacing w:line="240" w:lineRule="auto"/>
        <w:ind w:firstLine="708"/>
        <w:jc w:val="both"/>
        <w:rPr>
          <w:noProof/>
          <w:sz w:val="24"/>
          <w:szCs w:val="24"/>
          <w:lang w:val="ka-GE"/>
        </w:rPr>
      </w:pPr>
      <w:r w:rsidRPr="00170A1A">
        <w:rPr>
          <w:noProof/>
          <w:sz w:val="24"/>
          <w:szCs w:val="24"/>
          <w:lang w:val="ka-GE"/>
        </w:rPr>
        <w:t xml:space="preserve">დერეგულირების დამცველები აცხადებენ, რომ მთავრობის მიერ ინდუსტრიის კონტროლის </w:t>
      </w:r>
      <w:r w:rsidR="0022397A" w:rsidRPr="00170A1A">
        <w:rPr>
          <w:noProof/>
          <w:sz w:val="24"/>
          <w:szCs w:val="24"/>
          <w:lang w:val="ka-GE"/>
        </w:rPr>
        <w:t>შემცირ</w:t>
      </w:r>
      <w:r w:rsidRPr="00170A1A">
        <w:rPr>
          <w:noProof/>
          <w:sz w:val="24"/>
          <w:szCs w:val="24"/>
          <w:lang w:val="ka-GE"/>
        </w:rPr>
        <w:t>ებამ გამოიწვია მომხმარებლებისთვის მომსახურების გაუმჯობესება და ადგილი ქონდა  ფასების შემცირებას</w:t>
      </w:r>
      <w:r w:rsidR="00F330EB" w:rsidRPr="00170A1A">
        <w:rPr>
          <w:noProof/>
          <w:sz w:val="24"/>
          <w:szCs w:val="24"/>
          <w:lang w:val="ka-GE"/>
        </w:rPr>
        <w:t>,</w:t>
      </w:r>
      <w:r w:rsidRPr="00170A1A">
        <w:rPr>
          <w:noProof/>
          <w:sz w:val="24"/>
          <w:szCs w:val="24"/>
          <w:lang w:val="ka-GE"/>
        </w:rPr>
        <w:t xml:space="preserve"> მაგრამ იმ 24 შტატში</w:t>
      </w:r>
      <w:r w:rsidR="00F330EB" w:rsidRPr="00170A1A">
        <w:rPr>
          <w:noProof/>
          <w:sz w:val="24"/>
          <w:szCs w:val="24"/>
          <w:lang w:val="ka-GE"/>
        </w:rPr>
        <w:t xml:space="preserve"> -</w:t>
      </w:r>
      <w:r w:rsidRPr="00170A1A">
        <w:rPr>
          <w:noProof/>
          <w:sz w:val="24"/>
          <w:szCs w:val="24"/>
          <w:lang w:val="ka-GE"/>
        </w:rPr>
        <w:t xml:space="preserve"> სადაც განხორციელდა ელექტროენერგიის დერეგულირება შედეგები სხვასხვაა</w:t>
      </w:r>
      <w:r w:rsidR="00F330EB" w:rsidRPr="00170A1A">
        <w:rPr>
          <w:noProof/>
          <w:sz w:val="24"/>
          <w:szCs w:val="24"/>
          <w:lang w:val="ka-GE"/>
        </w:rPr>
        <w:t>.</w:t>
      </w:r>
      <w:r w:rsidRPr="00170A1A">
        <w:rPr>
          <w:noProof/>
          <w:sz w:val="24"/>
          <w:szCs w:val="24"/>
          <w:lang w:val="ka-GE"/>
        </w:rPr>
        <w:t xml:space="preserve"> ზოგიერთ შტატაში ადგილი ქონდა:  ფასების ზრდას, სიხშირის შემცირებას და გარკვეულ სფეროებში ელექტროენერგიის მიწოდების </w:t>
      </w:r>
      <w:r w:rsidR="007577AE" w:rsidRPr="00170A1A">
        <w:rPr>
          <w:noProof/>
          <w:sz w:val="24"/>
          <w:szCs w:val="24"/>
          <w:lang w:val="ka-GE"/>
        </w:rPr>
        <w:t>შეზრღუ</w:t>
      </w:r>
      <w:r w:rsidRPr="00170A1A">
        <w:rPr>
          <w:noProof/>
          <w:sz w:val="24"/>
          <w:szCs w:val="24"/>
          <w:lang w:val="ka-GE"/>
        </w:rPr>
        <w:t xml:space="preserve">დვას, რამაც დააყენა  საკითხი  დერეგულაციის სიცოცხლის უნარიანობის შესახებ. ამავდროულად, კონგრესს არ შეეძლო </w:t>
      </w:r>
      <w:r w:rsidR="00220C2C" w:rsidRPr="00170A1A">
        <w:rPr>
          <w:noProof/>
          <w:sz w:val="24"/>
          <w:szCs w:val="24"/>
          <w:lang w:val="ka-GE"/>
        </w:rPr>
        <w:t xml:space="preserve">არ </w:t>
      </w:r>
      <w:r w:rsidRPr="00170A1A">
        <w:rPr>
          <w:noProof/>
          <w:sz w:val="24"/>
          <w:szCs w:val="24"/>
          <w:lang w:val="ka-GE"/>
        </w:rPr>
        <w:t xml:space="preserve">დათანხმებულიყო ქვეყნის მასშტაბით ელექტროენერგიის ბაზარზე კონკურენციის </w:t>
      </w:r>
      <w:r w:rsidR="00220C2C" w:rsidRPr="00170A1A">
        <w:rPr>
          <w:noProof/>
          <w:sz w:val="24"/>
          <w:szCs w:val="24"/>
          <w:lang w:val="ka-GE"/>
        </w:rPr>
        <w:t>განხორციელება</w:t>
      </w:r>
      <w:r w:rsidRPr="00170A1A">
        <w:rPr>
          <w:noProof/>
          <w:sz w:val="24"/>
          <w:szCs w:val="24"/>
          <w:lang w:val="ka-GE"/>
        </w:rPr>
        <w:t>ს</w:t>
      </w:r>
      <w:r w:rsidR="00220C2C" w:rsidRPr="00170A1A">
        <w:rPr>
          <w:noProof/>
          <w:sz w:val="24"/>
          <w:szCs w:val="24"/>
          <w:lang w:val="ka-GE"/>
        </w:rPr>
        <w:t>.</w:t>
      </w:r>
      <w:r w:rsidRPr="00170A1A">
        <w:rPr>
          <w:noProof/>
          <w:sz w:val="24"/>
          <w:szCs w:val="24"/>
          <w:lang w:val="ka-GE"/>
        </w:rPr>
        <w:t xml:space="preserve"> </w:t>
      </w:r>
    </w:p>
    <w:p w:rsidR="00EB7518" w:rsidRPr="00170A1A" w:rsidRDefault="00C835D4" w:rsidP="000941AA">
      <w:pPr>
        <w:spacing w:line="240" w:lineRule="auto"/>
        <w:ind w:firstLine="708"/>
        <w:jc w:val="both"/>
        <w:rPr>
          <w:noProof/>
          <w:sz w:val="24"/>
          <w:szCs w:val="24"/>
          <w:lang w:val="ka-GE"/>
        </w:rPr>
      </w:pPr>
      <w:r w:rsidRPr="00170A1A">
        <w:rPr>
          <w:noProof/>
          <w:sz w:val="24"/>
          <w:szCs w:val="24"/>
          <w:lang w:val="ka-GE"/>
        </w:rPr>
        <w:t>მიუხედავად ელექტროენერგიის დერეგულირების მომხრეების მიერ გამოთქმული რეკლამირებისა  - მათ შორის დაბალი ფასები და გაუმჯობესებული  მომსახურებისა დერეგულირების შედეგები სხვადასხვაა.</w:t>
      </w:r>
    </w:p>
    <w:p w:rsidR="00EB7518" w:rsidRPr="00170A1A" w:rsidRDefault="003D50A3" w:rsidP="000941AA">
      <w:pPr>
        <w:spacing w:line="240" w:lineRule="auto"/>
        <w:ind w:firstLine="708"/>
        <w:jc w:val="both"/>
        <w:rPr>
          <w:noProof/>
          <w:sz w:val="24"/>
          <w:szCs w:val="24"/>
          <w:lang w:val="en-US"/>
        </w:rPr>
      </w:pPr>
      <w:r w:rsidRPr="00170A1A">
        <w:rPr>
          <w:noProof/>
          <w:sz w:val="24"/>
          <w:szCs w:val="24"/>
          <w:lang w:val="ka-GE"/>
        </w:rPr>
        <w:t>1999 წლისათვის ტეხასის, ნიუ-ირკის პენსილვანიის და მასაჩუსესის შტატებმა განახორციელეს ნაწილობრივი დეეგულაცია. თვითოეულ მათგანს შემუსავებული ქონდა საკანონმდებლო აქტი</w:t>
      </w:r>
      <w:r w:rsidR="000E3CE8" w:rsidRPr="00170A1A">
        <w:rPr>
          <w:noProof/>
          <w:sz w:val="24"/>
          <w:szCs w:val="24"/>
          <w:lang w:val="ka-GE"/>
        </w:rPr>
        <w:t xml:space="preserve">, რომელიც საშუალებას აძლევდა მომხმარებელს შეეძინათ </w:t>
      </w:r>
      <w:r w:rsidR="000E3CE8" w:rsidRPr="00170A1A">
        <w:rPr>
          <w:noProof/>
          <w:sz w:val="24"/>
          <w:szCs w:val="24"/>
          <w:lang w:val="ka-GE"/>
        </w:rPr>
        <w:lastRenderedPageBreak/>
        <w:t>ელექტროენეგია  სადისტრიბუციო კომპანიებისაგან</w:t>
      </w:r>
      <w:r w:rsidR="000E3CE8" w:rsidRPr="00170A1A">
        <w:rPr>
          <w:noProof/>
          <w:sz w:val="24"/>
          <w:szCs w:val="24"/>
          <w:lang w:val="en-US"/>
        </w:rPr>
        <w:t xml:space="preserve">. </w:t>
      </w:r>
      <w:r w:rsidR="000E3CE8" w:rsidRPr="00170A1A">
        <w:rPr>
          <w:noProof/>
          <w:sz w:val="24"/>
          <w:szCs w:val="24"/>
          <w:lang w:val="ka-GE"/>
        </w:rPr>
        <w:t xml:space="preserve">ბრძანება </w:t>
      </w:r>
      <w:r w:rsidR="000E3CE8" w:rsidRPr="00170A1A">
        <w:rPr>
          <w:noProof/>
          <w:sz w:val="24"/>
          <w:szCs w:val="24"/>
          <w:lang w:val="en-US"/>
        </w:rPr>
        <w:t>2000</w:t>
      </w:r>
      <w:r w:rsidR="000E3CE8" w:rsidRPr="00170A1A">
        <w:rPr>
          <w:noProof/>
          <w:sz w:val="24"/>
          <w:szCs w:val="24"/>
          <w:lang w:val="ka-GE"/>
        </w:rPr>
        <w:t xml:space="preserve">-მა რეგიონული გადამცები ორგანიზაციის სახით ხელიშეუწყო ენერგო დერეგულაციის წარმატებას. ამ </w:t>
      </w:r>
      <w:r w:rsidR="0076210F" w:rsidRPr="00170A1A">
        <w:rPr>
          <w:noProof/>
          <w:sz w:val="24"/>
          <w:szCs w:val="24"/>
          <w:lang w:val="ka-GE"/>
        </w:rPr>
        <w:t xml:space="preserve">ბრძანებამ </w:t>
      </w:r>
      <w:r w:rsidR="000E3CE8" w:rsidRPr="00170A1A">
        <w:rPr>
          <w:noProof/>
          <w:sz w:val="24"/>
          <w:szCs w:val="24"/>
          <w:lang w:val="ka-GE"/>
        </w:rPr>
        <w:t>შეცვალა სახელმწიფო გადამცემი ხაზების ოპერირება და კონტროლი</w:t>
      </w:r>
      <w:r w:rsidR="00EB7518" w:rsidRPr="00170A1A">
        <w:rPr>
          <w:noProof/>
          <w:sz w:val="24"/>
          <w:szCs w:val="24"/>
          <w:lang w:val="en-US"/>
        </w:rPr>
        <w:t>.</w:t>
      </w:r>
    </w:p>
    <w:p w:rsidR="00EB7518" w:rsidRPr="00170A1A" w:rsidRDefault="00C835D4" w:rsidP="000941AA">
      <w:pPr>
        <w:spacing w:line="240" w:lineRule="auto"/>
        <w:ind w:firstLine="708"/>
        <w:jc w:val="both"/>
        <w:rPr>
          <w:noProof/>
          <w:sz w:val="24"/>
          <w:szCs w:val="24"/>
          <w:lang w:val="ka-GE"/>
        </w:rPr>
      </w:pPr>
      <w:r w:rsidRPr="00170A1A">
        <w:rPr>
          <w:noProof/>
          <w:sz w:val="24"/>
          <w:szCs w:val="24"/>
          <w:lang w:val="ka-GE"/>
        </w:rPr>
        <w:t xml:space="preserve">პენსილვანიის დერეგულაციის ექსპერიმენტი, რომელიც 1998 წელს ამოქმედდა, არის </w:t>
      </w:r>
      <w:r w:rsidR="0076210F" w:rsidRPr="00170A1A">
        <w:rPr>
          <w:noProof/>
          <w:sz w:val="24"/>
          <w:szCs w:val="24"/>
          <w:lang w:val="ka-GE"/>
        </w:rPr>
        <w:t xml:space="preserve">წარმატების </w:t>
      </w:r>
      <w:r w:rsidRPr="00170A1A">
        <w:rPr>
          <w:noProof/>
          <w:sz w:val="24"/>
          <w:szCs w:val="24"/>
          <w:lang w:val="ka-GE"/>
        </w:rPr>
        <w:t>მაგალითი. The Washington Post-ის ცნობით დაახლოებით 500,000 მომხმარებელმა, მომხმარებელთა 11 პროცენტზე მეტმა, რომლებმაც 1999 წლის ოქტომბერიდან  აირჩიეს დისტრიბუციის ახალი სქემა  თვეში დაახლოებით 10 დოლარიის ეკონომიას იღებდა</w:t>
      </w:r>
      <w:r w:rsidR="00E07164" w:rsidRPr="00170A1A">
        <w:rPr>
          <w:rStyle w:val="FootnoteReference"/>
          <w:noProof/>
          <w:sz w:val="24"/>
          <w:szCs w:val="24"/>
          <w:lang w:val="ka-GE"/>
        </w:rPr>
        <w:footnoteReference w:id="1"/>
      </w:r>
      <w:r w:rsidRPr="00170A1A">
        <w:rPr>
          <w:noProof/>
          <w:sz w:val="24"/>
          <w:szCs w:val="24"/>
          <w:lang w:val="ka-GE"/>
        </w:rPr>
        <w:t>.</w:t>
      </w:r>
    </w:p>
    <w:p w:rsidR="00C24C76" w:rsidRPr="00170A1A" w:rsidRDefault="00C835D4" w:rsidP="00C24C76">
      <w:pPr>
        <w:spacing w:line="240" w:lineRule="auto"/>
        <w:ind w:firstLine="708"/>
        <w:jc w:val="both"/>
        <w:rPr>
          <w:noProof/>
          <w:sz w:val="24"/>
          <w:szCs w:val="24"/>
          <w:lang w:val="ka-GE"/>
        </w:rPr>
      </w:pPr>
      <w:r w:rsidRPr="00170A1A">
        <w:rPr>
          <w:noProof/>
          <w:sz w:val="24"/>
          <w:szCs w:val="24"/>
          <w:lang w:val="ka-GE"/>
        </w:rPr>
        <w:t xml:space="preserve">გაცილებით განსხვავებულია </w:t>
      </w:r>
      <w:r w:rsidR="007577AE" w:rsidRPr="00170A1A">
        <w:rPr>
          <w:noProof/>
          <w:sz w:val="24"/>
          <w:szCs w:val="24"/>
          <w:lang w:val="ka-GE"/>
        </w:rPr>
        <w:t>სიუჟეტს ქონდა ადგილი</w:t>
      </w:r>
      <w:r w:rsidRPr="00170A1A">
        <w:rPr>
          <w:noProof/>
          <w:sz w:val="24"/>
          <w:szCs w:val="24"/>
          <w:lang w:val="ka-GE"/>
        </w:rPr>
        <w:t xml:space="preserve"> კალიფორნიაში, რომელიც 1996 წელს გახდა ერთ-ერთი პირველი შტატი ელექტროენერგიის რესტრუქტურიზაციის გეგმაში. გეგმის ამოქმედებამდე დერეგულირებისთვის საჯარო </w:t>
      </w:r>
      <w:r w:rsidR="007577AE" w:rsidRPr="00170A1A">
        <w:rPr>
          <w:noProof/>
          <w:sz w:val="24"/>
          <w:szCs w:val="24"/>
          <w:lang w:val="ka-GE"/>
        </w:rPr>
        <w:t>მხარდაჭერი</w:t>
      </w:r>
      <w:r w:rsidRPr="00170A1A">
        <w:rPr>
          <w:noProof/>
          <w:sz w:val="24"/>
          <w:szCs w:val="24"/>
          <w:lang w:val="ka-GE"/>
        </w:rPr>
        <w:t xml:space="preserve">ს ცოტა ხნის შემდეგ, დაიწყო ფასების ზრდა. დერეგულაციის ამოქმედებიდან ორი წლის შემდეგ კალიფორნიის მომხმარებელთა ჯგუფებმა წარმატებას მიაღწიეს </w:t>
      </w:r>
      <w:r w:rsidR="0076210F" w:rsidRPr="00170A1A">
        <w:rPr>
          <w:noProof/>
          <w:sz w:val="24"/>
          <w:szCs w:val="24"/>
          <w:lang w:val="ka-GE"/>
        </w:rPr>
        <w:t xml:space="preserve">სახელმწიფო დერეგულირების გეგმის </w:t>
      </w:r>
      <w:r w:rsidR="00D643FC">
        <w:rPr>
          <w:noProof/>
          <w:sz w:val="24"/>
          <w:szCs w:val="24"/>
          <w:lang w:val="ka-GE"/>
        </w:rPr>
        <w:t>შეჩერები</w:t>
      </w:r>
      <w:r w:rsidR="0076210F" w:rsidRPr="00170A1A">
        <w:rPr>
          <w:noProof/>
          <w:sz w:val="24"/>
          <w:szCs w:val="24"/>
          <w:lang w:val="ka-GE"/>
        </w:rPr>
        <w:t xml:space="preserve">ს </w:t>
      </w:r>
      <w:r w:rsidRPr="00170A1A">
        <w:rPr>
          <w:noProof/>
          <w:sz w:val="24"/>
          <w:szCs w:val="24"/>
          <w:lang w:val="ka-GE"/>
        </w:rPr>
        <w:t xml:space="preserve">ინიციატივაზე, მაგარამ ეს ინიციატივა ვერ </w:t>
      </w:r>
      <w:r w:rsidR="00292DFB">
        <w:rPr>
          <w:noProof/>
          <w:sz w:val="24"/>
          <w:szCs w:val="24"/>
          <w:lang w:val="ka-GE"/>
        </w:rPr>
        <w:t>განხორციელ</w:t>
      </w:r>
      <w:r w:rsidRPr="00170A1A">
        <w:rPr>
          <w:noProof/>
          <w:sz w:val="24"/>
          <w:szCs w:val="24"/>
          <w:lang w:val="ka-GE"/>
        </w:rPr>
        <w:t xml:space="preserve">და. 2000 წლის ზაფხულში დერეგულაციის კრიტიკა გააქტიურდა, როდესაც შეზღუდული ენერგომომარაგებამ და მზარდმა მოთხოვნილებამ გამოიწვია შტატის მაშსტაბით მთლიანი </w:t>
      </w:r>
      <w:r w:rsidR="007577AE" w:rsidRPr="00170A1A">
        <w:rPr>
          <w:noProof/>
          <w:sz w:val="24"/>
          <w:szCs w:val="24"/>
          <w:lang w:val="ka-GE"/>
        </w:rPr>
        <w:t xml:space="preserve">ელექტროენერგიის </w:t>
      </w:r>
      <w:r w:rsidRPr="00170A1A">
        <w:rPr>
          <w:noProof/>
          <w:sz w:val="24"/>
          <w:szCs w:val="24"/>
          <w:lang w:val="ka-GE"/>
        </w:rPr>
        <w:t>საბაზრო ფასის ზრდა</w:t>
      </w:r>
      <w:r w:rsidR="007577AE" w:rsidRPr="00170A1A">
        <w:rPr>
          <w:noProof/>
          <w:sz w:val="24"/>
          <w:szCs w:val="24"/>
          <w:lang w:val="ka-GE"/>
        </w:rPr>
        <w:t>.</w:t>
      </w:r>
      <w:r w:rsidRPr="00170A1A">
        <w:rPr>
          <w:noProof/>
          <w:sz w:val="24"/>
          <w:szCs w:val="24"/>
          <w:lang w:val="ka-GE"/>
        </w:rPr>
        <w:t xml:space="preserve"> სან</w:t>
      </w:r>
      <w:r w:rsidR="007577AE" w:rsidRPr="00170A1A">
        <w:rPr>
          <w:noProof/>
          <w:sz w:val="24"/>
          <w:szCs w:val="24"/>
          <w:lang w:val="ka-GE"/>
        </w:rPr>
        <w:t>-</w:t>
      </w:r>
      <w:r w:rsidRPr="00170A1A">
        <w:rPr>
          <w:noProof/>
          <w:sz w:val="24"/>
          <w:szCs w:val="24"/>
          <w:lang w:val="ka-GE"/>
        </w:rPr>
        <w:t xml:space="preserve">დიეგოში, სადაც ელექტროენერგიის საცალო ფასი არის პირდაპირ კავშირში საბითუმო ბაზრის ფასზე, ელექტრული გადასახადი გაორმაგდა. </w:t>
      </w:r>
      <w:r w:rsidR="00220C2C" w:rsidRPr="00170A1A">
        <w:rPr>
          <w:noProof/>
          <w:sz w:val="24"/>
          <w:szCs w:val="24"/>
          <w:lang w:val="ka-GE"/>
        </w:rPr>
        <w:t>2000-20</w:t>
      </w:r>
      <w:r w:rsidR="007577AE" w:rsidRPr="00170A1A">
        <w:rPr>
          <w:noProof/>
          <w:sz w:val="24"/>
          <w:szCs w:val="24"/>
          <w:lang w:val="ka-GE"/>
        </w:rPr>
        <w:t xml:space="preserve">01 წლის ზამთარში </w:t>
      </w:r>
      <w:r w:rsidRPr="00170A1A">
        <w:rPr>
          <w:noProof/>
          <w:sz w:val="24"/>
          <w:szCs w:val="24"/>
          <w:lang w:val="ka-GE"/>
        </w:rPr>
        <w:t>პრობლემა საგრძნობლად გაიზარდა, ვინაიდან შტატის ელექტრომომარაგება ფინანსური კრიზისის წინაშე აღმოჩნდა და ადგილი ქონდა  ელექტროენერგიის დეფიციტს და  ფასების მკვეთრ  ზრდას</w:t>
      </w:r>
      <w:r w:rsidR="00220C2C" w:rsidRPr="00170A1A">
        <w:rPr>
          <w:noProof/>
          <w:sz w:val="24"/>
          <w:szCs w:val="24"/>
          <w:lang w:val="ka-GE"/>
        </w:rPr>
        <w:t>.</w:t>
      </w:r>
    </w:p>
    <w:p w:rsidR="00C24C76" w:rsidRPr="00170A1A" w:rsidRDefault="00C24C76" w:rsidP="0060553C">
      <w:pPr>
        <w:spacing w:line="240" w:lineRule="auto"/>
        <w:rPr>
          <w:i/>
          <w:noProof/>
          <w:sz w:val="24"/>
          <w:szCs w:val="24"/>
          <w:lang w:val="ka-GE"/>
        </w:rPr>
      </w:pPr>
      <w:r w:rsidRPr="00170A1A">
        <w:rPr>
          <w:i/>
          <w:noProof/>
          <w:sz w:val="24"/>
          <w:szCs w:val="24"/>
          <w:lang w:val="ka-GE"/>
        </w:rPr>
        <w:t>ელენრგიის</w:t>
      </w:r>
      <w:r w:rsidR="0060553C" w:rsidRPr="00170A1A">
        <w:rPr>
          <w:i/>
          <w:noProof/>
          <w:sz w:val="24"/>
          <w:szCs w:val="24"/>
          <w:lang w:val="ka-GE"/>
        </w:rPr>
        <w:t xml:space="preserve"> პროფილური მხასიათებლები შტატების მიხედვით</w:t>
      </w:r>
      <w:r w:rsidR="0060553C" w:rsidRPr="00170A1A">
        <w:rPr>
          <w:rStyle w:val="FootnoteReference"/>
          <w:i/>
          <w:noProof/>
          <w:sz w:val="24"/>
          <w:szCs w:val="24"/>
          <w:lang w:val="ka-GE"/>
        </w:rPr>
        <w:footnoteReference w:id="2"/>
      </w:r>
    </w:p>
    <w:tbl>
      <w:tblPr>
        <w:tblW w:w="9776" w:type="dxa"/>
        <w:tblLook w:val="04A0" w:firstRow="1" w:lastRow="0" w:firstColumn="1" w:lastColumn="0" w:noHBand="0" w:noVBand="1"/>
      </w:tblPr>
      <w:tblGrid>
        <w:gridCol w:w="2148"/>
        <w:gridCol w:w="1816"/>
        <w:gridCol w:w="1843"/>
        <w:gridCol w:w="1985"/>
        <w:gridCol w:w="1984"/>
      </w:tblGrid>
      <w:tr w:rsidR="00C24C76" w:rsidRPr="00170A1A" w:rsidTr="00C24C76">
        <w:trPr>
          <w:trHeight w:val="1500"/>
        </w:trPr>
        <w:tc>
          <w:tcPr>
            <w:tcW w:w="2148" w:type="dxa"/>
            <w:tcBorders>
              <w:top w:val="single" w:sz="4" w:space="0" w:color="auto"/>
              <w:left w:val="single" w:sz="4" w:space="0" w:color="auto"/>
              <w:bottom w:val="single" w:sz="4" w:space="0" w:color="auto"/>
              <w:right w:val="single" w:sz="4" w:space="0" w:color="auto"/>
            </w:tcBorders>
            <w:shd w:val="clear" w:color="auto" w:fill="auto"/>
            <w:noWrap/>
            <w:hideMark/>
          </w:tcPr>
          <w:p w:rsidR="00C24C76" w:rsidRPr="00170A1A" w:rsidRDefault="00C24C76" w:rsidP="00C24C76">
            <w:pPr>
              <w:spacing w:after="0" w:line="240" w:lineRule="auto"/>
              <w:jc w:val="center"/>
              <w:rPr>
                <w:rFonts w:ascii="Sylfaen" w:eastAsia="Times New Roman" w:hAnsi="Sylfaen" w:cs="Times New Roman"/>
                <w:i/>
                <w:color w:val="000000"/>
                <w:sz w:val="24"/>
                <w:szCs w:val="24"/>
                <w:lang w:val="ka-GE" w:eastAsia="ka-GE"/>
              </w:rPr>
            </w:pPr>
            <w:r w:rsidRPr="00170A1A">
              <w:rPr>
                <w:rFonts w:ascii="Sylfaen" w:eastAsia="Times New Roman" w:hAnsi="Sylfaen" w:cs="Times New Roman"/>
                <w:i/>
                <w:color w:val="000000"/>
                <w:sz w:val="24"/>
                <w:szCs w:val="24"/>
                <w:lang w:val="ka-GE" w:eastAsia="ka-GE"/>
              </w:rPr>
              <w:t xml:space="preserve">შტატი </w:t>
            </w:r>
          </w:p>
        </w:tc>
        <w:tc>
          <w:tcPr>
            <w:tcW w:w="1816" w:type="dxa"/>
            <w:tcBorders>
              <w:top w:val="single" w:sz="4" w:space="0" w:color="auto"/>
              <w:left w:val="nil"/>
              <w:bottom w:val="single" w:sz="4" w:space="0" w:color="auto"/>
              <w:right w:val="nil"/>
            </w:tcBorders>
            <w:shd w:val="clear" w:color="auto" w:fill="auto"/>
            <w:hideMark/>
          </w:tcPr>
          <w:p w:rsidR="00C24C76" w:rsidRPr="00170A1A" w:rsidRDefault="00C24C76" w:rsidP="00C24C76">
            <w:pPr>
              <w:spacing w:after="0" w:line="240" w:lineRule="auto"/>
              <w:jc w:val="center"/>
              <w:rPr>
                <w:rFonts w:ascii="Sylfaen" w:eastAsia="Times New Roman" w:hAnsi="Sylfaen" w:cs="Times New Roman"/>
                <w:i/>
                <w:color w:val="000000"/>
                <w:sz w:val="24"/>
                <w:szCs w:val="24"/>
                <w:lang w:val="ka-GE" w:eastAsia="ka-GE"/>
              </w:rPr>
            </w:pPr>
            <w:r w:rsidRPr="00170A1A">
              <w:rPr>
                <w:rFonts w:ascii="Sylfaen" w:eastAsia="Times New Roman" w:hAnsi="Sylfaen" w:cs="Times New Roman"/>
                <w:i/>
                <w:color w:val="000000"/>
                <w:sz w:val="24"/>
                <w:szCs w:val="24"/>
                <w:lang w:val="ka-GE" w:eastAsia="ka-GE"/>
              </w:rPr>
              <w:t xml:space="preserve"> საცალო საშუალო ფასი (ცენტი/კვ/სთ)</w:t>
            </w:r>
          </w:p>
        </w:tc>
        <w:tc>
          <w:tcPr>
            <w:tcW w:w="1843" w:type="dxa"/>
            <w:tcBorders>
              <w:top w:val="single" w:sz="4" w:space="0" w:color="auto"/>
              <w:left w:val="single" w:sz="4" w:space="0" w:color="auto"/>
              <w:bottom w:val="single" w:sz="4" w:space="0" w:color="auto"/>
              <w:right w:val="single" w:sz="4" w:space="0" w:color="auto"/>
            </w:tcBorders>
            <w:shd w:val="clear" w:color="auto" w:fill="auto"/>
            <w:hideMark/>
          </w:tcPr>
          <w:p w:rsidR="00C24C76" w:rsidRPr="00170A1A" w:rsidRDefault="00C24C76" w:rsidP="00C24C76">
            <w:pPr>
              <w:spacing w:after="0" w:line="240" w:lineRule="auto"/>
              <w:jc w:val="center"/>
              <w:rPr>
                <w:rFonts w:ascii="Sylfaen" w:eastAsia="Times New Roman" w:hAnsi="Sylfaen" w:cs="Times New Roman"/>
                <w:i/>
                <w:color w:val="000000"/>
                <w:sz w:val="24"/>
                <w:szCs w:val="24"/>
                <w:lang w:val="ka-GE" w:eastAsia="ka-GE"/>
              </w:rPr>
            </w:pPr>
            <w:r w:rsidRPr="00170A1A">
              <w:rPr>
                <w:rFonts w:ascii="Sylfaen" w:eastAsia="Times New Roman" w:hAnsi="Sylfaen" w:cs="Times New Roman"/>
                <w:i/>
                <w:color w:val="000000"/>
                <w:sz w:val="24"/>
                <w:szCs w:val="24"/>
                <w:lang w:val="ka-GE" w:eastAsia="ka-GE"/>
              </w:rPr>
              <w:t>სუფთა ჯამური სიმძლავრე (მეგავატი)</w:t>
            </w:r>
          </w:p>
        </w:tc>
        <w:tc>
          <w:tcPr>
            <w:tcW w:w="1985" w:type="dxa"/>
            <w:tcBorders>
              <w:top w:val="single" w:sz="4" w:space="0" w:color="auto"/>
              <w:left w:val="nil"/>
              <w:bottom w:val="single" w:sz="4" w:space="0" w:color="auto"/>
              <w:right w:val="nil"/>
            </w:tcBorders>
            <w:shd w:val="clear" w:color="auto" w:fill="auto"/>
            <w:hideMark/>
          </w:tcPr>
          <w:p w:rsidR="00C24C76" w:rsidRPr="00170A1A" w:rsidRDefault="00C24C76" w:rsidP="00C24C76">
            <w:pPr>
              <w:spacing w:after="0" w:line="240" w:lineRule="auto"/>
              <w:jc w:val="center"/>
              <w:rPr>
                <w:rFonts w:ascii="Sylfaen" w:eastAsia="Times New Roman" w:hAnsi="Sylfaen" w:cs="Times New Roman"/>
                <w:i/>
                <w:color w:val="000000"/>
                <w:sz w:val="24"/>
                <w:szCs w:val="24"/>
                <w:lang w:val="ka-GE" w:eastAsia="ka-GE"/>
              </w:rPr>
            </w:pPr>
            <w:r w:rsidRPr="00170A1A">
              <w:rPr>
                <w:rFonts w:ascii="Sylfaen" w:eastAsia="Times New Roman" w:hAnsi="Sylfaen" w:cs="Times New Roman"/>
                <w:i/>
                <w:color w:val="000000"/>
                <w:sz w:val="24"/>
                <w:szCs w:val="24"/>
                <w:lang w:val="ka-GE" w:eastAsia="ka-GE"/>
              </w:rPr>
              <w:t>სუთა წარმოება (მეგავატი)</w:t>
            </w:r>
          </w:p>
        </w:tc>
        <w:tc>
          <w:tcPr>
            <w:tcW w:w="1984" w:type="dxa"/>
            <w:tcBorders>
              <w:top w:val="single" w:sz="4" w:space="0" w:color="auto"/>
              <w:left w:val="single" w:sz="4" w:space="0" w:color="auto"/>
              <w:bottom w:val="single" w:sz="4" w:space="0" w:color="auto"/>
              <w:right w:val="single" w:sz="4" w:space="0" w:color="auto"/>
            </w:tcBorders>
            <w:shd w:val="clear" w:color="auto" w:fill="auto"/>
            <w:hideMark/>
          </w:tcPr>
          <w:p w:rsidR="00C24C76" w:rsidRPr="00170A1A" w:rsidRDefault="00C24C76" w:rsidP="00C24C76">
            <w:pPr>
              <w:spacing w:after="0" w:line="240" w:lineRule="auto"/>
              <w:jc w:val="center"/>
              <w:rPr>
                <w:rFonts w:ascii="Sylfaen" w:eastAsia="Times New Roman" w:hAnsi="Sylfaen" w:cs="Times New Roman"/>
                <w:i/>
                <w:color w:val="000000"/>
                <w:sz w:val="24"/>
                <w:szCs w:val="24"/>
                <w:lang w:val="ka-GE" w:eastAsia="ka-GE"/>
              </w:rPr>
            </w:pPr>
            <w:r w:rsidRPr="00170A1A">
              <w:rPr>
                <w:rFonts w:ascii="Sylfaen" w:eastAsia="Times New Roman" w:hAnsi="Sylfaen" w:cs="Times New Roman"/>
                <w:i/>
                <w:color w:val="000000"/>
                <w:sz w:val="24"/>
                <w:szCs w:val="24"/>
                <w:lang w:val="ka-GE" w:eastAsia="ka-GE"/>
              </w:rPr>
              <w:t>მთლიანი საცალო გაყიდვები (მვ/სთ)</w:t>
            </w:r>
          </w:p>
        </w:tc>
      </w:tr>
      <w:tr w:rsidR="00C24C76" w:rsidRPr="00170A1A" w:rsidTr="00C24C76">
        <w:trPr>
          <w:trHeight w:val="300"/>
        </w:trPr>
        <w:tc>
          <w:tcPr>
            <w:tcW w:w="2148"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ალაბამა</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9.56</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29,077</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142,385,098</w:t>
            </w:r>
          </w:p>
        </w:tc>
        <w:tc>
          <w:tcPr>
            <w:tcW w:w="1984" w:type="dxa"/>
            <w:tcBorders>
              <w:top w:val="single" w:sz="4" w:space="0" w:color="auto"/>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88,225,141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ალასკა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17.93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2,742</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6,335,034</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6,123,202</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არიზონა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10.33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28,476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108,763,449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78,237,828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არკანზასი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8.13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14,711</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60,445,059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46,188,438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კალიფორნია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15.23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76,537</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196,963,215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256,846,635</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 xml:space="preserve">კოლორადო </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9.83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16,078</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54,418,480</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54,802,037</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კონეკტიკუტი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17.24</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8,810</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36,496,560</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28,931,087</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დელვერი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11.09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3,409</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8,731,261</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11,258,438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კოლუმბიის ოლქი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11.73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21</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76,474</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11,394,003</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ფლორიდა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9.91</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58,432</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238,262,150</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235,721,822</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გეორგია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9.59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37,078</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133,380,416</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138,112,239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lastRenderedPageBreak/>
              <w:t>ჰავაი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23.87</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2,645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9,948,845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9,445,389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აიდაჰო</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8.08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5,056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15,660,938</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23,062,961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ილინოისი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9.38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44,843</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187,441,635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141,050,409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ინდიანა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9.22</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25,325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101,759,059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103,704,821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აიოვა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8.55</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17,046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54,392,507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48,431,193</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კანზასი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10.49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15,357</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47,599,991</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40,810,174</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კენტუკი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8.42</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20,155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80,273,501</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74,553,575</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ლუიზიანა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7.46</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24,203</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107,268,804</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91,452,659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მაიანე</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12.8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4,916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11,514,427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11,448,951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მერილენდი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12.21</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12,338</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37,166,687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61,353,911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მასაჩუსეტსი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16.48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13,332</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31,955,022</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53,475,888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მიჩიგანი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11.05</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29,083</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112,121,790</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104,467,813</w:t>
            </w:r>
          </w:p>
        </w:tc>
      </w:tr>
      <w:tr w:rsidR="00C24C76" w:rsidRPr="00170A1A" w:rsidTr="00C24C76">
        <w:trPr>
          <w:trHeight w:val="300"/>
        </w:trPr>
        <w:tc>
          <w:tcPr>
            <w:tcW w:w="21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მინოსტა</w:t>
            </w:r>
          </w:p>
        </w:tc>
        <w:tc>
          <w:tcPr>
            <w:tcW w:w="1816"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9.99</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16,012</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59,478,753</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66,546,492</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მისისიპი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8.67</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15,958</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62,881,295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49,050,164</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მისური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9.74</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21,669</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78,611,513</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78,618,056</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მონტანა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8.84</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6,214</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27,783,529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14,100,601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ნებრესკა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9.05</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8,515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36,524,869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30,199,354</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ნევად</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8.39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11,805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39,787,005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36,144,630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ახალი ჰემშაიერი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15.66</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4,446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19,282,493</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10,904,956</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ნიუ ჯერსი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13.38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18,908</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77,611,403</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75,359,371</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ნიუ მექსიკო</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9.12</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8,505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32,912,045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23,039,547</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ნიუ ორკი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14.47</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40,124</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134,417,107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147,803,038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ჩრ კაროლინა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9.2</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32,290</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130,779,157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134,404,319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ჩრ დაკოტა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8.94</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7,970</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37,856,452</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18,520,188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ოჰაიო</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9.84</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28,825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118,922,078</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150,597,796</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ოკლაჰომა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7.83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26,016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78,655,007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61,516,554</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ორეგონი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8.83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16,334</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60,182,013</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47,349,350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პენსილვანია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10.19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44,057</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215,066,509</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145,327,683</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რჰოდა აილენდი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16.28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1,906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6,564,885</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7,524,270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სამხრეთ კაროლინა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9.79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22,676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96,985,764</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79,577,550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სამხრეტ დაკოტა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9.83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4,376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11,524,184</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12,129,530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ტენესი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9.23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21,355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79,340,633</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100,758,439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ტექსასი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8.43</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118,722</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454,047,591</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398,661,809</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იუტა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8.72</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8,976</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38,133,928</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30,179,534</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ვერმონტი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14.46</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691</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1,911,207</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5,516,450</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ვირჯინია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9.09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26,622</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92,554,876</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112,280,665</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22397A"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ვაშ</w:t>
            </w:r>
            <w:r w:rsidR="00C24C76" w:rsidRPr="00170A1A">
              <w:rPr>
                <w:rFonts w:ascii="Sylfaen" w:eastAsia="Times New Roman" w:hAnsi="Sylfaen" w:cs="Times New Roman"/>
                <w:color w:val="000000"/>
                <w:sz w:val="24"/>
                <w:szCs w:val="24"/>
                <w:lang w:val="ka-GE" w:eastAsia="ka-GE"/>
              </w:rPr>
              <w:t>ინგტონი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7.68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30,997</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114,086,582</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88,885,316</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დასავლეთ ვირჯინია</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8.98</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15,265</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75,942,968</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32,076,146</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ვიკონსინი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10.67</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16,840</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64,966,611</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69,736,338</w:t>
            </w:r>
          </w:p>
        </w:tc>
      </w:tr>
      <w:tr w:rsidR="00C24C76" w:rsidRPr="00170A1A" w:rsidTr="00C24C76">
        <w:trPr>
          <w:trHeight w:val="300"/>
        </w:trPr>
        <w:tc>
          <w:tcPr>
            <w:tcW w:w="2148" w:type="dxa"/>
            <w:tcBorders>
              <w:top w:val="nil"/>
              <w:left w:val="single" w:sz="8" w:space="0" w:color="auto"/>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ვოუმინგ</w:t>
            </w:r>
            <w:r w:rsidR="0022397A" w:rsidRPr="00170A1A">
              <w:rPr>
                <w:rFonts w:ascii="Sylfaen" w:eastAsia="Times New Roman" w:hAnsi="Sylfaen" w:cs="Times New Roman"/>
                <w:color w:val="000000"/>
                <w:sz w:val="24"/>
                <w:szCs w:val="24"/>
                <w:lang w:val="ka-GE" w:eastAsia="ka-GE"/>
              </w:rPr>
              <w:t>ი</w:t>
            </w:r>
          </w:p>
        </w:tc>
        <w:tc>
          <w:tcPr>
            <w:tcW w:w="1816"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8.19</w:t>
            </w:r>
          </w:p>
        </w:tc>
        <w:tc>
          <w:tcPr>
            <w:tcW w:w="1843"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8,594</w:t>
            </w:r>
          </w:p>
        </w:tc>
        <w:tc>
          <w:tcPr>
            <w:tcW w:w="1985" w:type="dxa"/>
            <w:tcBorders>
              <w:top w:val="nil"/>
              <w:left w:val="nil"/>
              <w:bottom w:val="single" w:sz="4"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46,656,630</w:t>
            </w:r>
          </w:p>
        </w:tc>
        <w:tc>
          <w:tcPr>
            <w:tcW w:w="1984" w:type="dxa"/>
            <w:tcBorders>
              <w:top w:val="nil"/>
              <w:left w:val="nil"/>
              <w:bottom w:val="single" w:sz="4"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16,554,870</w:t>
            </w:r>
          </w:p>
        </w:tc>
      </w:tr>
      <w:tr w:rsidR="00C24C76" w:rsidRPr="00170A1A" w:rsidTr="00C24C76">
        <w:trPr>
          <w:trHeight w:val="315"/>
        </w:trPr>
        <w:tc>
          <w:tcPr>
            <w:tcW w:w="2148" w:type="dxa"/>
            <w:tcBorders>
              <w:top w:val="nil"/>
              <w:left w:val="single" w:sz="8" w:space="0" w:color="auto"/>
              <w:bottom w:val="single" w:sz="8" w:space="0" w:color="auto"/>
              <w:right w:val="single" w:sz="4" w:space="0" w:color="auto"/>
            </w:tcBorders>
            <w:shd w:val="clear" w:color="auto" w:fill="auto"/>
            <w:noWrap/>
            <w:vAlign w:val="bottom"/>
            <w:hideMark/>
          </w:tcPr>
          <w:p w:rsidR="00C24C76" w:rsidRPr="00170A1A" w:rsidRDefault="00C24C76" w:rsidP="00C24C76">
            <w:pPr>
              <w:spacing w:after="0" w:line="240" w:lineRule="auto"/>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 xml:space="preserve">სულ აშშ </w:t>
            </w:r>
          </w:p>
        </w:tc>
        <w:tc>
          <w:tcPr>
            <w:tcW w:w="1816" w:type="dxa"/>
            <w:tcBorders>
              <w:top w:val="nil"/>
              <w:left w:val="nil"/>
              <w:bottom w:val="single" w:sz="8"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10.27</w:t>
            </w:r>
          </w:p>
        </w:tc>
        <w:tc>
          <w:tcPr>
            <w:tcW w:w="1843" w:type="dxa"/>
            <w:tcBorders>
              <w:top w:val="nil"/>
              <w:left w:val="nil"/>
              <w:bottom w:val="single" w:sz="8"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1,074,333</w:t>
            </w:r>
          </w:p>
        </w:tc>
        <w:tc>
          <w:tcPr>
            <w:tcW w:w="1985" w:type="dxa"/>
            <w:tcBorders>
              <w:top w:val="nil"/>
              <w:left w:val="nil"/>
              <w:bottom w:val="single" w:sz="8" w:space="0" w:color="auto"/>
              <w:right w:val="single" w:sz="4"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4,076,827,488</w:t>
            </w:r>
          </w:p>
        </w:tc>
        <w:tc>
          <w:tcPr>
            <w:tcW w:w="1984" w:type="dxa"/>
            <w:tcBorders>
              <w:top w:val="nil"/>
              <w:left w:val="nil"/>
              <w:bottom w:val="single" w:sz="8" w:space="0" w:color="auto"/>
              <w:right w:val="single" w:sz="8" w:space="0" w:color="auto"/>
            </w:tcBorders>
            <w:shd w:val="clear" w:color="auto" w:fill="auto"/>
            <w:noWrap/>
            <w:vAlign w:val="bottom"/>
            <w:hideMark/>
          </w:tcPr>
          <w:p w:rsidR="00C24C76" w:rsidRPr="00170A1A" w:rsidRDefault="00C24C76" w:rsidP="00C24C76">
            <w:pPr>
              <w:spacing w:after="0" w:line="240" w:lineRule="auto"/>
              <w:jc w:val="right"/>
              <w:rPr>
                <w:rFonts w:ascii="Sylfaen" w:eastAsia="Times New Roman" w:hAnsi="Sylfaen" w:cs="Times New Roman"/>
                <w:color w:val="000000"/>
                <w:sz w:val="24"/>
                <w:szCs w:val="24"/>
                <w:lang w:val="ka-GE" w:eastAsia="ka-GE"/>
              </w:rPr>
            </w:pPr>
            <w:r w:rsidRPr="00170A1A">
              <w:rPr>
                <w:rFonts w:ascii="Sylfaen" w:eastAsia="Times New Roman" w:hAnsi="Sylfaen" w:cs="Times New Roman"/>
                <w:color w:val="000000"/>
                <w:sz w:val="24"/>
                <w:szCs w:val="24"/>
                <w:lang w:val="ka-GE" w:eastAsia="ka-GE"/>
              </w:rPr>
              <w:t>3,762,461,630</w:t>
            </w:r>
          </w:p>
        </w:tc>
      </w:tr>
    </w:tbl>
    <w:p w:rsidR="00C24C76" w:rsidRPr="00170A1A" w:rsidRDefault="00C24C76" w:rsidP="000941AA">
      <w:pPr>
        <w:spacing w:line="240" w:lineRule="auto"/>
        <w:ind w:firstLine="708"/>
        <w:jc w:val="both"/>
        <w:rPr>
          <w:noProof/>
          <w:sz w:val="24"/>
          <w:szCs w:val="24"/>
          <w:lang w:val="ka-GE"/>
        </w:rPr>
      </w:pPr>
    </w:p>
    <w:p w:rsidR="00EB7518" w:rsidRPr="00170A1A" w:rsidRDefault="006668FE" w:rsidP="000941AA">
      <w:pPr>
        <w:spacing w:line="240" w:lineRule="auto"/>
        <w:ind w:firstLine="708"/>
        <w:jc w:val="both"/>
        <w:rPr>
          <w:noProof/>
          <w:sz w:val="24"/>
          <w:szCs w:val="24"/>
          <w:lang w:val="ka-GE"/>
        </w:rPr>
      </w:pPr>
      <w:r w:rsidRPr="00170A1A">
        <w:rPr>
          <w:noProof/>
          <w:sz w:val="24"/>
          <w:szCs w:val="24"/>
          <w:lang w:val="ka-GE"/>
        </w:rPr>
        <w:lastRenderedPageBreak/>
        <w:t xml:space="preserve">პრაქტიკულად, ყველა ვინც  დაკავშირებული იყო დერეგულირების საკითხთან  თანხმდებოდა, რომ ელექტროენერგიის სისტემის დერეგულირების განხორციელება შესაძლებელია. მთავარი კითხვაა იყო და არის როგორ? კონგრესის კვარტალური </w:t>
      </w:r>
      <w:r w:rsidR="007577AE" w:rsidRPr="00170A1A">
        <w:rPr>
          <w:noProof/>
          <w:sz w:val="24"/>
          <w:szCs w:val="24"/>
          <w:lang w:val="ka-GE"/>
        </w:rPr>
        <w:t>ანგარიშის</w:t>
      </w:r>
      <w:r w:rsidRPr="00170A1A">
        <w:rPr>
          <w:noProof/>
          <w:sz w:val="24"/>
          <w:szCs w:val="24"/>
          <w:lang w:val="ka-GE"/>
        </w:rPr>
        <w:t xml:space="preserve"> მიხედვით ელექტროენერგიის დერეგულირების საკითხის წარმართავს შვიდი  ჯგუფი, რომელთაგან თითოეული მხარს უჭერს </w:t>
      </w:r>
      <w:r w:rsidR="001003DF" w:rsidRPr="00170A1A">
        <w:rPr>
          <w:noProof/>
          <w:sz w:val="24"/>
          <w:szCs w:val="24"/>
          <w:lang w:val="ka-GE"/>
        </w:rPr>
        <w:t xml:space="preserve">სისტემაში </w:t>
      </w:r>
      <w:r w:rsidRPr="00170A1A">
        <w:rPr>
          <w:noProof/>
          <w:sz w:val="24"/>
          <w:szCs w:val="24"/>
          <w:lang w:val="ka-GE"/>
        </w:rPr>
        <w:t>ამჟამინდელ  ცვლილებებს, რაც უზრუნველყოფს მათი წევრების უდიდეს სარგებელს</w:t>
      </w:r>
      <w:r w:rsidR="001003DF" w:rsidRPr="00170A1A">
        <w:rPr>
          <w:noProof/>
          <w:sz w:val="24"/>
          <w:szCs w:val="24"/>
          <w:lang w:val="ka-GE"/>
        </w:rPr>
        <w:t>.</w:t>
      </w:r>
      <w:r w:rsidRPr="00170A1A">
        <w:rPr>
          <w:noProof/>
          <w:sz w:val="24"/>
          <w:szCs w:val="24"/>
          <w:lang w:val="ka-GE"/>
        </w:rPr>
        <w:t xml:space="preserve"> მათ მიერ კონგრესში წარდგენილი  ანგარიშების მიხედვით  ჯგუფებმა </w:t>
      </w:r>
      <w:r w:rsidR="001003DF" w:rsidRPr="00170A1A">
        <w:rPr>
          <w:noProof/>
          <w:sz w:val="24"/>
          <w:szCs w:val="24"/>
          <w:lang w:val="ka-GE"/>
        </w:rPr>
        <w:t xml:space="preserve">რეგულაციის ლობირებისათვის,    </w:t>
      </w:r>
      <w:r w:rsidRPr="00170A1A">
        <w:rPr>
          <w:noProof/>
          <w:sz w:val="24"/>
          <w:szCs w:val="24"/>
          <w:lang w:val="ka-GE"/>
        </w:rPr>
        <w:t>რეგულაციის ყველაზე წინაარმდეგი პიროვნენებების დასარწმუნებლად</w:t>
      </w:r>
      <w:r w:rsidR="007577AE" w:rsidRPr="00170A1A">
        <w:rPr>
          <w:noProof/>
          <w:sz w:val="24"/>
          <w:szCs w:val="24"/>
          <w:lang w:val="ka-GE"/>
        </w:rPr>
        <w:t xml:space="preserve">  $</w:t>
      </w:r>
      <w:r w:rsidRPr="00170A1A">
        <w:rPr>
          <w:noProof/>
          <w:sz w:val="24"/>
          <w:szCs w:val="24"/>
          <w:lang w:val="ka-GE"/>
        </w:rPr>
        <w:t>50 მილიონი  დახარჯეს</w:t>
      </w:r>
      <w:r w:rsidR="00377E02" w:rsidRPr="00170A1A">
        <w:rPr>
          <w:noProof/>
          <w:sz w:val="24"/>
          <w:szCs w:val="24"/>
          <w:lang w:val="ka-GE"/>
        </w:rPr>
        <w:t>.</w:t>
      </w:r>
    </w:p>
    <w:p w:rsidR="00EB7518" w:rsidRPr="00170A1A" w:rsidRDefault="00377E02" w:rsidP="000941AA">
      <w:pPr>
        <w:spacing w:line="240" w:lineRule="auto"/>
        <w:ind w:firstLine="708"/>
        <w:jc w:val="both"/>
        <w:rPr>
          <w:noProof/>
          <w:sz w:val="24"/>
          <w:szCs w:val="24"/>
          <w:lang w:val="ka-GE"/>
        </w:rPr>
      </w:pPr>
      <w:r w:rsidRPr="00656B49">
        <w:rPr>
          <w:sz w:val="24"/>
          <w:szCs w:val="24"/>
          <w:lang w:val="ka-GE"/>
        </w:rPr>
        <w:t xml:space="preserve">ჯგუფები განსხვავდებიან დერეგულაციის </w:t>
      </w:r>
      <w:r w:rsidR="00726C6B" w:rsidRPr="00170A1A">
        <w:rPr>
          <w:sz w:val="24"/>
          <w:szCs w:val="24"/>
          <w:lang w:val="ka-GE"/>
        </w:rPr>
        <w:t xml:space="preserve"> მიდგომებში</w:t>
      </w:r>
      <w:r w:rsidR="0076210F" w:rsidRPr="00656B49">
        <w:rPr>
          <w:sz w:val="24"/>
          <w:szCs w:val="24"/>
          <w:lang w:val="ka-GE"/>
        </w:rPr>
        <w:t>.</w:t>
      </w:r>
      <w:r w:rsidR="0076210F" w:rsidRPr="00170A1A">
        <w:rPr>
          <w:sz w:val="24"/>
          <w:szCs w:val="24"/>
          <w:lang w:val="ka-GE"/>
        </w:rPr>
        <w:t xml:space="preserve"> </w:t>
      </w:r>
      <w:r w:rsidR="00726C6B" w:rsidRPr="00170A1A">
        <w:rPr>
          <w:sz w:val="24"/>
          <w:szCs w:val="24"/>
          <w:lang w:val="ka-GE"/>
        </w:rPr>
        <w:t xml:space="preserve">განსხვავების </w:t>
      </w:r>
      <w:r w:rsidRPr="00656B49">
        <w:rPr>
          <w:sz w:val="24"/>
          <w:szCs w:val="24"/>
          <w:lang w:val="ka-GE"/>
        </w:rPr>
        <w:t xml:space="preserve"> პირველი </w:t>
      </w:r>
      <w:r w:rsidR="00220C2C" w:rsidRPr="00656B49">
        <w:rPr>
          <w:sz w:val="24"/>
          <w:szCs w:val="24"/>
          <w:lang w:val="ka-GE"/>
        </w:rPr>
        <w:t>პუნქტი:</w:t>
      </w:r>
      <w:r w:rsidRPr="00656B49">
        <w:rPr>
          <w:sz w:val="24"/>
          <w:szCs w:val="24"/>
          <w:lang w:val="ka-GE"/>
        </w:rPr>
        <w:t xml:space="preserve"> </w:t>
      </w:r>
      <w:r w:rsidR="000D1E27" w:rsidRPr="00170A1A">
        <w:rPr>
          <w:sz w:val="24"/>
          <w:szCs w:val="24"/>
          <w:lang w:val="ka-GE"/>
        </w:rPr>
        <w:t xml:space="preserve">- </w:t>
      </w:r>
      <w:r w:rsidRPr="00656B49">
        <w:rPr>
          <w:sz w:val="24"/>
          <w:szCs w:val="24"/>
          <w:lang w:val="ka-GE"/>
        </w:rPr>
        <w:t xml:space="preserve">უნდა გააუქმოს </w:t>
      </w:r>
      <w:r w:rsidR="00726C6B" w:rsidRPr="00656B49">
        <w:rPr>
          <w:sz w:val="24"/>
          <w:szCs w:val="24"/>
          <w:lang w:val="ka-GE"/>
        </w:rPr>
        <w:t xml:space="preserve">თუ არა კონგრესმა </w:t>
      </w:r>
      <w:r w:rsidRPr="00656B49">
        <w:rPr>
          <w:sz w:val="24"/>
          <w:szCs w:val="24"/>
          <w:lang w:val="ka-GE"/>
        </w:rPr>
        <w:t xml:space="preserve">1935 წლის საზოგადოებრივი კომუნალური ჰოლდინგის </w:t>
      </w:r>
      <w:r w:rsidR="00726C6B" w:rsidRPr="00656B49">
        <w:rPr>
          <w:sz w:val="24"/>
          <w:szCs w:val="24"/>
          <w:lang w:val="ka-GE"/>
        </w:rPr>
        <w:t>კომპანიის</w:t>
      </w:r>
      <w:r w:rsidRPr="00656B49">
        <w:rPr>
          <w:sz w:val="24"/>
          <w:szCs w:val="24"/>
          <w:lang w:val="ka-GE"/>
        </w:rPr>
        <w:t xml:space="preserve"> აქტი (</w:t>
      </w:r>
      <w:r w:rsidR="00726C6B" w:rsidRPr="00656B49">
        <w:rPr>
          <w:sz w:val="24"/>
          <w:szCs w:val="24"/>
          <w:lang w:val="ka-GE"/>
        </w:rPr>
        <w:t xml:space="preserve">Public Utility Holding Company Act </w:t>
      </w:r>
      <w:r w:rsidR="00726C6B" w:rsidRPr="00170A1A">
        <w:rPr>
          <w:sz w:val="24"/>
          <w:szCs w:val="24"/>
          <w:lang w:val="ka-GE"/>
        </w:rPr>
        <w:t xml:space="preserve">- </w:t>
      </w:r>
      <w:r w:rsidRPr="00656B49">
        <w:rPr>
          <w:sz w:val="24"/>
          <w:szCs w:val="24"/>
          <w:lang w:val="ka-GE"/>
        </w:rPr>
        <w:t xml:space="preserve">PUHCA), </w:t>
      </w:r>
      <w:r w:rsidR="00726C6B" w:rsidRPr="00656B49">
        <w:rPr>
          <w:sz w:val="24"/>
          <w:szCs w:val="24"/>
          <w:lang w:val="ka-GE"/>
        </w:rPr>
        <w:t xml:space="preserve">რომელიც დიდ სადისტრიბუციო კომპანიებს </w:t>
      </w:r>
      <w:r w:rsidR="000D1E27" w:rsidRPr="00656B49">
        <w:rPr>
          <w:sz w:val="24"/>
          <w:szCs w:val="24"/>
          <w:lang w:val="ka-GE"/>
        </w:rPr>
        <w:t>გეო</w:t>
      </w:r>
      <w:r w:rsidR="00726C6B" w:rsidRPr="00656B49">
        <w:rPr>
          <w:sz w:val="24"/>
          <w:szCs w:val="24"/>
          <w:lang w:val="ka-GE"/>
        </w:rPr>
        <w:t>გრაფიულ არეალში აძლევს მონოპოლიის უფლებას</w:t>
      </w:r>
      <w:r w:rsidR="000D1E27" w:rsidRPr="00170A1A">
        <w:rPr>
          <w:sz w:val="24"/>
          <w:szCs w:val="24"/>
          <w:lang w:val="ka-GE"/>
        </w:rPr>
        <w:t>,</w:t>
      </w:r>
      <w:r w:rsidR="00726C6B" w:rsidRPr="00656B49">
        <w:rPr>
          <w:sz w:val="24"/>
          <w:szCs w:val="24"/>
          <w:lang w:val="ka-GE"/>
        </w:rPr>
        <w:t xml:space="preserve"> მაგრამ </w:t>
      </w:r>
      <w:r w:rsidR="000D1E27" w:rsidRPr="00170A1A">
        <w:rPr>
          <w:sz w:val="24"/>
          <w:szCs w:val="24"/>
          <w:lang w:val="ka-GE"/>
        </w:rPr>
        <w:t xml:space="preserve"> </w:t>
      </w:r>
      <w:r w:rsidR="000D1E27" w:rsidRPr="00656B49">
        <w:rPr>
          <w:sz w:val="24"/>
          <w:szCs w:val="24"/>
          <w:lang w:val="ka-GE"/>
        </w:rPr>
        <w:t>ხელ</w:t>
      </w:r>
      <w:r w:rsidR="000D1E27" w:rsidRPr="00170A1A">
        <w:rPr>
          <w:sz w:val="24"/>
          <w:szCs w:val="24"/>
          <w:lang w:val="ka-GE"/>
        </w:rPr>
        <w:t>ს უშლის</w:t>
      </w:r>
      <w:r w:rsidR="000D1E27" w:rsidRPr="00656B49">
        <w:rPr>
          <w:sz w:val="24"/>
          <w:szCs w:val="24"/>
          <w:lang w:val="ka-GE"/>
        </w:rPr>
        <w:t xml:space="preserve"> </w:t>
      </w:r>
      <w:r w:rsidRPr="00656B49">
        <w:rPr>
          <w:sz w:val="24"/>
          <w:szCs w:val="24"/>
          <w:lang w:val="ka-GE"/>
        </w:rPr>
        <w:t xml:space="preserve"> მის გეოგრაფიულ სივრცეში მათ გაფართოებას. კანონი ამოქმედდა ეროვნული კონგლომერატების </w:t>
      </w:r>
      <w:r w:rsidR="007664D0" w:rsidRPr="00656B49">
        <w:rPr>
          <w:sz w:val="24"/>
          <w:szCs w:val="24"/>
          <w:lang w:val="ka-GE"/>
        </w:rPr>
        <w:t>დომინირებისგან</w:t>
      </w:r>
      <w:r w:rsidR="000D1E27" w:rsidRPr="00170A1A">
        <w:rPr>
          <w:sz w:val="24"/>
          <w:szCs w:val="24"/>
          <w:lang w:val="ka-GE"/>
        </w:rPr>
        <w:t xml:space="preserve"> </w:t>
      </w:r>
      <w:r w:rsidRPr="00656B49">
        <w:rPr>
          <w:sz w:val="24"/>
          <w:szCs w:val="24"/>
          <w:lang w:val="ka-GE"/>
        </w:rPr>
        <w:t>თავიდან ასაცილებლად ელექტროენერგიის ინდუსტრიის</w:t>
      </w:r>
      <w:r w:rsidR="007664D0" w:rsidRPr="00170A1A">
        <w:rPr>
          <w:sz w:val="24"/>
          <w:szCs w:val="24"/>
          <w:lang w:val="ka-GE"/>
        </w:rPr>
        <w:t xml:space="preserve"> სფეროში</w:t>
      </w:r>
      <w:r w:rsidRPr="00656B49">
        <w:rPr>
          <w:sz w:val="24"/>
          <w:szCs w:val="24"/>
          <w:lang w:val="ka-GE"/>
        </w:rPr>
        <w:t xml:space="preserve"> და ზოგიერთი ჯგუფი - კერძოდ</w:t>
      </w:r>
      <w:r w:rsidR="007664D0" w:rsidRPr="00170A1A">
        <w:rPr>
          <w:sz w:val="24"/>
          <w:szCs w:val="24"/>
          <w:lang w:val="ka-GE"/>
        </w:rPr>
        <w:t>,</w:t>
      </w:r>
      <w:r w:rsidRPr="00656B49">
        <w:rPr>
          <w:sz w:val="24"/>
          <w:szCs w:val="24"/>
          <w:lang w:val="ka-GE"/>
        </w:rPr>
        <w:t xml:space="preserve"> მსხვილი ინვესტორის საკუთრებაში არსებული ენერგეტიკული კომპანიები - ამტკიცებენ, რომ კანონი გაზრდილი კონკურენციის პირობებში </w:t>
      </w:r>
      <w:r w:rsidR="00726C6B" w:rsidRPr="00656B49">
        <w:rPr>
          <w:sz w:val="24"/>
          <w:szCs w:val="24"/>
          <w:lang w:val="ka-GE"/>
        </w:rPr>
        <w:t>მიმართულია,</w:t>
      </w:r>
      <w:r w:rsidR="007664D0" w:rsidRPr="00170A1A">
        <w:rPr>
          <w:sz w:val="24"/>
          <w:szCs w:val="24"/>
          <w:lang w:val="ka-GE"/>
        </w:rPr>
        <w:t xml:space="preserve"> </w:t>
      </w:r>
      <w:r w:rsidRPr="00656B49">
        <w:rPr>
          <w:sz w:val="24"/>
          <w:szCs w:val="24"/>
          <w:lang w:val="ka-GE"/>
        </w:rPr>
        <w:t xml:space="preserve">ფასების </w:t>
      </w:r>
      <w:r w:rsidR="00726C6B" w:rsidRPr="00656B49">
        <w:rPr>
          <w:sz w:val="24"/>
          <w:szCs w:val="24"/>
          <w:lang w:val="ka-GE"/>
        </w:rPr>
        <w:t>შემცირები</w:t>
      </w:r>
      <w:r w:rsidRPr="00656B49">
        <w:rPr>
          <w:sz w:val="24"/>
          <w:szCs w:val="24"/>
          <w:lang w:val="ka-GE"/>
        </w:rPr>
        <w:t xml:space="preserve">ს და მომსახურების </w:t>
      </w:r>
      <w:r w:rsidR="007664D0" w:rsidRPr="00656B49">
        <w:rPr>
          <w:sz w:val="24"/>
          <w:szCs w:val="24"/>
          <w:lang w:val="ka-GE"/>
        </w:rPr>
        <w:t>გაუმჯობესებისაკენ.</w:t>
      </w:r>
      <w:r w:rsidRPr="00656B49">
        <w:rPr>
          <w:sz w:val="24"/>
          <w:szCs w:val="24"/>
          <w:lang w:val="ka-GE"/>
        </w:rPr>
        <w:t xml:space="preserve"> სხვა ჯგუფები, მათ შორის, სამთავრობო </w:t>
      </w:r>
      <w:r w:rsidR="007664D0" w:rsidRPr="00656B49">
        <w:rPr>
          <w:sz w:val="24"/>
          <w:szCs w:val="24"/>
          <w:lang w:val="ka-GE"/>
        </w:rPr>
        <w:t>უწყებების</w:t>
      </w:r>
      <w:r w:rsidRPr="00656B49">
        <w:rPr>
          <w:sz w:val="24"/>
          <w:szCs w:val="24"/>
          <w:lang w:val="ka-GE"/>
        </w:rPr>
        <w:t xml:space="preserve"> და მუნიციპალიტეტების საკუთრებაში არსებული კომუნალური </w:t>
      </w:r>
      <w:r w:rsidR="007664D0" w:rsidRPr="00170A1A">
        <w:rPr>
          <w:sz w:val="24"/>
          <w:szCs w:val="24"/>
          <w:lang w:val="ka-GE"/>
        </w:rPr>
        <w:t>კომპანიები</w:t>
      </w:r>
      <w:r w:rsidRPr="00656B49">
        <w:rPr>
          <w:sz w:val="24"/>
          <w:szCs w:val="24"/>
          <w:lang w:val="ka-GE"/>
        </w:rPr>
        <w:t>, შეშფოთებას გამოთქვამენ</w:t>
      </w:r>
      <w:r w:rsidR="007664D0" w:rsidRPr="00170A1A">
        <w:rPr>
          <w:sz w:val="24"/>
          <w:szCs w:val="24"/>
          <w:lang w:val="ka-GE"/>
        </w:rPr>
        <w:t xml:space="preserve">, რომ </w:t>
      </w:r>
      <w:r w:rsidR="007664D0" w:rsidRPr="00656B49">
        <w:rPr>
          <w:sz w:val="24"/>
          <w:szCs w:val="24"/>
          <w:lang w:val="ka-GE"/>
        </w:rPr>
        <w:t xml:space="preserve"> PUHCA</w:t>
      </w:r>
      <w:r w:rsidR="007664D0" w:rsidRPr="00170A1A">
        <w:rPr>
          <w:sz w:val="24"/>
          <w:szCs w:val="24"/>
          <w:lang w:val="ka-GE"/>
        </w:rPr>
        <w:t>-</w:t>
      </w:r>
      <w:r w:rsidRPr="00656B49">
        <w:rPr>
          <w:sz w:val="24"/>
          <w:szCs w:val="24"/>
          <w:lang w:val="ka-GE"/>
        </w:rPr>
        <w:t>ს</w:t>
      </w:r>
      <w:r w:rsidR="007664D0" w:rsidRPr="00170A1A">
        <w:rPr>
          <w:sz w:val="24"/>
          <w:szCs w:val="24"/>
          <w:lang w:val="ka-GE"/>
        </w:rPr>
        <w:t xml:space="preserve"> აქტის გაუქმება</w:t>
      </w:r>
      <w:r w:rsidRPr="00656B49">
        <w:rPr>
          <w:sz w:val="24"/>
          <w:szCs w:val="24"/>
          <w:lang w:val="ka-GE"/>
        </w:rPr>
        <w:t xml:space="preserve"> </w:t>
      </w:r>
      <w:r w:rsidR="000D1E27" w:rsidRPr="00170A1A">
        <w:rPr>
          <w:sz w:val="24"/>
          <w:szCs w:val="24"/>
          <w:lang w:val="ka-GE"/>
        </w:rPr>
        <w:t xml:space="preserve">მნიშვნელოვნად განაპიროებებს მომხამარებელთა დაცვას. </w:t>
      </w:r>
    </w:p>
    <w:p w:rsidR="00EB7518" w:rsidRPr="00170A1A" w:rsidRDefault="000D1E27" w:rsidP="000941AA">
      <w:pPr>
        <w:spacing w:line="240" w:lineRule="auto"/>
        <w:ind w:firstLine="708"/>
        <w:jc w:val="both"/>
        <w:rPr>
          <w:noProof/>
          <w:sz w:val="24"/>
          <w:szCs w:val="24"/>
          <w:lang w:val="ka-GE"/>
        </w:rPr>
      </w:pPr>
      <w:r w:rsidRPr="00656B49">
        <w:rPr>
          <w:sz w:val="24"/>
          <w:szCs w:val="24"/>
          <w:lang w:val="ka-GE"/>
        </w:rPr>
        <w:t xml:space="preserve">დერეგულაციის მიმართ  </w:t>
      </w:r>
      <w:r w:rsidR="00377E02" w:rsidRPr="00656B49">
        <w:rPr>
          <w:sz w:val="24"/>
          <w:szCs w:val="24"/>
          <w:lang w:val="ka-GE"/>
        </w:rPr>
        <w:t xml:space="preserve">არსებობს სხვა </w:t>
      </w:r>
      <w:r w:rsidRPr="00170A1A">
        <w:rPr>
          <w:sz w:val="24"/>
          <w:szCs w:val="24"/>
          <w:lang w:val="ka-GE"/>
        </w:rPr>
        <w:t xml:space="preserve">ჯგუფების </w:t>
      </w:r>
      <w:r w:rsidRPr="00656B49">
        <w:rPr>
          <w:sz w:val="24"/>
          <w:szCs w:val="24"/>
          <w:lang w:val="ka-GE"/>
        </w:rPr>
        <w:t>მოსაზრებები</w:t>
      </w:r>
      <w:r w:rsidRPr="00170A1A">
        <w:rPr>
          <w:sz w:val="24"/>
          <w:szCs w:val="24"/>
          <w:lang w:val="ka-GE"/>
        </w:rPr>
        <w:t>.</w:t>
      </w:r>
      <w:r w:rsidRPr="00656B49">
        <w:rPr>
          <w:sz w:val="24"/>
          <w:szCs w:val="24"/>
          <w:lang w:val="ka-GE"/>
        </w:rPr>
        <w:t xml:space="preserve"> </w:t>
      </w:r>
      <w:r w:rsidR="00377E02" w:rsidRPr="00656B49">
        <w:rPr>
          <w:sz w:val="24"/>
          <w:szCs w:val="24"/>
          <w:lang w:val="ka-GE"/>
        </w:rPr>
        <w:t xml:space="preserve">ზოგიერთი ჯგუფი </w:t>
      </w:r>
      <w:r w:rsidRPr="00170A1A">
        <w:rPr>
          <w:sz w:val="24"/>
          <w:szCs w:val="24"/>
          <w:lang w:val="ka-GE"/>
        </w:rPr>
        <w:t>ირწმუნწება</w:t>
      </w:r>
      <w:r w:rsidR="00377E02" w:rsidRPr="00656B49">
        <w:rPr>
          <w:sz w:val="24"/>
          <w:szCs w:val="24"/>
          <w:lang w:val="ka-GE"/>
        </w:rPr>
        <w:t xml:space="preserve"> რომ ისინი არ არიან </w:t>
      </w:r>
      <w:r w:rsidRPr="00170A1A">
        <w:rPr>
          <w:sz w:val="24"/>
          <w:szCs w:val="24"/>
          <w:lang w:val="ka-GE"/>
        </w:rPr>
        <w:t>გაერთიანებული</w:t>
      </w:r>
      <w:r w:rsidR="00377E02" w:rsidRPr="00656B49">
        <w:rPr>
          <w:sz w:val="24"/>
          <w:szCs w:val="24"/>
          <w:lang w:val="ka-GE"/>
        </w:rPr>
        <w:t xml:space="preserve"> დიდი ელექტრო </w:t>
      </w:r>
      <w:r w:rsidRPr="00656B49">
        <w:rPr>
          <w:sz w:val="24"/>
          <w:szCs w:val="24"/>
          <w:lang w:val="ka-GE"/>
        </w:rPr>
        <w:t>კომპანიების</w:t>
      </w:r>
      <w:r w:rsidR="00377E02" w:rsidRPr="00656B49">
        <w:rPr>
          <w:sz w:val="24"/>
          <w:szCs w:val="24"/>
          <w:lang w:val="ka-GE"/>
        </w:rPr>
        <w:t xml:space="preserve"> დერეგულირებული სისტემაში. ამერიკული საზოგადოებრივ-ენერგეტიკული ასოციაცია, რომელიც წარმოადგენს მუნიციპალიტეტების ან სხვა სამთავრობო უწყებების მფლობელებს, სურს, რომ კონკურენცია გაუწიოს დიდ ინვესტორთა საკუთრებაში არსებულ ელექტრო კომპანიებს. იგი ასევე ხელს უწყობს ელექტროენერგიის მონიტორინგს სამართლიანი ფასების და ხელმისაწვდომობის უზრუნველსაყოფად</w:t>
      </w:r>
      <w:r w:rsidR="00F36958" w:rsidRPr="00170A1A">
        <w:rPr>
          <w:sz w:val="24"/>
          <w:szCs w:val="24"/>
          <w:lang w:val="ka-GE"/>
        </w:rPr>
        <w:t>.</w:t>
      </w:r>
    </w:p>
    <w:p w:rsidR="00EB7518" w:rsidRPr="00170A1A" w:rsidRDefault="00894656" w:rsidP="000941AA">
      <w:pPr>
        <w:spacing w:line="240" w:lineRule="auto"/>
        <w:ind w:firstLine="708"/>
        <w:jc w:val="both"/>
        <w:rPr>
          <w:noProof/>
          <w:sz w:val="24"/>
          <w:szCs w:val="24"/>
          <w:lang w:val="ka-GE"/>
        </w:rPr>
      </w:pPr>
      <w:r w:rsidRPr="00170A1A">
        <w:rPr>
          <w:sz w:val="24"/>
          <w:szCs w:val="24"/>
          <w:lang w:val="ka-GE"/>
        </w:rPr>
        <w:t xml:space="preserve">მესამე კატეგორიის ჯგუფები შეშფოთებას გამოთქვამენ თუ რა შეიძლება გამოიწვიოს, დერეგულაციის მთლიანმა ეფექტმა </w:t>
      </w:r>
      <w:r w:rsidR="00801805" w:rsidRPr="00170A1A">
        <w:rPr>
          <w:sz w:val="24"/>
          <w:szCs w:val="24"/>
          <w:lang w:val="ka-GE"/>
        </w:rPr>
        <w:t xml:space="preserve">ელენერგიის </w:t>
      </w:r>
      <w:r w:rsidRPr="00170A1A">
        <w:rPr>
          <w:sz w:val="24"/>
          <w:szCs w:val="24"/>
          <w:lang w:val="ka-GE"/>
        </w:rPr>
        <w:t xml:space="preserve">პატარა </w:t>
      </w:r>
      <w:r w:rsidR="00801805" w:rsidRPr="00170A1A">
        <w:rPr>
          <w:sz w:val="24"/>
          <w:szCs w:val="24"/>
          <w:lang w:val="ka-GE"/>
        </w:rPr>
        <w:t>დისტრიბუტორ კომპანიებზე</w:t>
      </w:r>
      <w:r w:rsidRPr="00170A1A">
        <w:rPr>
          <w:sz w:val="24"/>
          <w:szCs w:val="24"/>
          <w:lang w:val="ka-GE"/>
        </w:rPr>
        <w:t xml:space="preserve"> და მათ მომხმარებლებზე. </w:t>
      </w:r>
      <w:r w:rsidR="00143789" w:rsidRPr="00170A1A">
        <w:rPr>
          <w:sz w:val="24"/>
          <w:szCs w:val="24"/>
          <w:lang w:val="ka-GE"/>
        </w:rPr>
        <w:t xml:space="preserve">სასოფლო ელექტრო </w:t>
      </w:r>
      <w:r w:rsidR="0009370D" w:rsidRPr="00170A1A">
        <w:rPr>
          <w:sz w:val="24"/>
          <w:szCs w:val="24"/>
          <w:lang w:val="ka-GE"/>
        </w:rPr>
        <w:t>კოოპერატივების</w:t>
      </w:r>
      <w:r w:rsidR="00143789" w:rsidRPr="00170A1A">
        <w:rPr>
          <w:sz w:val="24"/>
          <w:szCs w:val="24"/>
          <w:lang w:val="ka-GE"/>
        </w:rPr>
        <w:t xml:space="preserve"> ეროვნული </w:t>
      </w:r>
      <w:r w:rsidR="0009370D" w:rsidRPr="00170A1A">
        <w:rPr>
          <w:sz w:val="24"/>
          <w:szCs w:val="24"/>
          <w:lang w:val="ka-GE"/>
        </w:rPr>
        <w:t>ასოციაცია</w:t>
      </w:r>
      <w:r w:rsidR="00143789" w:rsidRPr="00170A1A">
        <w:rPr>
          <w:sz w:val="24"/>
          <w:szCs w:val="24"/>
          <w:lang w:val="ka-GE"/>
        </w:rPr>
        <w:t xml:space="preserve">, რომელიც </w:t>
      </w:r>
      <w:r w:rsidR="0009370D" w:rsidRPr="00170A1A">
        <w:rPr>
          <w:sz w:val="24"/>
          <w:szCs w:val="24"/>
          <w:lang w:val="ka-GE"/>
        </w:rPr>
        <w:t>წარმომადგენეს</w:t>
      </w:r>
      <w:r w:rsidR="00143789" w:rsidRPr="00170A1A">
        <w:rPr>
          <w:sz w:val="24"/>
          <w:szCs w:val="24"/>
          <w:lang w:val="ka-GE"/>
        </w:rPr>
        <w:t xml:space="preserve"> მომხმარებელ-მესაკუთრე ელექტრო კომუნალურ </w:t>
      </w:r>
      <w:r w:rsidR="0009370D" w:rsidRPr="00170A1A">
        <w:rPr>
          <w:sz w:val="24"/>
          <w:szCs w:val="24"/>
          <w:lang w:val="ka-GE"/>
        </w:rPr>
        <w:t>კოოპერატივებს</w:t>
      </w:r>
      <w:r w:rsidR="00143789" w:rsidRPr="00170A1A">
        <w:rPr>
          <w:sz w:val="24"/>
          <w:szCs w:val="24"/>
          <w:lang w:val="ka-GE"/>
        </w:rPr>
        <w:t xml:space="preserve">, </w:t>
      </w:r>
      <w:r w:rsidR="0009370D" w:rsidRPr="00170A1A">
        <w:rPr>
          <w:sz w:val="24"/>
          <w:szCs w:val="24"/>
          <w:lang w:val="ka-GE"/>
        </w:rPr>
        <w:t>გამოთქვამენ</w:t>
      </w:r>
      <w:r w:rsidR="00143789" w:rsidRPr="00170A1A">
        <w:rPr>
          <w:sz w:val="24"/>
          <w:szCs w:val="24"/>
          <w:lang w:val="ka-GE"/>
        </w:rPr>
        <w:t xml:space="preserve"> </w:t>
      </w:r>
      <w:r w:rsidR="0009370D" w:rsidRPr="00170A1A">
        <w:rPr>
          <w:sz w:val="24"/>
          <w:szCs w:val="24"/>
          <w:lang w:val="ka-GE"/>
        </w:rPr>
        <w:t>შეშფოთებას</w:t>
      </w:r>
      <w:r w:rsidR="00143789" w:rsidRPr="00170A1A">
        <w:rPr>
          <w:sz w:val="24"/>
          <w:szCs w:val="24"/>
          <w:lang w:val="ka-GE"/>
        </w:rPr>
        <w:t xml:space="preserve"> რომ ელექტრო ქსელის დერეგულაცია უარყოფით გავლენას მოახდენს ადგილობრივ მომხმარებლებზე, მცირე ბიზნესზე, ფერმერებსა და რანჩოებზე.</w:t>
      </w:r>
      <w:r w:rsidR="0009370D" w:rsidRPr="00170A1A">
        <w:rPr>
          <w:sz w:val="24"/>
          <w:szCs w:val="24"/>
          <w:lang w:val="ka-GE"/>
        </w:rPr>
        <w:t xml:space="preserve"> მათ სურს, რომ კონგრესმა </w:t>
      </w:r>
      <w:r w:rsidR="00937C9A" w:rsidRPr="00170A1A">
        <w:rPr>
          <w:sz w:val="24"/>
          <w:szCs w:val="24"/>
          <w:lang w:val="ka-GE"/>
        </w:rPr>
        <w:t>მია</w:t>
      </w:r>
      <w:r w:rsidR="0009370D" w:rsidRPr="00170A1A">
        <w:rPr>
          <w:sz w:val="24"/>
          <w:szCs w:val="24"/>
          <w:lang w:val="ka-GE"/>
        </w:rPr>
        <w:t xml:space="preserve">ნიჭოს მარეგულირებელი უფლებამოსილება შტატებს, რათა ელექტროენერგიის კოოპერატივებმა  განახორციელონ </w:t>
      </w:r>
      <w:r w:rsidR="009F1C4C">
        <w:rPr>
          <w:sz w:val="24"/>
          <w:szCs w:val="24"/>
          <w:lang w:val="ka-GE"/>
        </w:rPr>
        <w:t xml:space="preserve"> </w:t>
      </w:r>
      <w:r w:rsidR="0009370D" w:rsidRPr="00170A1A">
        <w:rPr>
          <w:sz w:val="24"/>
          <w:szCs w:val="24"/>
          <w:lang w:val="ka-GE"/>
        </w:rPr>
        <w:t xml:space="preserve">თვითრეგულირება.  </w:t>
      </w:r>
    </w:p>
    <w:p w:rsidR="00EB7518" w:rsidRPr="00170A1A" w:rsidRDefault="0009370D" w:rsidP="000941AA">
      <w:pPr>
        <w:spacing w:line="240" w:lineRule="auto"/>
        <w:ind w:firstLine="708"/>
        <w:jc w:val="both"/>
        <w:rPr>
          <w:noProof/>
          <w:sz w:val="24"/>
          <w:szCs w:val="24"/>
          <w:lang w:val="ka-GE"/>
        </w:rPr>
      </w:pPr>
      <w:r w:rsidRPr="00170A1A">
        <w:rPr>
          <w:noProof/>
          <w:sz w:val="24"/>
          <w:szCs w:val="24"/>
          <w:lang w:val="ka-GE"/>
        </w:rPr>
        <w:t xml:space="preserve">ენერგეტიკული წარმოებისა და მიწოდების არსებული სისტემამ ფუნქციონირება დაიწყო „ახალი საქმის“  ეპოქიდან, როდესაც კონგრესმა </w:t>
      </w:r>
      <w:r w:rsidR="00B66FBE" w:rsidRPr="00170A1A">
        <w:rPr>
          <w:noProof/>
          <w:sz w:val="24"/>
          <w:szCs w:val="24"/>
          <w:lang w:val="ka-GE"/>
        </w:rPr>
        <w:t>ბოლო მოუღო დიდი კომპანიების ბატონობას</w:t>
      </w:r>
      <w:r w:rsidRPr="00170A1A">
        <w:rPr>
          <w:noProof/>
          <w:sz w:val="24"/>
          <w:szCs w:val="24"/>
          <w:lang w:val="ka-GE"/>
        </w:rPr>
        <w:t xml:space="preserve">, რომლებიც ქვეყნის ელექტროენერგიის წარმოების სიმძლავრეზე 75% -ზე მეტს აკონტროლებდნენ. 1935 წლის </w:t>
      </w:r>
      <w:r w:rsidR="00937C9A" w:rsidRPr="00170A1A">
        <w:rPr>
          <w:noProof/>
          <w:sz w:val="24"/>
          <w:szCs w:val="24"/>
          <w:lang w:val="ka-GE"/>
        </w:rPr>
        <w:t>სახელმწ</w:t>
      </w:r>
      <w:r w:rsidR="00B66FBE" w:rsidRPr="00170A1A">
        <w:rPr>
          <w:noProof/>
          <w:sz w:val="24"/>
          <w:szCs w:val="24"/>
          <w:lang w:val="ka-GE"/>
        </w:rPr>
        <w:t>იფო</w:t>
      </w:r>
      <w:r w:rsidRPr="00170A1A">
        <w:rPr>
          <w:noProof/>
          <w:sz w:val="24"/>
          <w:szCs w:val="24"/>
          <w:lang w:val="ka-GE"/>
        </w:rPr>
        <w:t xml:space="preserve"> კომუნალური ჰოლდინგური აქტის აქტი (PUHCA) აიძულებდა ჰოლდინ</w:t>
      </w:r>
      <w:r w:rsidR="00B66FBE" w:rsidRPr="00170A1A">
        <w:rPr>
          <w:noProof/>
          <w:sz w:val="24"/>
          <w:szCs w:val="24"/>
          <w:lang w:val="ka-GE"/>
        </w:rPr>
        <w:t xml:space="preserve">ურ </w:t>
      </w:r>
      <w:r w:rsidRPr="00170A1A">
        <w:rPr>
          <w:noProof/>
          <w:sz w:val="24"/>
          <w:szCs w:val="24"/>
          <w:lang w:val="ka-GE"/>
        </w:rPr>
        <w:t xml:space="preserve"> კომპანიებს</w:t>
      </w:r>
      <w:r w:rsidR="00B66FBE" w:rsidRPr="00170A1A">
        <w:rPr>
          <w:noProof/>
          <w:sz w:val="24"/>
          <w:szCs w:val="24"/>
          <w:lang w:val="ka-GE"/>
        </w:rPr>
        <w:t xml:space="preserve">, ელექტრო </w:t>
      </w:r>
      <w:r w:rsidR="00B66FBE" w:rsidRPr="00170A1A">
        <w:rPr>
          <w:noProof/>
          <w:sz w:val="24"/>
          <w:szCs w:val="24"/>
          <w:lang w:val="ka-GE"/>
        </w:rPr>
        <w:lastRenderedPageBreak/>
        <w:t>მიწოდების  კომუნალურის სამსახურებს</w:t>
      </w:r>
      <w:r w:rsidRPr="00170A1A">
        <w:rPr>
          <w:noProof/>
          <w:sz w:val="24"/>
          <w:szCs w:val="24"/>
          <w:lang w:val="ka-GE"/>
        </w:rPr>
        <w:t xml:space="preserve"> მიეცათ მონოპოლია შეზღუდული </w:t>
      </w:r>
      <w:r w:rsidR="00B66FBE" w:rsidRPr="00170A1A">
        <w:rPr>
          <w:noProof/>
          <w:sz w:val="24"/>
          <w:szCs w:val="24"/>
          <w:lang w:val="ka-GE"/>
        </w:rPr>
        <w:t>ტერიტორიებზე</w:t>
      </w:r>
      <w:r w:rsidRPr="00170A1A">
        <w:rPr>
          <w:noProof/>
          <w:sz w:val="24"/>
          <w:szCs w:val="24"/>
          <w:lang w:val="ka-GE"/>
        </w:rPr>
        <w:t xml:space="preserve">. სანაცვლოდ, კომუნალური </w:t>
      </w:r>
      <w:r w:rsidR="00B66FBE" w:rsidRPr="00170A1A">
        <w:rPr>
          <w:noProof/>
          <w:sz w:val="24"/>
          <w:szCs w:val="24"/>
          <w:lang w:val="ka-GE"/>
        </w:rPr>
        <w:t>სამსახურები</w:t>
      </w:r>
      <w:r w:rsidRPr="00170A1A">
        <w:rPr>
          <w:noProof/>
          <w:sz w:val="24"/>
          <w:szCs w:val="24"/>
          <w:lang w:val="ka-GE"/>
        </w:rPr>
        <w:t xml:space="preserve"> </w:t>
      </w:r>
      <w:r w:rsidR="00B66FBE" w:rsidRPr="00170A1A">
        <w:rPr>
          <w:noProof/>
          <w:sz w:val="24"/>
          <w:szCs w:val="24"/>
          <w:lang w:val="ka-GE"/>
        </w:rPr>
        <w:t>დათანხმდნენ</w:t>
      </w:r>
      <w:r w:rsidRPr="00170A1A">
        <w:rPr>
          <w:noProof/>
          <w:sz w:val="24"/>
          <w:szCs w:val="24"/>
          <w:lang w:val="ka-GE"/>
        </w:rPr>
        <w:t xml:space="preserve">, რომ </w:t>
      </w:r>
      <w:r w:rsidR="00937C9A" w:rsidRPr="00170A1A">
        <w:rPr>
          <w:noProof/>
          <w:sz w:val="24"/>
          <w:szCs w:val="24"/>
          <w:lang w:val="ka-GE"/>
        </w:rPr>
        <w:t>უზრუნველყო</w:t>
      </w:r>
      <w:r w:rsidR="00B66FBE" w:rsidRPr="00170A1A">
        <w:rPr>
          <w:noProof/>
          <w:sz w:val="24"/>
          <w:szCs w:val="24"/>
          <w:lang w:val="ka-GE"/>
        </w:rPr>
        <w:t>თ</w:t>
      </w:r>
      <w:r w:rsidRPr="00170A1A">
        <w:rPr>
          <w:noProof/>
          <w:sz w:val="24"/>
          <w:szCs w:val="24"/>
          <w:lang w:val="ka-GE"/>
        </w:rPr>
        <w:t xml:space="preserve"> სანდო ელექტრომომარაგება ყველა მომხმარებლისთვის რეგულირებადი </w:t>
      </w:r>
      <w:r w:rsidR="00B66FBE" w:rsidRPr="00170A1A">
        <w:rPr>
          <w:noProof/>
          <w:sz w:val="24"/>
          <w:szCs w:val="24"/>
          <w:lang w:val="ka-GE"/>
        </w:rPr>
        <w:t>განაკვეთებით</w:t>
      </w:r>
      <w:r w:rsidRPr="00170A1A">
        <w:rPr>
          <w:noProof/>
          <w:sz w:val="24"/>
          <w:szCs w:val="24"/>
          <w:lang w:val="ka-GE"/>
        </w:rPr>
        <w:t xml:space="preserve">. </w:t>
      </w:r>
      <w:r w:rsidR="00B66FBE" w:rsidRPr="00170A1A">
        <w:rPr>
          <w:noProof/>
          <w:sz w:val="24"/>
          <w:szCs w:val="24"/>
          <w:lang w:val="ka-GE"/>
        </w:rPr>
        <w:t xml:space="preserve">კონგრესის კვარტალური ანგარიშის მიხედვით, </w:t>
      </w:r>
      <w:r w:rsidRPr="00170A1A">
        <w:rPr>
          <w:noProof/>
          <w:sz w:val="24"/>
          <w:szCs w:val="24"/>
          <w:lang w:val="ka-GE"/>
        </w:rPr>
        <w:t>კანონს მოყვა 300-მდე ენერგო სისტემისა და 800 სოფლის კოოპერატივის ფორმირება</w:t>
      </w:r>
      <w:r w:rsidR="006C3EFC" w:rsidRPr="00170A1A">
        <w:rPr>
          <w:noProof/>
          <w:sz w:val="24"/>
          <w:szCs w:val="24"/>
          <w:lang w:val="ka-GE"/>
        </w:rPr>
        <w:t>.</w:t>
      </w:r>
    </w:p>
    <w:p w:rsidR="00EB7518" w:rsidRPr="00170A1A" w:rsidRDefault="00F961E6" w:rsidP="000941AA">
      <w:pPr>
        <w:spacing w:line="240" w:lineRule="auto"/>
        <w:ind w:firstLine="708"/>
        <w:jc w:val="both"/>
        <w:rPr>
          <w:noProof/>
          <w:sz w:val="24"/>
          <w:szCs w:val="24"/>
          <w:lang w:val="ka-GE"/>
        </w:rPr>
      </w:pPr>
      <w:r w:rsidRPr="00170A1A">
        <w:rPr>
          <w:noProof/>
          <w:sz w:val="24"/>
          <w:szCs w:val="24"/>
          <w:lang w:val="ka-GE"/>
        </w:rPr>
        <w:t xml:space="preserve">1973 წლის </w:t>
      </w:r>
      <w:r w:rsidR="0009370D" w:rsidRPr="00170A1A">
        <w:rPr>
          <w:noProof/>
          <w:sz w:val="24"/>
          <w:szCs w:val="24"/>
          <w:lang w:val="ka-GE"/>
        </w:rPr>
        <w:t>OPEC მსოფლიო ნავთობის ემბარგო</w:t>
      </w:r>
      <w:r w:rsidRPr="00170A1A">
        <w:rPr>
          <w:noProof/>
          <w:sz w:val="24"/>
          <w:szCs w:val="24"/>
          <w:lang w:val="ka-GE"/>
        </w:rPr>
        <w:t>მ</w:t>
      </w:r>
      <w:r w:rsidR="0009370D" w:rsidRPr="00170A1A">
        <w:rPr>
          <w:noProof/>
          <w:sz w:val="24"/>
          <w:szCs w:val="24"/>
          <w:lang w:val="ka-GE"/>
        </w:rPr>
        <w:t xml:space="preserve">  დრამატული გავლენა ელექტრო </w:t>
      </w:r>
      <w:r w:rsidRPr="00170A1A">
        <w:rPr>
          <w:noProof/>
          <w:sz w:val="24"/>
          <w:szCs w:val="24"/>
          <w:lang w:val="ka-GE"/>
        </w:rPr>
        <w:t xml:space="preserve">ინდუსტრიზე, რამც განაპირობა </w:t>
      </w:r>
      <w:r w:rsidR="0009370D" w:rsidRPr="00170A1A">
        <w:rPr>
          <w:noProof/>
          <w:sz w:val="24"/>
          <w:szCs w:val="24"/>
          <w:lang w:val="ka-GE"/>
        </w:rPr>
        <w:t>ხარჯების მკვეთრ</w:t>
      </w:r>
      <w:r w:rsidRPr="00170A1A">
        <w:rPr>
          <w:noProof/>
          <w:sz w:val="24"/>
          <w:szCs w:val="24"/>
          <w:lang w:val="ka-GE"/>
        </w:rPr>
        <w:t>ი</w:t>
      </w:r>
      <w:r w:rsidR="0009370D" w:rsidRPr="00170A1A">
        <w:rPr>
          <w:noProof/>
          <w:sz w:val="24"/>
          <w:szCs w:val="24"/>
          <w:lang w:val="ka-GE"/>
        </w:rPr>
        <w:t xml:space="preserve"> </w:t>
      </w:r>
      <w:r w:rsidRPr="00170A1A">
        <w:rPr>
          <w:noProof/>
          <w:sz w:val="24"/>
          <w:szCs w:val="24"/>
          <w:lang w:val="ka-GE"/>
        </w:rPr>
        <w:t>ზრდაა</w:t>
      </w:r>
      <w:r w:rsidR="0009370D" w:rsidRPr="00170A1A">
        <w:rPr>
          <w:noProof/>
          <w:sz w:val="24"/>
          <w:szCs w:val="24"/>
          <w:lang w:val="ka-GE"/>
        </w:rPr>
        <w:t xml:space="preserve">. </w:t>
      </w:r>
      <w:r w:rsidRPr="00170A1A">
        <w:rPr>
          <w:noProof/>
          <w:sz w:val="24"/>
          <w:szCs w:val="24"/>
          <w:lang w:val="ka-GE"/>
        </w:rPr>
        <w:t xml:space="preserve">დღის წესრიგში დადგა </w:t>
      </w:r>
      <w:r w:rsidR="0009370D" w:rsidRPr="00170A1A">
        <w:rPr>
          <w:noProof/>
          <w:sz w:val="24"/>
          <w:szCs w:val="24"/>
          <w:lang w:val="ka-GE"/>
        </w:rPr>
        <w:t xml:space="preserve">იყო ენერგიის ალტერნატიული </w:t>
      </w:r>
      <w:r w:rsidRPr="00170A1A">
        <w:rPr>
          <w:noProof/>
          <w:sz w:val="24"/>
          <w:szCs w:val="24"/>
          <w:lang w:val="ka-GE"/>
        </w:rPr>
        <w:t>ფორმების მოძიების აუცილებლობა.</w:t>
      </w:r>
      <w:r w:rsidR="0009370D" w:rsidRPr="00170A1A">
        <w:rPr>
          <w:noProof/>
          <w:sz w:val="24"/>
          <w:szCs w:val="24"/>
          <w:lang w:val="ka-GE"/>
        </w:rPr>
        <w:t xml:space="preserve"> 1978 წელს კონგრესმა </w:t>
      </w:r>
      <w:r w:rsidRPr="00170A1A">
        <w:rPr>
          <w:noProof/>
          <w:sz w:val="24"/>
          <w:szCs w:val="24"/>
          <w:lang w:val="ka-GE"/>
        </w:rPr>
        <w:t>მიიღო</w:t>
      </w:r>
      <w:r w:rsidR="0009370D" w:rsidRPr="00170A1A">
        <w:rPr>
          <w:noProof/>
          <w:sz w:val="24"/>
          <w:szCs w:val="24"/>
          <w:lang w:val="ka-GE"/>
        </w:rPr>
        <w:t xml:space="preserve"> საზოგადოებრივი კომუნალური მარეგულირებელი პოლიტიკის აქტი (PURPA), </w:t>
      </w:r>
      <w:r w:rsidRPr="00170A1A">
        <w:rPr>
          <w:noProof/>
          <w:sz w:val="24"/>
          <w:szCs w:val="24"/>
          <w:lang w:val="ka-GE"/>
        </w:rPr>
        <w:t xml:space="preserve">რომელმაც დღის წესრიგში დააყენა </w:t>
      </w:r>
      <w:r w:rsidR="0009370D" w:rsidRPr="00170A1A">
        <w:rPr>
          <w:noProof/>
          <w:sz w:val="24"/>
          <w:szCs w:val="24"/>
          <w:lang w:val="ka-GE"/>
        </w:rPr>
        <w:t xml:space="preserve"> "განახლებადი" ენერგიის </w:t>
      </w:r>
      <w:r w:rsidRPr="00170A1A">
        <w:rPr>
          <w:noProof/>
          <w:sz w:val="24"/>
          <w:szCs w:val="24"/>
          <w:lang w:val="ka-GE"/>
        </w:rPr>
        <w:t>გამოყენება</w:t>
      </w:r>
      <w:r w:rsidR="0009370D" w:rsidRPr="00170A1A">
        <w:rPr>
          <w:noProof/>
          <w:sz w:val="24"/>
          <w:szCs w:val="24"/>
          <w:lang w:val="ka-GE"/>
        </w:rPr>
        <w:t xml:space="preserve">, რომელიც წარმოებულია ქარის, მზისა და სხვა წყაროებიდან. </w:t>
      </w:r>
      <w:r w:rsidR="00937C9A" w:rsidRPr="00170A1A">
        <w:rPr>
          <w:noProof/>
          <w:sz w:val="24"/>
          <w:szCs w:val="24"/>
          <w:lang w:val="ka-GE"/>
        </w:rPr>
        <w:t xml:space="preserve">მოგვიანებით </w:t>
      </w:r>
      <w:r w:rsidR="0009370D" w:rsidRPr="00170A1A">
        <w:rPr>
          <w:noProof/>
          <w:sz w:val="24"/>
          <w:szCs w:val="24"/>
          <w:lang w:val="ka-GE"/>
        </w:rPr>
        <w:t xml:space="preserve">ორივე </w:t>
      </w:r>
      <w:r w:rsidR="00937C9A" w:rsidRPr="00170A1A">
        <w:rPr>
          <w:noProof/>
          <w:sz w:val="24"/>
          <w:szCs w:val="24"/>
          <w:lang w:val="ka-GE"/>
        </w:rPr>
        <w:t xml:space="preserve">საკანონმდებლო აქტი </w:t>
      </w:r>
      <w:r w:rsidR="0009370D" w:rsidRPr="00170A1A">
        <w:rPr>
          <w:noProof/>
          <w:sz w:val="24"/>
          <w:szCs w:val="24"/>
          <w:lang w:val="ka-GE"/>
        </w:rPr>
        <w:t xml:space="preserve">PUHCA და PURPA </w:t>
      </w:r>
      <w:r w:rsidRPr="00170A1A">
        <w:rPr>
          <w:noProof/>
          <w:sz w:val="24"/>
          <w:szCs w:val="24"/>
          <w:lang w:val="ka-GE"/>
        </w:rPr>
        <w:t>განიხილულ იქნა</w:t>
      </w:r>
      <w:r w:rsidR="0009370D" w:rsidRPr="00170A1A">
        <w:rPr>
          <w:noProof/>
          <w:sz w:val="24"/>
          <w:szCs w:val="24"/>
          <w:lang w:val="ka-GE"/>
        </w:rPr>
        <w:t>, როგორც</w:t>
      </w:r>
      <w:r w:rsidRPr="00170A1A">
        <w:rPr>
          <w:noProof/>
          <w:sz w:val="24"/>
          <w:szCs w:val="24"/>
          <w:lang w:val="ka-GE"/>
        </w:rPr>
        <w:t xml:space="preserve"> ბარიერი</w:t>
      </w:r>
      <w:r w:rsidR="0009370D" w:rsidRPr="00170A1A">
        <w:rPr>
          <w:noProof/>
          <w:sz w:val="24"/>
          <w:szCs w:val="24"/>
          <w:lang w:val="ka-GE"/>
        </w:rPr>
        <w:t xml:space="preserve"> ეროვნული ელექტროენერგიის დერეგულირ</w:t>
      </w:r>
      <w:r w:rsidRPr="00170A1A">
        <w:rPr>
          <w:noProof/>
          <w:sz w:val="24"/>
          <w:szCs w:val="24"/>
          <w:lang w:val="ka-GE"/>
        </w:rPr>
        <w:t xml:space="preserve">ების პროცესის საქმეში. </w:t>
      </w:r>
    </w:p>
    <w:p w:rsidR="00EB7518" w:rsidRPr="00170A1A" w:rsidRDefault="00F961E6" w:rsidP="000941AA">
      <w:pPr>
        <w:spacing w:line="240" w:lineRule="auto"/>
        <w:ind w:firstLine="708"/>
        <w:jc w:val="both"/>
        <w:rPr>
          <w:noProof/>
          <w:sz w:val="24"/>
          <w:szCs w:val="24"/>
          <w:lang w:val="ka-GE"/>
        </w:rPr>
      </w:pPr>
      <w:r w:rsidRPr="00170A1A">
        <w:rPr>
          <w:noProof/>
          <w:sz w:val="24"/>
          <w:szCs w:val="24"/>
          <w:lang w:val="ka-GE"/>
        </w:rPr>
        <w:t>1990-იან წლებში</w:t>
      </w:r>
      <w:r w:rsidR="00DD22BC" w:rsidRPr="00170A1A">
        <w:rPr>
          <w:noProof/>
          <w:sz w:val="24"/>
          <w:szCs w:val="24"/>
          <w:lang w:val="en-US"/>
        </w:rPr>
        <w:t xml:space="preserve">, </w:t>
      </w:r>
      <w:r w:rsidR="00DD22BC" w:rsidRPr="00170A1A">
        <w:rPr>
          <w:noProof/>
          <w:sz w:val="24"/>
          <w:szCs w:val="24"/>
          <w:lang w:val="ka-GE"/>
        </w:rPr>
        <w:t>მზარდი მოთხოვნის ფონზე</w:t>
      </w:r>
      <w:r w:rsidRPr="00170A1A">
        <w:rPr>
          <w:noProof/>
          <w:sz w:val="24"/>
          <w:szCs w:val="24"/>
          <w:lang w:val="ka-GE"/>
        </w:rPr>
        <w:t xml:space="preserve"> </w:t>
      </w:r>
      <w:r w:rsidR="00DD22BC" w:rsidRPr="00170A1A">
        <w:rPr>
          <w:noProof/>
          <w:sz w:val="24"/>
          <w:szCs w:val="24"/>
          <w:lang w:val="ka-GE"/>
        </w:rPr>
        <w:t>კონგრესი და ფედერალურ მთავრობა იძულებული შიქმნა დეწყო დერეგულაციის პოლიტიკა  და გზა გაეხსნა კონკურენციისათვის</w:t>
      </w:r>
      <w:r w:rsidR="00FC4B5B" w:rsidRPr="00170A1A">
        <w:rPr>
          <w:noProof/>
          <w:sz w:val="24"/>
          <w:szCs w:val="24"/>
          <w:lang w:val="ka-GE"/>
        </w:rPr>
        <w:t xml:space="preserve"> </w:t>
      </w:r>
      <w:r w:rsidR="00DD22BC" w:rsidRPr="00170A1A">
        <w:rPr>
          <w:noProof/>
          <w:sz w:val="24"/>
          <w:szCs w:val="24"/>
          <w:lang w:val="ka-GE"/>
        </w:rPr>
        <w:t>ელექტროენერგიის ინდუსტრიაში</w:t>
      </w:r>
      <w:r w:rsidRPr="00170A1A">
        <w:rPr>
          <w:noProof/>
          <w:sz w:val="24"/>
          <w:szCs w:val="24"/>
          <w:lang w:val="ka-GE"/>
        </w:rPr>
        <w:t xml:space="preserve">. კონგრესმა 1992 წელს </w:t>
      </w:r>
      <w:r w:rsidR="00FC4B5B" w:rsidRPr="00170A1A">
        <w:rPr>
          <w:noProof/>
          <w:sz w:val="24"/>
          <w:szCs w:val="24"/>
          <w:lang w:val="ka-GE"/>
        </w:rPr>
        <w:t xml:space="preserve">ენერგეტიკის პოლიტიკის აქტის მეშვეობით </w:t>
      </w:r>
      <w:r w:rsidRPr="00170A1A">
        <w:rPr>
          <w:noProof/>
          <w:sz w:val="24"/>
          <w:szCs w:val="24"/>
          <w:lang w:val="ka-GE"/>
        </w:rPr>
        <w:t xml:space="preserve"> ელექტროენერგიის </w:t>
      </w:r>
      <w:r w:rsidR="00FC4B5B" w:rsidRPr="00170A1A">
        <w:rPr>
          <w:noProof/>
          <w:sz w:val="24"/>
          <w:szCs w:val="24"/>
          <w:lang w:val="ka-GE"/>
        </w:rPr>
        <w:t>მწარმოებლებს მიეცათ</w:t>
      </w:r>
      <w:r w:rsidRPr="00170A1A">
        <w:rPr>
          <w:noProof/>
          <w:sz w:val="24"/>
          <w:szCs w:val="24"/>
          <w:lang w:val="ka-GE"/>
        </w:rPr>
        <w:t xml:space="preserve"> </w:t>
      </w:r>
      <w:r w:rsidR="00FC4B5B" w:rsidRPr="00170A1A">
        <w:rPr>
          <w:noProof/>
          <w:sz w:val="24"/>
          <w:szCs w:val="24"/>
          <w:lang w:val="ka-GE"/>
        </w:rPr>
        <w:t xml:space="preserve">საშუალება შესულიყვნენ კონკურენციულ ბრძოლაში </w:t>
      </w:r>
      <w:r w:rsidRPr="00170A1A">
        <w:rPr>
          <w:noProof/>
          <w:sz w:val="24"/>
          <w:szCs w:val="24"/>
          <w:lang w:val="ka-GE"/>
        </w:rPr>
        <w:t>ელექტროენერგიის გაყიდვის</w:t>
      </w:r>
      <w:r w:rsidR="00FC4B5B" w:rsidRPr="00170A1A">
        <w:rPr>
          <w:noProof/>
          <w:sz w:val="24"/>
          <w:szCs w:val="24"/>
          <w:lang w:val="ka-GE"/>
        </w:rPr>
        <w:t xml:space="preserve"> ბაზარზე</w:t>
      </w:r>
      <w:r w:rsidRPr="00170A1A">
        <w:rPr>
          <w:noProof/>
          <w:sz w:val="24"/>
          <w:szCs w:val="24"/>
          <w:lang w:val="ka-GE"/>
        </w:rPr>
        <w:t>. ფედერალური ენერგეტიკული მარეგულირებელი კომისია</w:t>
      </w:r>
      <w:r w:rsidR="000471AC" w:rsidRPr="00170A1A">
        <w:rPr>
          <w:noProof/>
          <w:sz w:val="24"/>
          <w:szCs w:val="24"/>
          <w:lang w:val="ka-GE"/>
        </w:rPr>
        <w:t>მ</w:t>
      </w:r>
      <w:r w:rsidRPr="00170A1A">
        <w:rPr>
          <w:noProof/>
          <w:sz w:val="24"/>
          <w:szCs w:val="24"/>
          <w:lang w:val="ka-GE"/>
        </w:rPr>
        <w:t xml:space="preserve"> (FERC) </w:t>
      </w:r>
      <w:r w:rsidR="000471AC" w:rsidRPr="00170A1A">
        <w:rPr>
          <w:noProof/>
          <w:sz w:val="24"/>
          <w:szCs w:val="24"/>
          <w:lang w:val="ka-GE"/>
        </w:rPr>
        <w:t xml:space="preserve">1996 წელს </w:t>
      </w:r>
      <w:r w:rsidRPr="00170A1A">
        <w:rPr>
          <w:noProof/>
          <w:sz w:val="24"/>
          <w:szCs w:val="24"/>
          <w:lang w:val="ka-GE"/>
        </w:rPr>
        <w:t>გამოაქვეყნა</w:t>
      </w:r>
      <w:r w:rsidR="000471AC" w:rsidRPr="00170A1A">
        <w:rPr>
          <w:noProof/>
          <w:sz w:val="24"/>
          <w:szCs w:val="24"/>
          <w:lang w:val="ka-GE"/>
        </w:rPr>
        <w:t xml:space="preserve">, </w:t>
      </w:r>
      <w:r w:rsidRPr="00170A1A">
        <w:rPr>
          <w:noProof/>
          <w:sz w:val="24"/>
          <w:szCs w:val="24"/>
          <w:lang w:val="ka-GE"/>
        </w:rPr>
        <w:t xml:space="preserve">ერთ-ერთი ყველაზე ცნობილი </w:t>
      </w:r>
      <w:r w:rsidR="000471AC" w:rsidRPr="00170A1A">
        <w:rPr>
          <w:noProof/>
          <w:sz w:val="24"/>
          <w:szCs w:val="24"/>
          <w:lang w:val="ka-GE"/>
        </w:rPr>
        <w:t xml:space="preserve">888 </w:t>
      </w:r>
      <w:r w:rsidRPr="00170A1A">
        <w:rPr>
          <w:noProof/>
          <w:sz w:val="24"/>
          <w:szCs w:val="24"/>
          <w:lang w:val="ka-GE"/>
        </w:rPr>
        <w:t xml:space="preserve">ბრძანება.  </w:t>
      </w:r>
      <w:r w:rsidR="000471AC" w:rsidRPr="00170A1A">
        <w:rPr>
          <w:sz w:val="24"/>
          <w:szCs w:val="24"/>
          <w:lang w:val="ka-GE"/>
        </w:rPr>
        <w:t>888</w:t>
      </w:r>
      <w:r w:rsidR="000471AC" w:rsidRPr="00170A1A">
        <w:rPr>
          <w:sz w:val="24"/>
          <w:szCs w:val="24"/>
        </w:rPr>
        <w:t xml:space="preserve"> </w:t>
      </w:r>
      <w:r w:rsidR="00937C9A" w:rsidRPr="00170A1A">
        <w:rPr>
          <w:noProof/>
          <w:sz w:val="24"/>
          <w:szCs w:val="24"/>
          <w:lang w:val="ka-GE"/>
        </w:rPr>
        <w:t>ბრძანება</w:t>
      </w:r>
      <w:r w:rsidRPr="00170A1A">
        <w:rPr>
          <w:noProof/>
          <w:sz w:val="24"/>
          <w:szCs w:val="24"/>
          <w:lang w:val="ka-GE"/>
        </w:rPr>
        <w:t xml:space="preserve">, </w:t>
      </w:r>
      <w:r w:rsidR="000471AC" w:rsidRPr="00170A1A">
        <w:rPr>
          <w:noProof/>
          <w:sz w:val="24"/>
          <w:szCs w:val="24"/>
          <w:lang w:val="ka-GE"/>
        </w:rPr>
        <w:t xml:space="preserve">ავალდებულებდა სადისტრიბუციო კომპანიებს </w:t>
      </w:r>
      <w:r w:rsidRPr="00170A1A">
        <w:rPr>
          <w:noProof/>
          <w:sz w:val="24"/>
          <w:szCs w:val="24"/>
          <w:lang w:val="ka-GE"/>
        </w:rPr>
        <w:t xml:space="preserve">გადამცემი ხაზების გახსნა კონკურენტებისთვის. </w:t>
      </w:r>
      <w:r w:rsidR="00937C9A" w:rsidRPr="00170A1A">
        <w:rPr>
          <w:noProof/>
          <w:sz w:val="24"/>
          <w:szCs w:val="24"/>
          <w:lang w:val="ka-GE"/>
        </w:rPr>
        <w:t>მალევე,</w:t>
      </w:r>
      <w:r w:rsidR="00F07F30" w:rsidRPr="00170A1A">
        <w:rPr>
          <w:noProof/>
          <w:sz w:val="24"/>
          <w:szCs w:val="24"/>
          <w:lang w:val="ka-GE"/>
        </w:rPr>
        <w:t xml:space="preserve"> </w:t>
      </w:r>
      <w:r w:rsidR="00937C9A" w:rsidRPr="00170A1A">
        <w:rPr>
          <w:noProof/>
          <w:sz w:val="24"/>
          <w:szCs w:val="24"/>
          <w:lang w:val="ka-GE"/>
        </w:rPr>
        <w:t>888 ბრძანების გამოქვეყენბიდან,</w:t>
      </w:r>
      <w:r w:rsidR="00F07F30" w:rsidRPr="00170A1A">
        <w:rPr>
          <w:noProof/>
          <w:sz w:val="24"/>
          <w:szCs w:val="24"/>
          <w:lang w:val="ka-GE"/>
        </w:rPr>
        <w:t xml:space="preserve"> </w:t>
      </w:r>
      <w:r w:rsidR="0064582E" w:rsidRPr="00170A1A">
        <w:rPr>
          <w:noProof/>
          <w:sz w:val="24"/>
          <w:szCs w:val="24"/>
          <w:lang w:val="ka-GE"/>
        </w:rPr>
        <w:t xml:space="preserve">ახალ ჰემპშიერში </w:t>
      </w:r>
      <w:r w:rsidRPr="00170A1A">
        <w:rPr>
          <w:noProof/>
          <w:sz w:val="24"/>
          <w:szCs w:val="24"/>
          <w:lang w:val="ka-GE"/>
        </w:rPr>
        <w:t xml:space="preserve">დაიწყო საპილოტო პროგრამა, </w:t>
      </w:r>
      <w:r w:rsidR="0064582E" w:rsidRPr="00170A1A">
        <w:rPr>
          <w:noProof/>
          <w:sz w:val="24"/>
          <w:szCs w:val="24"/>
          <w:lang w:val="ka-GE"/>
        </w:rPr>
        <w:t xml:space="preserve">რომელმაც გზა </w:t>
      </w:r>
      <w:r w:rsidR="00937C9A" w:rsidRPr="00170A1A">
        <w:rPr>
          <w:noProof/>
          <w:sz w:val="24"/>
          <w:szCs w:val="24"/>
          <w:lang w:val="ka-GE"/>
        </w:rPr>
        <w:t>გაუხ</w:t>
      </w:r>
      <w:r w:rsidR="0064582E" w:rsidRPr="00170A1A">
        <w:rPr>
          <w:noProof/>
          <w:sz w:val="24"/>
          <w:szCs w:val="24"/>
          <w:lang w:val="ka-GE"/>
        </w:rPr>
        <w:t xml:space="preserve">სნა </w:t>
      </w:r>
      <w:r w:rsidRPr="00170A1A">
        <w:rPr>
          <w:noProof/>
          <w:sz w:val="24"/>
          <w:szCs w:val="24"/>
          <w:lang w:val="ka-GE"/>
        </w:rPr>
        <w:t>კონკურენციას</w:t>
      </w:r>
      <w:r w:rsidR="0064582E" w:rsidRPr="00170A1A">
        <w:rPr>
          <w:noProof/>
          <w:sz w:val="24"/>
          <w:szCs w:val="24"/>
          <w:lang w:val="ka-GE"/>
        </w:rPr>
        <w:t xml:space="preserve"> ელ</w:t>
      </w:r>
      <w:r w:rsidR="00CC6407">
        <w:rPr>
          <w:noProof/>
          <w:sz w:val="24"/>
          <w:szCs w:val="24"/>
          <w:lang w:val="ka-GE"/>
        </w:rPr>
        <w:t>-</w:t>
      </w:r>
      <w:r w:rsidR="0064582E" w:rsidRPr="00170A1A">
        <w:rPr>
          <w:noProof/>
          <w:sz w:val="24"/>
          <w:szCs w:val="24"/>
          <w:lang w:val="ka-GE"/>
        </w:rPr>
        <w:t>ენერგიის სფეროში, რამაც შემდგომ</w:t>
      </w:r>
      <w:r w:rsidR="00937C9A" w:rsidRPr="00170A1A">
        <w:rPr>
          <w:noProof/>
          <w:sz w:val="24"/>
          <w:szCs w:val="24"/>
          <w:lang w:val="ka-GE"/>
        </w:rPr>
        <w:t>შ</w:t>
      </w:r>
      <w:r w:rsidR="0064582E" w:rsidRPr="00170A1A">
        <w:rPr>
          <w:noProof/>
          <w:sz w:val="24"/>
          <w:szCs w:val="24"/>
          <w:lang w:val="ka-GE"/>
        </w:rPr>
        <w:t xml:space="preserve">ი გაგრძელება </w:t>
      </w:r>
      <w:r w:rsidR="005C359F">
        <w:rPr>
          <w:noProof/>
          <w:sz w:val="24"/>
          <w:szCs w:val="24"/>
          <w:lang w:val="ka-GE"/>
        </w:rPr>
        <w:t>ჰ</w:t>
      </w:r>
      <w:r w:rsidR="0064582E" w:rsidRPr="00170A1A">
        <w:rPr>
          <w:noProof/>
          <w:sz w:val="24"/>
          <w:szCs w:val="24"/>
          <w:lang w:val="ka-GE"/>
        </w:rPr>
        <w:t>პოვა</w:t>
      </w:r>
      <w:r w:rsidRPr="00170A1A">
        <w:rPr>
          <w:noProof/>
          <w:sz w:val="24"/>
          <w:szCs w:val="24"/>
          <w:lang w:val="ka-GE"/>
        </w:rPr>
        <w:t xml:space="preserve"> </w:t>
      </w:r>
      <w:r w:rsidR="0064582E" w:rsidRPr="00170A1A">
        <w:rPr>
          <w:noProof/>
          <w:sz w:val="24"/>
          <w:szCs w:val="24"/>
          <w:lang w:val="ka-GE"/>
        </w:rPr>
        <w:t>კალიფორნიის</w:t>
      </w:r>
      <w:r w:rsidRPr="00170A1A">
        <w:rPr>
          <w:noProof/>
          <w:sz w:val="24"/>
          <w:szCs w:val="24"/>
          <w:lang w:val="ka-GE"/>
        </w:rPr>
        <w:t xml:space="preserve">, </w:t>
      </w:r>
      <w:r w:rsidR="00332D80">
        <w:rPr>
          <w:noProof/>
          <w:sz w:val="24"/>
          <w:szCs w:val="24"/>
          <w:lang w:val="ka-GE"/>
        </w:rPr>
        <w:t>მასაჩუსეთ</w:t>
      </w:r>
      <w:r w:rsidRPr="00170A1A">
        <w:rPr>
          <w:noProof/>
          <w:sz w:val="24"/>
          <w:szCs w:val="24"/>
          <w:lang w:val="ka-GE"/>
        </w:rPr>
        <w:t>ი</w:t>
      </w:r>
      <w:r w:rsidR="0064582E" w:rsidRPr="00170A1A">
        <w:rPr>
          <w:noProof/>
          <w:sz w:val="24"/>
          <w:szCs w:val="24"/>
          <w:lang w:val="ka-GE"/>
        </w:rPr>
        <w:t>ს</w:t>
      </w:r>
      <w:r w:rsidRPr="00170A1A">
        <w:rPr>
          <w:noProof/>
          <w:sz w:val="24"/>
          <w:szCs w:val="24"/>
          <w:lang w:val="ka-GE"/>
        </w:rPr>
        <w:t xml:space="preserve">, </w:t>
      </w:r>
      <w:r w:rsidR="0064582E" w:rsidRPr="00170A1A">
        <w:rPr>
          <w:noProof/>
          <w:sz w:val="24"/>
          <w:szCs w:val="24"/>
          <w:lang w:val="ka-GE"/>
        </w:rPr>
        <w:t>პენსილვანი</w:t>
      </w:r>
      <w:r w:rsidR="003868BF">
        <w:rPr>
          <w:noProof/>
          <w:sz w:val="24"/>
          <w:szCs w:val="24"/>
          <w:lang w:val="ka-GE"/>
        </w:rPr>
        <w:t>ი</w:t>
      </w:r>
      <w:r w:rsidR="0064582E" w:rsidRPr="00170A1A">
        <w:rPr>
          <w:noProof/>
          <w:sz w:val="24"/>
          <w:szCs w:val="24"/>
          <w:lang w:val="ka-GE"/>
        </w:rPr>
        <w:t>ს</w:t>
      </w:r>
      <w:r w:rsidRPr="00170A1A">
        <w:rPr>
          <w:noProof/>
          <w:sz w:val="24"/>
          <w:szCs w:val="24"/>
          <w:lang w:val="ka-GE"/>
        </w:rPr>
        <w:t xml:space="preserve"> </w:t>
      </w:r>
      <w:r w:rsidR="00B46EF2" w:rsidRPr="00170A1A">
        <w:rPr>
          <w:noProof/>
          <w:sz w:val="24"/>
          <w:szCs w:val="24"/>
          <w:lang w:val="ka-GE"/>
        </w:rPr>
        <w:t xml:space="preserve">შტატებში. </w:t>
      </w:r>
      <w:r w:rsidRPr="00170A1A">
        <w:rPr>
          <w:noProof/>
          <w:sz w:val="24"/>
          <w:szCs w:val="24"/>
          <w:lang w:val="ka-GE"/>
        </w:rPr>
        <w:t xml:space="preserve">ამგვარი </w:t>
      </w:r>
      <w:r w:rsidR="00B46EF2" w:rsidRPr="00170A1A">
        <w:rPr>
          <w:noProof/>
          <w:sz w:val="24"/>
          <w:szCs w:val="24"/>
          <w:lang w:val="ka-GE"/>
        </w:rPr>
        <w:t xml:space="preserve">ქმედებებმა </w:t>
      </w:r>
      <w:r w:rsidRPr="00170A1A">
        <w:rPr>
          <w:noProof/>
          <w:sz w:val="24"/>
          <w:szCs w:val="24"/>
          <w:lang w:val="ka-GE"/>
        </w:rPr>
        <w:t xml:space="preserve"> </w:t>
      </w:r>
      <w:r w:rsidR="00B46EF2" w:rsidRPr="00170A1A">
        <w:rPr>
          <w:noProof/>
          <w:sz w:val="24"/>
          <w:szCs w:val="24"/>
          <w:lang w:val="ka-GE"/>
        </w:rPr>
        <w:t xml:space="preserve">დააჩქარა სახელმწიფო დონეზე </w:t>
      </w:r>
      <w:r w:rsidRPr="00170A1A">
        <w:rPr>
          <w:noProof/>
          <w:sz w:val="24"/>
          <w:szCs w:val="24"/>
          <w:lang w:val="ka-GE"/>
        </w:rPr>
        <w:t xml:space="preserve"> ეროვნული დერეგულირების </w:t>
      </w:r>
      <w:r w:rsidR="00B46EF2" w:rsidRPr="00170A1A">
        <w:rPr>
          <w:noProof/>
          <w:sz w:val="24"/>
          <w:szCs w:val="24"/>
          <w:lang w:val="ka-GE"/>
        </w:rPr>
        <w:t xml:space="preserve">გეგმის შეიმუშავება. </w:t>
      </w:r>
    </w:p>
    <w:p w:rsidR="00EB7518" w:rsidRPr="00170A1A" w:rsidRDefault="00AB6DE8" w:rsidP="000941AA">
      <w:pPr>
        <w:spacing w:line="240" w:lineRule="auto"/>
        <w:ind w:firstLine="708"/>
        <w:jc w:val="both"/>
        <w:rPr>
          <w:noProof/>
          <w:sz w:val="24"/>
          <w:szCs w:val="24"/>
          <w:lang w:val="ka-GE"/>
        </w:rPr>
      </w:pPr>
      <w:r w:rsidRPr="00170A1A">
        <w:rPr>
          <w:noProof/>
          <w:sz w:val="24"/>
          <w:szCs w:val="24"/>
          <w:lang w:val="ka-GE"/>
        </w:rPr>
        <w:t xml:space="preserve">ეროვნული </w:t>
      </w:r>
      <w:r w:rsidRPr="00170A1A">
        <w:rPr>
          <w:noProof/>
          <w:sz w:val="24"/>
          <w:szCs w:val="24"/>
          <w:lang w:val="en-US"/>
        </w:rPr>
        <w:t>ენერგოსისტემი</w:t>
      </w:r>
      <w:r w:rsidR="00C93B31">
        <w:rPr>
          <w:noProof/>
          <w:sz w:val="24"/>
          <w:szCs w:val="24"/>
          <w:lang w:val="ka-GE"/>
        </w:rPr>
        <w:t>ს</w:t>
      </w:r>
      <w:r w:rsidRPr="00170A1A">
        <w:rPr>
          <w:noProof/>
          <w:sz w:val="24"/>
          <w:szCs w:val="24"/>
          <w:lang w:val="en-US"/>
        </w:rPr>
        <w:t xml:space="preserve"> დერეგულირების შესახებ საუბრები უფრო გამძაფრდა </w:t>
      </w:r>
      <w:r w:rsidR="007A6BE6" w:rsidRPr="00170A1A">
        <w:rPr>
          <w:noProof/>
          <w:sz w:val="24"/>
          <w:szCs w:val="24"/>
          <w:lang w:val="ka-GE"/>
        </w:rPr>
        <w:t>1</w:t>
      </w:r>
      <w:r w:rsidR="007A6BE6" w:rsidRPr="00170A1A">
        <w:rPr>
          <w:noProof/>
          <w:sz w:val="24"/>
          <w:szCs w:val="24"/>
          <w:lang w:val="en-US"/>
        </w:rPr>
        <w:t>990-იან წლებში</w:t>
      </w:r>
      <w:r w:rsidR="009153B3" w:rsidRPr="00170A1A">
        <w:rPr>
          <w:noProof/>
          <w:sz w:val="24"/>
          <w:szCs w:val="24"/>
          <w:lang w:val="ka-GE"/>
        </w:rPr>
        <w:t>.</w:t>
      </w:r>
      <w:r w:rsidR="007A6BE6" w:rsidRPr="00170A1A">
        <w:rPr>
          <w:noProof/>
          <w:sz w:val="24"/>
          <w:szCs w:val="24"/>
          <w:lang w:val="en-US"/>
        </w:rPr>
        <w:t xml:space="preserve"> გასაკვირი არ არის</w:t>
      </w:r>
      <w:r w:rsidRPr="00170A1A">
        <w:rPr>
          <w:noProof/>
          <w:sz w:val="24"/>
          <w:szCs w:val="24"/>
          <w:lang w:val="ka-GE"/>
        </w:rPr>
        <w:t>,</w:t>
      </w:r>
      <w:r w:rsidR="007A6BE6" w:rsidRPr="00170A1A">
        <w:rPr>
          <w:noProof/>
          <w:sz w:val="24"/>
          <w:szCs w:val="24"/>
          <w:lang w:val="en-US"/>
        </w:rPr>
        <w:t xml:space="preserve"> </w:t>
      </w:r>
      <w:r w:rsidRPr="00170A1A">
        <w:rPr>
          <w:noProof/>
          <w:sz w:val="24"/>
          <w:szCs w:val="24"/>
          <w:lang w:val="ka-GE"/>
        </w:rPr>
        <w:t xml:space="preserve">რომ ენერგო სისტემაში ჩართულმა კომპანიებმა პოლიტიკური კონტრიბუციები მნიშვნელოვნად გაზარდეს </w:t>
      </w:r>
      <w:r w:rsidR="007A6BE6" w:rsidRPr="00170A1A">
        <w:rPr>
          <w:noProof/>
          <w:sz w:val="24"/>
          <w:szCs w:val="24"/>
          <w:lang w:val="en-US"/>
        </w:rPr>
        <w:t xml:space="preserve">პოლიტიკური პარტიების </w:t>
      </w:r>
      <w:r w:rsidR="007A6BE6" w:rsidRPr="00170A1A">
        <w:rPr>
          <w:noProof/>
          <w:sz w:val="24"/>
          <w:szCs w:val="24"/>
          <w:lang w:val="ka-GE"/>
        </w:rPr>
        <w:t>და</w:t>
      </w:r>
      <w:r w:rsidR="007A6BE6" w:rsidRPr="00170A1A">
        <w:rPr>
          <w:noProof/>
          <w:sz w:val="24"/>
          <w:szCs w:val="24"/>
          <w:lang w:val="en-US"/>
        </w:rPr>
        <w:t xml:space="preserve"> კანდიდატებისა </w:t>
      </w:r>
      <w:r w:rsidR="007A6BE6" w:rsidRPr="00170A1A">
        <w:rPr>
          <w:noProof/>
          <w:sz w:val="24"/>
          <w:szCs w:val="24"/>
          <w:lang w:val="ka-GE"/>
        </w:rPr>
        <w:t>დაინტერესება და ჩართულობა დერეგულირების საქმეში</w:t>
      </w:r>
      <w:r w:rsidR="009153B3" w:rsidRPr="00170A1A">
        <w:rPr>
          <w:noProof/>
          <w:sz w:val="24"/>
          <w:szCs w:val="24"/>
          <w:lang w:val="ka-GE"/>
        </w:rPr>
        <w:t xml:space="preserve">. </w:t>
      </w:r>
      <w:r w:rsidR="007A6BE6" w:rsidRPr="00170A1A">
        <w:rPr>
          <w:noProof/>
          <w:sz w:val="24"/>
          <w:szCs w:val="24"/>
          <w:lang w:val="en-US"/>
        </w:rPr>
        <w:t xml:space="preserve">1992 წელს </w:t>
      </w:r>
      <w:r w:rsidR="00FD0FDF" w:rsidRPr="00170A1A">
        <w:rPr>
          <w:noProof/>
          <w:sz w:val="24"/>
          <w:szCs w:val="24"/>
          <w:lang w:val="ka-GE"/>
        </w:rPr>
        <w:t>კომუნალურმა სამსახურ</w:t>
      </w:r>
      <w:r w:rsidR="003A200F" w:rsidRPr="00170A1A">
        <w:rPr>
          <w:noProof/>
          <w:sz w:val="24"/>
          <w:szCs w:val="24"/>
          <w:lang w:val="ka-GE"/>
        </w:rPr>
        <w:t>ე</w:t>
      </w:r>
      <w:r w:rsidR="00FD0FDF" w:rsidRPr="00170A1A">
        <w:rPr>
          <w:noProof/>
          <w:sz w:val="24"/>
          <w:szCs w:val="24"/>
          <w:lang w:val="ka-GE"/>
        </w:rPr>
        <w:t xml:space="preserve">ბმა </w:t>
      </w:r>
      <w:r w:rsidR="003A200F" w:rsidRPr="00170A1A">
        <w:rPr>
          <w:noProof/>
          <w:sz w:val="24"/>
          <w:szCs w:val="24"/>
          <w:lang w:val="ka-GE"/>
        </w:rPr>
        <w:t xml:space="preserve">განახორციელეს 5,4 მილიონის დოლარის </w:t>
      </w:r>
      <w:r w:rsidR="00FD0FDF" w:rsidRPr="00170A1A">
        <w:rPr>
          <w:noProof/>
          <w:sz w:val="24"/>
          <w:szCs w:val="24"/>
          <w:lang w:val="ka-GE"/>
        </w:rPr>
        <w:t xml:space="preserve"> </w:t>
      </w:r>
      <w:r w:rsidR="003A200F" w:rsidRPr="00170A1A">
        <w:rPr>
          <w:noProof/>
          <w:sz w:val="24"/>
          <w:szCs w:val="24"/>
          <w:lang w:val="ka-GE"/>
        </w:rPr>
        <w:t>ინდივინდუალური შეწირვები, წინას</w:t>
      </w:r>
      <w:r w:rsidR="003F593B">
        <w:rPr>
          <w:noProof/>
          <w:sz w:val="24"/>
          <w:szCs w:val="24"/>
          <w:lang w:val="ka-GE"/>
        </w:rPr>
        <w:t>ა</w:t>
      </w:r>
      <w:r w:rsidR="003A200F" w:rsidRPr="00170A1A">
        <w:rPr>
          <w:noProof/>
          <w:sz w:val="24"/>
          <w:szCs w:val="24"/>
          <w:lang w:val="ka-GE"/>
        </w:rPr>
        <w:t>არჩ</w:t>
      </w:r>
      <w:r w:rsidR="003F593B" w:rsidRPr="00170A1A">
        <w:rPr>
          <w:noProof/>
          <w:sz w:val="24"/>
          <w:szCs w:val="24"/>
          <w:lang w:val="ka-GE"/>
        </w:rPr>
        <w:t>ე</w:t>
      </w:r>
      <w:r w:rsidR="003A200F" w:rsidRPr="00170A1A">
        <w:rPr>
          <w:noProof/>
          <w:sz w:val="24"/>
          <w:szCs w:val="24"/>
          <w:lang w:val="ka-GE"/>
        </w:rPr>
        <w:t xml:space="preserve">ვნო პოლიტიკური საქმიანობის კომიტეტებში.  </w:t>
      </w:r>
      <w:r w:rsidR="007A6BE6" w:rsidRPr="00170A1A">
        <w:rPr>
          <w:noProof/>
          <w:sz w:val="24"/>
          <w:szCs w:val="24"/>
          <w:lang w:val="en-US"/>
        </w:rPr>
        <w:t xml:space="preserve">1996 </w:t>
      </w:r>
      <w:r w:rsidR="003A200F" w:rsidRPr="00170A1A">
        <w:rPr>
          <w:noProof/>
          <w:sz w:val="24"/>
          <w:szCs w:val="24"/>
          <w:lang w:val="en-US"/>
        </w:rPr>
        <w:t xml:space="preserve">წელს </w:t>
      </w:r>
      <w:r w:rsidR="003A200F" w:rsidRPr="00170A1A">
        <w:rPr>
          <w:noProof/>
          <w:sz w:val="24"/>
          <w:szCs w:val="24"/>
          <w:lang w:val="ka-GE"/>
        </w:rPr>
        <w:t>წინასარჩვენო</w:t>
      </w:r>
      <w:r w:rsidR="00331143" w:rsidRPr="00170A1A">
        <w:rPr>
          <w:noProof/>
          <w:sz w:val="24"/>
          <w:szCs w:val="24"/>
          <w:lang w:val="ka-GE"/>
        </w:rPr>
        <w:t xml:space="preserve"> პერიოდში დემოკრატების და რესპუბლიკური პარტიების</w:t>
      </w:r>
      <w:r w:rsidR="003A200F" w:rsidRPr="00170A1A">
        <w:rPr>
          <w:noProof/>
          <w:sz w:val="24"/>
          <w:szCs w:val="24"/>
          <w:lang w:val="ka-GE"/>
        </w:rPr>
        <w:t xml:space="preserve"> პოლიტიკური საქმიანობის კომიტეტებში </w:t>
      </w:r>
      <w:r w:rsidR="007A6BE6" w:rsidRPr="00170A1A">
        <w:rPr>
          <w:noProof/>
          <w:sz w:val="24"/>
          <w:szCs w:val="24"/>
          <w:lang w:val="en-US"/>
        </w:rPr>
        <w:t xml:space="preserve">ფულადი შემოწირულობა </w:t>
      </w:r>
      <w:r w:rsidR="003A200F" w:rsidRPr="00170A1A">
        <w:rPr>
          <w:noProof/>
          <w:sz w:val="24"/>
          <w:szCs w:val="24"/>
          <w:lang w:val="ka-GE"/>
        </w:rPr>
        <w:t xml:space="preserve"> 9,6 მილიონ</w:t>
      </w:r>
      <w:r w:rsidR="00331143" w:rsidRPr="00170A1A">
        <w:rPr>
          <w:noProof/>
          <w:sz w:val="24"/>
          <w:szCs w:val="24"/>
          <w:lang w:val="ka-GE"/>
        </w:rPr>
        <w:t xml:space="preserve"> </w:t>
      </w:r>
      <w:r w:rsidR="003A200F" w:rsidRPr="00170A1A">
        <w:rPr>
          <w:noProof/>
          <w:sz w:val="24"/>
          <w:szCs w:val="24"/>
          <w:lang w:val="ka-GE"/>
        </w:rPr>
        <w:t>დოლარამდე</w:t>
      </w:r>
      <w:r w:rsidR="00331143" w:rsidRPr="00170A1A">
        <w:rPr>
          <w:noProof/>
          <w:sz w:val="24"/>
          <w:szCs w:val="24"/>
          <w:lang w:val="ka-GE"/>
        </w:rPr>
        <w:t xml:space="preserve"> გაიზარდა</w:t>
      </w:r>
      <w:r w:rsidR="003A200F" w:rsidRPr="00170A1A">
        <w:rPr>
          <w:noProof/>
          <w:sz w:val="24"/>
          <w:szCs w:val="24"/>
          <w:lang w:val="ka-GE"/>
        </w:rPr>
        <w:t xml:space="preserve">. ეს </w:t>
      </w:r>
      <w:r w:rsidR="00331143" w:rsidRPr="00170A1A">
        <w:rPr>
          <w:noProof/>
          <w:sz w:val="24"/>
          <w:szCs w:val="24"/>
          <w:lang w:val="ka-GE"/>
        </w:rPr>
        <w:t>თა</w:t>
      </w:r>
      <w:r w:rsidR="003A200F" w:rsidRPr="00170A1A">
        <w:rPr>
          <w:noProof/>
          <w:sz w:val="24"/>
          <w:szCs w:val="24"/>
          <w:lang w:val="ka-GE"/>
        </w:rPr>
        <w:t xml:space="preserve">ნხა კიდევე ერთხელ გაორმაგადა 2000 საარჩევნო ციკლის დროს. </w:t>
      </w:r>
    </w:p>
    <w:p w:rsidR="00EB7518" w:rsidRPr="00170A1A" w:rsidRDefault="008F0DAC" w:rsidP="000941AA">
      <w:pPr>
        <w:spacing w:line="240" w:lineRule="auto"/>
        <w:ind w:firstLine="708"/>
        <w:jc w:val="both"/>
        <w:rPr>
          <w:noProof/>
          <w:sz w:val="24"/>
          <w:szCs w:val="24"/>
          <w:lang w:val="ka-GE"/>
        </w:rPr>
      </w:pPr>
      <w:r w:rsidRPr="00170A1A">
        <w:rPr>
          <w:noProof/>
          <w:sz w:val="24"/>
          <w:szCs w:val="24"/>
          <w:lang w:val="ka-GE"/>
        </w:rPr>
        <w:t>როგორც ჩანს, ელექტროენერგეტიკის სფეროში მოქმედი ყველა მსხვილი ჯგუფი მიმართვას ფინანსებს პოლიტიკური პარტიების დაფინანესების საქმიანობაშ</w:t>
      </w:r>
      <w:r w:rsidR="00FB5ACD" w:rsidRPr="00170A1A">
        <w:rPr>
          <w:noProof/>
          <w:sz w:val="24"/>
          <w:szCs w:val="24"/>
          <w:lang w:val="ka-GE"/>
        </w:rPr>
        <w:t>ი</w:t>
      </w:r>
      <w:r w:rsidRPr="00170A1A">
        <w:rPr>
          <w:noProof/>
          <w:sz w:val="24"/>
          <w:szCs w:val="24"/>
          <w:lang w:val="ka-GE"/>
        </w:rPr>
        <w:t xml:space="preserve">.  სინამდვილეში, </w:t>
      </w:r>
      <w:r w:rsidR="00FB5ACD" w:rsidRPr="00170A1A">
        <w:rPr>
          <w:noProof/>
          <w:sz w:val="24"/>
          <w:szCs w:val="24"/>
          <w:lang w:val="ka-GE"/>
        </w:rPr>
        <w:t xml:space="preserve">ზოგიერთი დამკვირვებელი ირწმუნება, რომ </w:t>
      </w:r>
      <w:r w:rsidRPr="00170A1A">
        <w:rPr>
          <w:noProof/>
          <w:sz w:val="24"/>
          <w:szCs w:val="24"/>
          <w:lang w:val="ka-GE"/>
        </w:rPr>
        <w:t xml:space="preserve">არსებობს იმდენი ფული, რომ  </w:t>
      </w:r>
      <w:r w:rsidR="00FB5ACD" w:rsidRPr="00170A1A">
        <w:rPr>
          <w:noProof/>
          <w:sz w:val="24"/>
          <w:szCs w:val="24"/>
          <w:lang w:val="ka-GE"/>
        </w:rPr>
        <w:t xml:space="preserve">კონგრესმა </w:t>
      </w:r>
      <w:r w:rsidRPr="00170A1A">
        <w:rPr>
          <w:noProof/>
          <w:sz w:val="24"/>
          <w:szCs w:val="24"/>
          <w:lang w:val="ka-GE"/>
        </w:rPr>
        <w:t xml:space="preserve"> </w:t>
      </w:r>
      <w:r w:rsidR="00FB5ACD" w:rsidRPr="00170A1A">
        <w:rPr>
          <w:noProof/>
          <w:sz w:val="24"/>
          <w:szCs w:val="24"/>
          <w:lang w:val="ka-GE"/>
        </w:rPr>
        <w:t xml:space="preserve"> </w:t>
      </w:r>
      <w:r w:rsidRPr="00170A1A">
        <w:rPr>
          <w:noProof/>
          <w:sz w:val="24"/>
          <w:szCs w:val="24"/>
          <w:lang w:val="ka-GE"/>
        </w:rPr>
        <w:t xml:space="preserve">სწრაფად </w:t>
      </w:r>
      <w:r w:rsidR="00FB5ACD" w:rsidRPr="00170A1A">
        <w:rPr>
          <w:noProof/>
          <w:sz w:val="24"/>
          <w:szCs w:val="24"/>
          <w:lang w:val="ka-GE"/>
        </w:rPr>
        <w:t xml:space="preserve">უნდა გადწყვიტოს ეს საკითხი. </w:t>
      </w:r>
      <w:r w:rsidRPr="00170A1A">
        <w:rPr>
          <w:noProof/>
          <w:sz w:val="24"/>
          <w:szCs w:val="24"/>
          <w:lang w:val="ka-GE"/>
        </w:rPr>
        <w:t xml:space="preserve">ლობისტებიც იღებენ ამ </w:t>
      </w:r>
      <w:r w:rsidR="00FB5ACD" w:rsidRPr="00170A1A">
        <w:rPr>
          <w:noProof/>
          <w:sz w:val="24"/>
          <w:szCs w:val="24"/>
          <w:lang w:val="ka-GE"/>
        </w:rPr>
        <w:t>საკითხით სარგებელს.</w:t>
      </w:r>
      <w:r w:rsidRPr="00170A1A">
        <w:rPr>
          <w:noProof/>
          <w:sz w:val="24"/>
          <w:szCs w:val="24"/>
          <w:lang w:val="ka-GE"/>
        </w:rPr>
        <w:t xml:space="preserve"> ერთი ლობისტიც კი მას "ორი ლექს</w:t>
      </w:r>
      <w:r w:rsidR="00FB5ACD" w:rsidRPr="00170A1A">
        <w:rPr>
          <w:noProof/>
          <w:sz w:val="24"/>
          <w:szCs w:val="24"/>
          <w:lang w:val="ka-GE"/>
        </w:rPr>
        <w:t>უ</w:t>
      </w:r>
      <w:r w:rsidRPr="00170A1A">
        <w:rPr>
          <w:noProof/>
          <w:sz w:val="24"/>
          <w:szCs w:val="24"/>
          <w:lang w:val="ka-GE"/>
        </w:rPr>
        <w:t>ის" კანონპროექტს უწოდებს.</w:t>
      </w:r>
    </w:p>
    <w:p w:rsidR="00EB7518" w:rsidRPr="00170A1A" w:rsidRDefault="00FB5ACD" w:rsidP="000941AA">
      <w:pPr>
        <w:spacing w:line="240" w:lineRule="auto"/>
        <w:ind w:firstLine="708"/>
        <w:jc w:val="both"/>
        <w:rPr>
          <w:noProof/>
          <w:sz w:val="24"/>
          <w:szCs w:val="24"/>
          <w:lang w:val="ka-GE"/>
        </w:rPr>
      </w:pPr>
      <w:r w:rsidRPr="00170A1A">
        <w:rPr>
          <w:sz w:val="24"/>
          <w:szCs w:val="24"/>
        </w:rPr>
        <w:t xml:space="preserve">ამ საკითხში უდავო ლობისტური ლიდერია </w:t>
      </w:r>
      <w:r w:rsidRPr="00170A1A">
        <w:rPr>
          <w:sz w:val="24"/>
          <w:szCs w:val="24"/>
          <w:lang w:val="ka-GE"/>
        </w:rPr>
        <w:t>„</w:t>
      </w:r>
      <w:r w:rsidRPr="00170A1A">
        <w:rPr>
          <w:sz w:val="24"/>
          <w:szCs w:val="24"/>
        </w:rPr>
        <w:t xml:space="preserve">ედისონ ელექტრიკ </w:t>
      </w:r>
      <w:r w:rsidR="00F07F30" w:rsidRPr="00170A1A">
        <w:rPr>
          <w:sz w:val="24"/>
          <w:szCs w:val="24"/>
        </w:rPr>
        <w:t>ინსტიტუტი</w:t>
      </w:r>
      <w:r w:rsidRPr="00170A1A">
        <w:rPr>
          <w:sz w:val="24"/>
          <w:szCs w:val="24"/>
          <w:lang w:val="ka-GE"/>
        </w:rPr>
        <w:t>“</w:t>
      </w:r>
      <w:r w:rsidRPr="00170A1A">
        <w:rPr>
          <w:sz w:val="24"/>
          <w:szCs w:val="24"/>
        </w:rPr>
        <w:t xml:space="preserve">, რომელმაც დიდი ინვესტორების საკუთრებაში არსებული ელექტროკომპანიების </w:t>
      </w:r>
      <w:r w:rsidRPr="00170A1A">
        <w:rPr>
          <w:sz w:val="24"/>
          <w:szCs w:val="24"/>
        </w:rPr>
        <w:lastRenderedPageBreak/>
        <w:t xml:space="preserve">სახელით </w:t>
      </w:r>
      <w:r w:rsidRPr="00170A1A">
        <w:rPr>
          <w:sz w:val="24"/>
          <w:szCs w:val="24"/>
          <w:lang w:val="ka-GE"/>
        </w:rPr>
        <w:t xml:space="preserve">კონგრესში </w:t>
      </w:r>
      <w:r w:rsidRPr="00170A1A">
        <w:rPr>
          <w:sz w:val="24"/>
          <w:szCs w:val="24"/>
        </w:rPr>
        <w:t>ლობისტური</w:t>
      </w:r>
      <w:r w:rsidRPr="00170A1A">
        <w:rPr>
          <w:sz w:val="24"/>
          <w:szCs w:val="24"/>
          <w:lang w:val="ka-GE"/>
        </w:rPr>
        <w:t xml:space="preserve"> საქმიანობისათვის </w:t>
      </w:r>
      <w:r w:rsidRPr="00170A1A">
        <w:rPr>
          <w:sz w:val="24"/>
          <w:szCs w:val="24"/>
        </w:rPr>
        <w:t xml:space="preserve"> ათობით მილიონი დოლარი დახარჯა</w:t>
      </w:r>
      <w:r w:rsidRPr="00170A1A">
        <w:rPr>
          <w:sz w:val="24"/>
          <w:szCs w:val="24"/>
          <w:lang w:val="ka-GE"/>
        </w:rPr>
        <w:t xml:space="preserve">. </w:t>
      </w:r>
      <w:r w:rsidRPr="00170A1A">
        <w:rPr>
          <w:sz w:val="24"/>
          <w:szCs w:val="24"/>
        </w:rPr>
        <w:t xml:space="preserve"> სხვა ტიპის ელექტრული კომპანიებიც </w:t>
      </w:r>
      <w:r w:rsidRPr="00170A1A">
        <w:rPr>
          <w:sz w:val="24"/>
          <w:szCs w:val="24"/>
          <w:lang w:val="ka-GE"/>
        </w:rPr>
        <w:t xml:space="preserve">არ </w:t>
      </w:r>
      <w:r w:rsidR="009153B3" w:rsidRPr="00170A1A">
        <w:rPr>
          <w:sz w:val="24"/>
          <w:szCs w:val="24"/>
          <w:lang w:val="ka-GE"/>
        </w:rPr>
        <w:t>იშ</w:t>
      </w:r>
      <w:r w:rsidRPr="00170A1A">
        <w:rPr>
          <w:sz w:val="24"/>
          <w:szCs w:val="24"/>
          <w:lang w:val="ka-GE"/>
        </w:rPr>
        <w:t>ურებენ ფულს ლობისტური საქმიანაობისათვ</w:t>
      </w:r>
      <w:r w:rsidR="001E01DC">
        <w:rPr>
          <w:sz w:val="24"/>
          <w:szCs w:val="24"/>
          <w:lang w:val="ka-GE"/>
        </w:rPr>
        <w:t>ი</w:t>
      </w:r>
      <w:r w:rsidRPr="00170A1A">
        <w:rPr>
          <w:sz w:val="24"/>
          <w:szCs w:val="24"/>
          <w:lang w:val="ka-GE"/>
        </w:rPr>
        <w:t xml:space="preserve">ს. </w:t>
      </w:r>
      <w:r w:rsidRPr="00170A1A">
        <w:rPr>
          <w:sz w:val="24"/>
          <w:szCs w:val="24"/>
        </w:rPr>
        <w:t>არიან სოფლის ელექტრული კოოპერატივები</w:t>
      </w:r>
      <w:r w:rsidR="001E01DC">
        <w:rPr>
          <w:sz w:val="24"/>
          <w:szCs w:val="24"/>
          <w:lang w:val="ka-GE"/>
        </w:rPr>
        <w:t>,</w:t>
      </w:r>
      <w:r w:rsidRPr="00170A1A">
        <w:rPr>
          <w:sz w:val="24"/>
          <w:szCs w:val="24"/>
        </w:rPr>
        <w:t xml:space="preserve"> </w:t>
      </w:r>
      <w:r w:rsidR="00C36704" w:rsidRPr="00170A1A">
        <w:rPr>
          <w:sz w:val="24"/>
          <w:szCs w:val="24"/>
          <w:lang w:val="ka-GE"/>
        </w:rPr>
        <w:t xml:space="preserve">რომელსაც </w:t>
      </w:r>
      <w:r w:rsidRPr="00170A1A">
        <w:rPr>
          <w:sz w:val="24"/>
          <w:szCs w:val="24"/>
          <w:lang w:val="ka-GE"/>
        </w:rPr>
        <w:t>სათავეში უდგას</w:t>
      </w:r>
      <w:r w:rsidRPr="00170A1A">
        <w:rPr>
          <w:sz w:val="24"/>
          <w:szCs w:val="24"/>
        </w:rPr>
        <w:t xml:space="preserve"> ეროვნული სოფლის ელექტრო კოოპერატივის </w:t>
      </w:r>
      <w:r w:rsidR="002A2D4B">
        <w:rPr>
          <w:sz w:val="24"/>
          <w:szCs w:val="24"/>
        </w:rPr>
        <w:t>ასოციაცი</w:t>
      </w:r>
      <w:r w:rsidRPr="00170A1A">
        <w:rPr>
          <w:sz w:val="24"/>
          <w:szCs w:val="24"/>
        </w:rPr>
        <w:t xml:space="preserve">ა </w:t>
      </w:r>
      <w:r w:rsidR="00C36704" w:rsidRPr="00170A1A">
        <w:rPr>
          <w:sz w:val="24"/>
          <w:szCs w:val="24"/>
          <w:lang w:val="ka-GE"/>
        </w:rPr>
        <w:t>მუდმ</w:t>
      </w:r>
      <w:r w:rsidR="002A2D4B">
        <w:rPr>
          <w:sz w:val="24"/>
          <w:szCs w:val="24"/>
          <w:lang w:val="ka-GE"/>
        </w:rPr>
        <w:t>ი</w:t>
      </w:r>
      <w:r w:rsidR="00C36704" w:rsidRPr="00170A1A">
        <w:rPr>
          <w:sz w:val="24"/>
          <w:szCs w:val="24"/>
          <w:lang w:val="ka-GE"/>
        </w:rPr>
        <w:t>ვად</w:t>
      </w:r>
      <w:r w:rsidRPr="00170A1A">
        <w:rPr>
          <w:sz w:val="24"/>
          <w:szCs w:val="24"/>
        </w:rPr>
        <w:t xml:space="preserve"> </w:t>
      </w:r>
      <w:r w:rsidR="00C36704" w:rsidRPr="00170A1A">
        <w:rPr>
          <w:sz w:val="24"/>
          <w:szCs w:val="24"/>
          <w:lang w:val="ka-GE"/>
        </w:rPr>
        <w:t xml:space="preserve">არის  პოლიტიკური პარტიების </w:t>
      </w:r>
      <w:r w:rsidRPr="00170A1A">
        <w:rPr>
          <w:sz w:val="24"/>
          <w:szCs w:val="24"/>
        </w:rPr>
        <w:t>10 ყველაზე მაღალ</w:t>
      </w:r>
      <w:r w:rsidR="00C36704" w:rsidRPr="00170A1A">
        <w:rPr>
          <w:sz w:val="24"/>
          <w:szCs w:val="24"/>
          <w:lang w:val="ka-GE"/>
        </w:rPr>
        <w:t>ი</w:t>
      </w:r>
      <w:r w:rsidRPr="00170A1A">
        <w:rPr>
          <w:sz w:val="24"/>
          <w:szCs w:val="24"/>
        </w:rPr>
        <w:t xml:space="preserve"> </w:t>
      </w:r>
      <w:r w:rsidR="00C36704" w:rsidRPr="00170A1A">
        <w:rPr>
          <w:sz w:val="24"/>
          <w:szCs w:val="24"/>
        </w:rPr>
        <w:t>დონი</w:t>
      </w:r>
      <w:r w:rsidRPr="00170A1A">
        <w:rPr>
          <w:sz w:val="24"/>
          <w:szCs w:val="24"/>
        </w:rPr>
        <w:t xml:space="preserve">ს </w:t>
      </w:r>
      <w:r w:rsidR="00C36704" w:rsidRPr="00170A1A">
        <w:rPr>
          <w:sz w:val="24"/>
          <w:szCs w:val="24"/>
          <w:lang w:val="ka-GE"/>
        </w:rPr>
        <w:t>კონტრიბუტორებს შორის</w:t>
      </w:r>
      <w:r w:rsidR="00EB7518" w:rsidRPr="00170A1A">
        <w:rPr>
          <w:sz w:val="24"/>
          <w:szCs w:val="24"/>
          <w:lang w:val="ka-GE"/>
        </w:rPr>
        <w:t>.</w:t>
      </w:r>
      <w:r w:rsidR="00C36704" w:rsidRPr="00170A1A">
        <w:rPr>
          <w:sz w:val="24"/>
          <w:szCs w:val="24"/>
          <w:lang w:val="ka-GE"/>
        </w:rPr>
        <w:t xml:space="preserve">  </w:t>
      </w:r>
    </w:p>
    <w:p w:rsidR="00EB7518" w:rsidRPr="00170A1A" w:rsidRDefault="00C36704" w:rsidP="000941AA">
      <w:pPr>
        <w:spacing w:line="240" w:lineRule="auto"/>
        <w:ind w:firstLine="708"/>
        <w:jc w:val="both"/>
        <w:rPr>
          <w:noProof/>
          <w:sz w:val="24"/>
          <w:szCs w:val="24"/>
          <w:lang w:val="ka-GE"/>
        </w:rPr>
      </w:pPr>
      <w:r w:rsidRPr="00170A1A">
        <w:rPr>
          <w:sz w:val="24"/>
          <w:szCs w:val="24"/>
          <w:lang w:val="ka-GE"/>
        </w:rPr>
        <w:t xml:space="preserve">მუნიციპალიტეტების </w:t>
      </w:r>
      <w:r w:rsidR="00FB5ACD" w:rsidRPr="00170A1A">
        <w:rPr>
          <w:sz w:val="24"/>
          <w:szCs w:val="24"/>
        </w:rPr>
        <w:t xml:space="preserve">და </w:t>
      </w:r>
      <w:r w:rsidRPr="00170A1A">
        <w:rPr>
          <w:sz w:val="24"/>
          <w:szCs w:val="24"/>
          <w:lang w:val="ka-GE"/>
        </w:rPr>
        <w:t>შტატების</w:t>
      </w:r>
      <w:r w:rsidR="00FB5ACD" w:rsidRPr="00170A1A">
        <w:rPr>
          <w:sz w:val="24"/>
          <w:szCs w:val="24"/>
        </w:rPr>
        <w:t xml:space="preserve"> კომუნალური კომპანიები, რომლებიც </w:t>
      </w:r>
      <w:r w:rsidR="002A2D4B">
        <w:rPr>
          <w:sz w:val="24"/>
          <w:szCs w:val="24"/>
          <w:lang w:val="ka-GE"/>
        </w:rPr>
        <w:t>წარმო</w:t>
      </w:r>
      <w:r w:rsidRPr="00170A1A">
        <w:rPr>
          <w:sz w:val="24"/>
          <w:szCs w:val="24"/>
          <w:lang w:val="ka-GE"/>
        </w:rPr>
        <w:t xml:space="preserve">დგენილი არიან </w:t>
      </w:r>
      <w:r w:rsidR="00FB5ACD" w:rsidRPr="00170A1A">
        <w:rPr>
          <w:sz w:val="24"/>
          <w:szCs w:val="24"/>
        </w:rPr>
        <w:t>ამერიკის სახელმწიფო</w:t>
      </w:r>
      <w:r w:rsidRPr="00170A1A">
        <w:rPr>
          <w:sz w:val="24"/>
          <w:szCs w:val="24"/>
        </w:rPr>
        <w:t xml:space="preserve">  ენერგეტიკულ</w:t>
      </w:r>
      <w:r w:rsidR="00216B07">
        <w:rPr>
          <w:sz w:val="24"/>
          <w:szCs w:val="24"/>
          <w:lang w:val="ka-GE"/>
        </w:rPr>
        <w:t>ი</w:t>
      </w:r>
      <w:r w:rsidRPr="00170A1A">
        <w:rPr>
          <w:sz w:val="24"/>
          <w:szCs w:val="24"/>
        </w:rPr>
        <w:t xml:space="preserve"> </w:t>
      </w:r>
      <w:r w:rsidRPr="00170A1A">
        <w:rPr>
          <w:sz w:val="24"/>
          <w:szCs w:val="24"/>
          <w:lang w:val="ka-GE"/>
        </w:rPr>
        <w:t xml:space="preserve">ასოციაციის მიერ </w:t>
      </w:r>
      <w:r w:rsidR="00FB5ACD" w:rsidRPr="00170A1A">
        <w:rPr>
          <w:sz w:val="24"/>
          <w:szCs w:val="24"/>
        </w:rPr>
        <w:t xml:space="preserve">- ასევე </w:t>
      </w:r>
      <w:r w:rsidRPr="00170A1A">
        <w:rPr>
          <w:sz w:val="24"/>
          <w:szCs w:val="24"/>
        </w:rPr>
        <w:t>აქტიურად</w:t>
      </w:r>
      <w:r w:rsidR="00FB5ACD" w:rsidRPr="00170A1A">
        <w:rPr>
          <w:sz w:val="24"/>
          <w:szCs w:val="24"/>
        </w:rPr>
        <w:t xml:space="preserve"> </w:t>
      </w:r>
      <w:r w:rsidRPr="00170A1A">
        <w:rPr>
          <w:sz w:val="24"/>
          <w:szCs w:val="24"/>
        </w:rPr>
        <w:t>ლობირებენ</w:t>
      </w:r>
      <w:r w:rsidRPr="00170A1A">
        <w:rPr>
          <w:sz w:val="24"/>
          <w:szCs w:val="24"/>
          <w:lang w:val="ka-GE"/>
        </w:rPr>
        <w:t xml:space="preserve"> </w:t>
      </w:r>
      <w:r w:rsidR="00FB5ACD" w:rsidRPr="00170A1A">
        <w:rPr>
          <w:sz w:val="24"/>
          <w:szCs w:val="24"/>
        </w:rPr>
        <w:t xml:space="preserve"> არჩეულ</w:t>
      </w:r>
      <w:r w:rsidRPr="00170A1A">
        <w:rPr>
          <w:sz w:val="24"/>
          <w:szCs w:val="24"/>
          <w:lang w:val="ka-GE"/>
        </w:rPr>
        <w:t>ი</w:t>
      </w:r>
      <w:r w:rsidR="00FB5ACD" w:rsidRPr="00170A1A">
        <w:rPr>
          <w:sz w:val="24"/>
          <w:szCs w:val="24"/>
        </w:rPr>
        <w:t xml:space="preserve"> თანამდებობის პ</w:t>
      </w:r>
      <w:r w:rsidRPr="00170A1A">
        <w:rPr>
          <w:sz w:val="24"/>
          <w:szCs w:val="24"/>
        </w:rPr>
        <w:t>ირებს</w:t>
      </w:r>
      <w:r w:rsidR="00FB5ACD" w:rsidRPr="00170A1A">
        <w:rPr>
          <w:sz w:val="24"/>
          <w:szCs w:val="24"/>
        </w:rPr>
        <w:t xml:space="preserve">, თუმცა გაცილებით </w:t>
      </w:r>
      <w:r w:rsidRPr="00170A1A">
        <w:rPr>
          <w:sz w:val="24"/>
          <w:szCs w:val="24"/>
        </w:rPr>
        <w:t>ნაკლებად</w:t>
      </w:r>
      <w:r w:rsidR="00FB5ACD" w:rsidRPr="00170A1A">
        <w:rPr>
          <w:sz w:val="24"/>
          <w:szCs w:val="24"/>
        </w:rPr>
        <w:t xml:space="preserve">, ვიდრე მდიდარი ინვესტორის საკუთრებაში არსებული </w:t>
      </w:r>
      <w:r w:rsidR="0027284E" w:rsidRPr="00170A1A">
        <w:rPr>
          <w:sz w:val="24"/>
          <w:szCs w:val="24"/>
          <w:lang w:val="ka-GE"/>
        </w:rPr>
        <w:t>კომპანიები.</w:t>
      </w:r>
    </w:p>
    <w:p w:rsidR="00EB7518" w:rsidRPr="00170A1A" w:rsidRDefault="00C1380B" w:rsidP="000941AA">
      <w:pPr>
        <w:spacing w:line="240" w:lineRule="auto"/>
        <w:ind w:firstLine="708"/>
        <w:jc w:val="both"/>
        <w:rPr>
          <w:noProof/>
          <w:sz w:val="24"/>
          <w:szCs w:val="24"/>
          <w:lang w:val="ka-GE"/>
        </w:rPr>
      </w:pPr>
      <w:r w:rsidRPr="00170A1A">
        <w:rPr>
          <w:sz w:val="24"/>
          <w:szCs w:val="24"/>
        </w:rPr>
        <w:t xml:space="preserve">შემდეგ </w:t>
      </w:r>
      <w:r w:rsidRPr="00170A1A">
        <w:rPr>
          <w:sz w:val="24"/>
          <w:szCs w:val="24"/>
          <w:lang w:val="ka-GE"/>
        </w:rPr>
        <w:t xml:space="preserve">არიან </w:t>
      </w:r>
      <w:r w:rsidRPr="00170A1A">
        <w:rPr>
          <w:sz w:val="24"/>
          <w:szCs w:val="24"/>
        </w:rPr>
        <w:t xml:space="preserve">რეკლამის დამკვეთები, როგორც ნებისმიერმა კონგრესის თანამშრომელმა ან ლობისტმა იცის, კონგრესის მიზნებისთვის გამოცემული პუბლიკაციები სავსეა კომპანიებისა და ჯგუფების რეკლამებით, რომლებიც </w:t>
      </w:r>
      <w:r w:rsidRPr="00170A1A">
        <w:rPr>
          <w:sz w:val="24"/>
          <w:szCs w:val="24"/>
          <w:lang w:val="ka-GE"/>
        </w:rPr>
        <w:t xml:space="preserve">ელექტროენერგეტიკის დერეგულირების </w:t>
      </w:r>
      <w:r w:rsidRPr="00170A1A">
        <w:rPr>
          <w:sz w:val="24"/>
          <w:szCs w:val="24"/>
        </w:rPr>
        <w:t xml:space="preserve">დებატებში </w:t>
      </w:r>
      <w:r w:rsidR="00E90A20" w:rsidRPr="00170A1A">
        <w:rPr>
          <w:sz w:val="24"/>
          <w:szCs w:val="24"/>
          <w:lang w:val="ka-GE"/>
        </w:rPr>
        <w:t xml:space="preserve">აფიქსირებენ </w:t>
      </w:r>
      <w:r w:rsidRPr="00170A1A">
        <w:rPr>
          <w:sz w:val="24"/>
          <w:szCs w:val="24"/>
          <w:lang w:val="ka-GE"/>
        </w:rPr>
        <w:t>პოზიციებს</w:t>
      </w:r>
      <w:r w:rsidR="00872C61" w:rsidRPr="00170A1A">
        <w:rPr>
          <w:sz w:val="24"/>
          <w:szCs w:val="24"/>
          <w:lang w:val="en-US"/>
        </w:rPr>
        <w:t>.</w:t>
      </w:r>
      <w:r w:rsidRPr="00170A1A">
        <w:rPr>
          <w:sz w:val="24"/>
          <w:szCs w:val="24"/>
          <w:lang w:val="ka-GE"/>
        </w:rPr>
        <w:t xml:space="preserve"> </w:t>
      </w:r>
      <w:r w:rsidRPr="00170A1A">
        <w:rPr>
          <w:sz w:val="24"/>
          <w:szCs w:val="24"/>
        </w:rPr>
        <w:t>ეს ჯგუფები მოიცავს</w:t>
      </w:r>
      <w:r w:rsidR="00E90A20" w:rsidRPr="00170A1A">
        <w:rPr>
          <w:sz w:val="24"/>
          <w:szCs w:val="24"/>
          <w:lang w:val="ka-GE"/>
        </w:rPr>
        <w:t>:</w:t>
      </w:r>
      <w:r w:rsidRPr="00170A1A">
        <w:rPr>
          <w:sz w:val="24"/>
          <w:szCs w:val="24"/>
        </w:rPr>
        <w:t xml:space="preserve"> ელექტროენერგიის ფართომასშტაბიანი მომხმარებლების კოალიციას</w:t>
      </w:r>
      <w:r w:rsidR="00E90A20" w:rsidRPr="00170A1A">
        <w:rPr>
          <w:sz w:val="24"/>
          <w:szCs w:val="24"/>
          <w:lang w:val="ka-GE"/>
        </w:rPr>
        <w:t xml:space="preserve">; </w:t>
      </w:r>
      <w:r w:rsidR="00E90A20" w:rsidRPr="00170A1A">
        <w:rPr>
          <w:sz w:val="24"/>
          <w:szCs w:val="24"/>
        </w:rPr>
        <w:t>ამერიკელები იაფი ელექტროენერგიის</w:t>
      </w:r>
      <w:r w:rsidR="00E90A20" w:rsidRPr="00170A1A">
        <w:rPr>
          <w:sz w:val="24"/>
          <w:szCs w:val="24"/>
          <w:lang w:val="ka-GE"/>
        </w:rPr>
        <w:t>თვის</w:t>
      </w:r>
      <w:r w:rsidR="00E90A20" w:rsidRPr="00170A1A">
        <w:rPr>
          <w:sz w:val="24"/>
          <w:szCs w:val="24"/>
        </w:rPr>
        <w:t>; მოქალაქეები სახელმწიფო ძალაუფლებისთვის</w:t>
      </w:r>
      <w:r w:rsidR="009153B3" w:rsidRPr="00170A1A">
        <w:rPr>
          <w:sz w:val="24"/>
          <w:szCs w:val="24"/>
          <w:lang w:val="ka-GE"/>
        </w:rPr>
        <w:t>;</w:t>
      </w:r>
      <w:r w:rsidR="00470A9B" w:rsidRPr="00170A1A">
        <w:rPr>
          <w:sz w:val="24"/>
          <w:szCs w:val="24"/>
          <w:lang w:val="ka-GE"/>
        </w:rPr>
        <w:t xml:space="preserve"> </w:t>
      </w:r>
      <w:r w:rsidR="00E90A20" w:rsidRPr="00170A1A">
        <w:rPr>
          <w:sz w:val="24"/>
          <w:szCs w:val="24"/>
          <w:lang w:val="ka-GE"/>
        </w:rPr>
        <w:t xml:space="preserve">კონსერვატორული </w:t>
      </w:r>
      <w:r w:rsidR="009153B3" w:rsidRPr="00170A1A">
        <w:rPr>
          <w:sz w:val="24"/>
          <w:szCs w:val="24"/>
          <w:lang w:val="ka-GE"/>
        </w:rPr>
        <w:t>კოალიცია,</w:t>
      </w:r>
      <w:r w:rsidR="00E90A20" w:rsidRPr="00170A1A">
        <w:rPr>
          <w:sz w:val="24"/>
          <w:szCs w:val="24"/>
          <w:lang w:val="ka-GE"/>
        </w:rPr>
        <w:t xml:space="preserve"> რომელსაც მხარს უჭერს ინვესტორების </w:t>
      </w:r>
      <w:r w:rsidR="00470A9B" w:rsidRPr="00170A1A">
        <w:rPr>
          <w:sz w:val="24"/>
          <w:szCs w:val="24"/>
        </w:rPr>
        <w:t>საკუთრებაში</w:t>
      </w:r>
      <w:r w:rsidR="00470A9B" w:rsidRPr="00170A1A">
        <w:rPr>
          <w:sz w:val="24"/>
          <w:szCs w:val="24"/>
          <w:lang w:val="ka-GE"/>
        </w:rPr>
        <w:t xml:space="preserve"> </w:t>
      </w:r>
      <w:r w:rsidR="00E90A20" w:rsidRPr="00170A1A">
        <w:rPr>
          <w:sz w:val="24"/>
          <w:szCs w:val="24"/>
          <w:lang w:val="ka-GE"/>
        </w:rPr>
        <w:t>არსებული ელექტრო კომპანიები</w:t>
      </w:r>
      <w:r w:rsidR="00470A9B" w:rsidRPr="00170A1A">
        <w:rPr>
          <w:sz w:val="24"/>
          <w:szCs w:val="24"/>
          <w:lang w:val="ka-GE"/>
        </w:rPr>
        <w:t xml:space="preserve"> </w:t>
      </w:r>
      <w:r w:rsidRPr="00170A1A">
        <w:rPr>
          <w:sz w:val="24"/>
          <w:szCs w:val="24"/>
        </w:rPr>
        <w:t>და ელექტრო კომუნალური აქციონერთა ალიანსი</w:t>
      </w:r>
      <w:r w:rsidR="00470A9B" w:rsidRPr="00170A1A">
        <w:rPr>
          <w:sz w:val="24"/>
          <w:szCs w:val="24"/>
        </w:rPr>
        <w:t xml:space="preserve"> - </w:t>
      </w:r>
      <w:r w:rsidRPr="00170A1A">
        <w:rPr>
          <w:sz w:val="24"/>
          <w:szCs w:val="24"/>
        </w:rPr>
        <w:t>კოოპერატივების კოალიცია</w:t>
      </w:r>
      <w:r w:rsidR="00470A9B" w:rsidRPr="00170A1A">
        <w:rPr>
          <w:sz w:val="24"/>
          <w:szCs w:val="24"/>
        </w:rPr>
        <w:t xml:space="preserve"> და </w:t>
      </w:r>
      <w:r w:rsidRPr="00170A1A">
        <w:rPr>
          <w:sz w:val="24"/>
          <w:szCs w:val="24"/>
        </w:rPr>
        <w:t>ინვესტორის საკუთრებაში არსებული კომუნალური</w:t>
      </w:r>
      <w:r w:rsidR="00470A9B" w:rsidRPr="00170A1A">
        <w:rPr>
          <w:sz w:val="24"/>
          <w:szCs w:val="24"/>
          <w:lang w:val="ka-GE"/>
        </w:rPr>
        <w:t xml:space="preserve"> სამსახურები.</w:t>
      </w:r>
    </w:p>
    <w:p w:rsidR="00EB7518" w:rsidRPr="00170A1A" w:rsidRDefault="00F330EB" w:rsidP="000941AA">
      <w:pPr>
        <w:spacing w:line="240" w:lineRule="auto"/>
        <w:ind w:firstLine="708"/>
        <w:jc w:val="both"/>
        <w:rPr>
          <w:noProof/>
          <w:sz w:val="24"/>
          <w:szCs w:val="24"/>
          <w:lang w:val="ka-GE"/>
        </w:rPr>
      </w:pPr>
      <w:r w:rsidRPr="00170A1A">
        <w:rPr>
          <w:noProof/>
          <w:sz w:val="24"/>
          <w:szCs w:val="24"/>
          <w:lang w:val="ka-GE"/>
        </w:rPr>
        <w:t>1994 წლიდან, ელექტროენერგიის</w:t>
      </w:r>
      <w:r w:rsidR="005F59E4" w:rsidRPr="00170A1A">
        <w:rPr>
          <w:noProof/>
          <w:sz w:val="24"/>
          <w:szCs w:val="24"/>
          <w:lang w:val="ka-GE"/>
        </w:rPr>
        <w:t xml:space="preserve"> კომუნალურმა სამსახურები ოდნავ მეტად აფინანსებდნენ რესპუბლიურ პარტიას</w:t>
      </w:r>
      <w:r w:rsidRPr="00170A1A">
        <w:rPr>
          <w:noProof/>
          <w:sz w:val="24"/>
          <w:szCs w:val="24"/>
          <w:lang w:val="ka-GE"/>
        </w:rPr>
        <w:t xml:space="preserve">. </w:t>
      </w:r>
      <w:r w:rsidR="003633B8" w:rsidRPr="00170A1A">
        <w:rPr>
          <w:noProof/>
          <w:sz w:val="24"/>
          <w:szCs w:val="24"/>
          <w:lang w:val="ka-GE"/>
        </w:rPr>
        <w:t>1994 წელს როგორც ბევრმა</w:t>
      </w:r>
      <w:r w:rsidRPr="00170A1A">
        <w:rPr>
          <w:noProof/>
          <w:sz w:val="24"/>
          <w:szCs w:val="24"/>
          <w:lang w:val="ka-GE"/>
        </w:rPr>
        <w:t xml:space="preserve"> ინდუსტრია</w:t>
      </w:r>
      <w:r w:rsidR="003633B8" w:rsidRPr="00170A1A">
        <w:rPr>
          <w:noProof/>
          <w:sz w:val="24"/>
          <w:szCs w:val="24"/>
          <w:lang w:val="ka-GE"/>
        </w:rPr>
        <w:t>მ</w:t>
      </w:r>
      <w:r w:rsidRPr="00170A1A">
        <w:rPr>
          <w:noProof/>
          <w:sz w:val="24"/>
          <w:szCs w:val="24"/>
          <w:lang w:val="ka-GE"/>
        </w:rPr>
        <w:t xml:space="preserve">, </w:t>
      </w:r>
      <w:r w:rsidR="003633B8" w:rsidRPr="00170A1A">
        <w:rPr>
          <w:noProof/>
          <w:sz w:val="24"/>
          <w:szCs w:val="24"/>
          <w:lang w:val="ka-GE"/>
        </w:rPr>
        <w:t xml:space="preserve">ელექტროენერგიის კომუნალურმა სამსახურებმა </w:t>
      </w:r>
      <w:r w:rsidRPr="00170A1A">
        <w:rPr>
          <w:noProof/>
          <w:sz w:val="24"/>
          <w:szCs w:val="24"/>
          <w:lang w:val="ka-GE"/>
        </w:rPr>
        <w:t xml:space="preserve">მკვეთრად </w:t>
      </w:r>
      <w:r w:rsidR="003633B8" w:rsidRPr="00170A1A">
        <w:rPr>
          <w:noProof/>
          <w:sz w:val="24"/>
          <w:szCs w:val="24"/>
          <w:lang w:val="ka-GE"/>
        </w:rPr>
        <w:t>გაიზარდეს</w:t>
      </w:r>
      <w:r w:rsidRPr="00170A1A">
        <w:rPr>
          <w:noProof/>
          <w:sz w:val="24"/>
          <w:szCs w:val="24"/>
          <w:lang w:val="ka-GE"/>
        </w:rPr>
        <w:t xml:space="preserve">  რესპუბლიკელების კანდიდატებისა </w:t>
      </w:r>
      <w:r w:rsidR="003633B8" w:rsidRPr="00170A1A">
        <w:rPr>
          <w:noProof/>
          <w:sz w:val="24"/>
          <w:szCs w:val="24"/>
          <w:lang w:val="ka-GE"/>
        </w:rPr>
        <w:t>ფინანსური დახამრებები</w:t>
      </w:r>
      <w:r w:rsidRPr="00170A1A">
        <w:rPr>
          <w:noProof/>
          <w:sz w:val="24"/>
          <w:szCs w:val="24"/>
          <w:lang w:val="ka-GE"/>
        </w:rPr>
        <w:t xml:space="preserve"> 1994 წლის და 1996 წლის არჩევნების ციკლის პერიოდში </w:t>
      </w:r>
      <w:r w:rsidR="003633B8" w:rsidRPr="00170A1A">
        <w:rPr>
          <w:noProof/>
          <w:sz w:val="24"/>
          <w:szCs w:val="24"/>
          <w:lang w:val="ka-GE"/>
        </w:rPr>
        <w:t xml:space="preserve">დემოკრატების დაფინასება ელექტროენერგიის კომუნალურმა სამსახურების მიერ  </w:t>
      </w:r>
      <w:r w:rsidRPr="00170A1A">
        <w:rPr>
          <w:noProof/>
          <w:sz w:val="24"/>
          <w:szCs w:val="24"/>
          <w:lang w:val="ka-GE"/>
        </w:rPr>
        <w:t xml:space="preserve">ან თითქმის </w:t>
      </w:r>
      <w:r w:rsidR="003633B8" w:rsidRPr="00170A1A">
        <w:rPr>
          <w:noProof/>
          <w:sz w:val="24"/>
          <w:szCs w:val="24"/>
          <w:lang w:val="ka-GE"/>
        </w:rPr>
        <w:t>ნახევარად</w:t>
      </w:r>
      <w:r w:rsidRPr="00170A1A">
        <w:rPr>
          <w:noProof/>
          <w:sz w:val="24"/>
          <w:szCs w:val="24"/>
          <w:lang w:val="ka-GE"/>
        </w:rPr>
        <w:t xml:space="preserve"> დაეცა </w:t>
      </w:r>
      <w:r w:rsidR="003633B8" w:rsidRPr="00170A1A">
        <w:rPr>
          <w:noProof/>
          <w:sz w:val="24"/>
          <w:szCs w:val="24"/>
          <w:lang w:val="ka-GE"/>
        </w:rPr>
        <w:t>და</w:t>
      </w:r>
      <w:r w:rsidRPr="00170A1A">
        <w:rPr>
          <w:noProof/>
          <w:sz w:val="24"/>
          <w:szCs w:val="24"/>
          <w:lang w:val="ka-GE"/>
        </w:rPr>
        <w:t xml:space="preserve"> 32 </w:t>
      </w:r>
      <w:r w:rsidR="003633B8" w:rsidRPr="00170A1A">
        <w:rPr>
          <w:noProof/>
          <w:sz w:val="24"/>
          <w:szCs w:val="24"/>
          <w:lang w:val="ka-GE"/>
        </w:rPr>
        <w:t>პროცენტი შეადგინა</w:t>
      </w:r>
      <w:r w:rsidRPr="00170A1A">
        <w:rPr>
          <w:noProof/>
          <w:sz w:val="24"/>
          <w:szCs w:val="24"/>
          <w:lang w:val="ka-GE"/>
        </w:rPr>
        <w:t xml:space="preserve">. იმავე პერიოდში რესპუბლიკელების </w:t>
      </w:r>
      <w:r w:rsidR="003633B8" w:rsidRPr="00170A1A">
        <w:rPr>
          <w:noProof/>
          <w:sz w:val="24"/>
          <w:szCs w:val="24"/>
          <w:lang w:val="ka-GE"/>
        </w:rPr>
        <w:t xml:space="preserve">დაფინასება </w:t>
      </w:r>
      <w:r w:rsidRPr="00170A1A">
        <w:rPr>
          <w:noProof/>
          <w:sz w:val="24"/>
          <w:szCs w:val="24"/>
          <w:lang w:val="ka-GE"/>
        </w:rPr>
        <w:t xml:space="preserve">წილი 47 პროცენტიდან 68 პროცენტამდე </w:t>
      </w:r>
      <w:r w:rsidR="003633B8" w:rsidRPr="00170A1A">
        <w:rPr>
          <w:noProof/>
          <w:sz w:val="24"/>
          <w:szCs w:val="24"/>
          <w:lang w:val="ka-GE"/>
        </w:rPr>
        <w:t xml:space="preserve">გაიზარდა. </w:t>
      </w:r>
    </w:p>
    <w:p w:rsidR="00EB7518" w:rsidRPr="00170A1A" w:rsidRDefault="000C461B" w:rsidP="000941AA">
      <w:pPr>
        <w:spacing w:line="240" w:lineRule="auto"/>
        <w:ind w:firstLine="708"/>
        <w:jc w:val="both"/>
        <w:rPr>
          <w:noProof/>
          <w:sz w:val="24"/>
          <w:szCs w:val="24"/>
          <w:lang w:val="ka-GE"/>
        </w:rPr>
      </w:pPr>
      <w:r w:rsidRPr="00170A1A">
        <w:rPr>
          <w:noProof/>
          <w:sz w:val="24"/>
          <w:szCs w:val="24"/>
          <w:lang w:val="ka-GE"/>
        </w:rPr>
        <w:t xml:space="preserve">1996 წლიდან კონგრესში ადგილი აქვს ელექტროსისტემის დერეგულაციის შესახებ დებატებს. მაგრამ კონგრესში კონგრესმსნებს და სხვადასხვა ჯგუფებს შორის, კონსესუსის არ არსებობის გამო  მხოლოდ მცირედი პროგრესია მიღწეული. </w:t>
      </w:r>
    </w:p>
    <w:p w:rsidR="00015729" w:rsidRPr="00170A1A" w:rsidRDefault="00F60AA2" w:rsidP="000941AA">
      <w:pPr>
        <w:spacing w:line="240" w:lineRule="auto"/>
        <w:ind w:firstLine="708"/>
        <w:jc w:val="both"/>
        <w:rPr>
          <w:noProof/>
          <w:sz w:val="24"/>
          <w:szCs w:val="24"/>
          <w:lang w:val="ka-GE"/>
        </w:rPr>
      </w:pPr>
      <w:r w:rsidRPr="00170A1A">
        <w:rPr>
          <w:noProof/>
          <w:sz w:val="24"/>
          <w:szCs w:val="24"/>
          <w:lang w:val="en-US"/>
        </w:rPr>
        <w:t>2005 წ</w:t>
      </w:r>
      <w:r w:rsidRPr="00170A1A">
        <w:rPr>
          <w:noProof/>
          <w:sz w:val="24"/>
          <w:szCs w:val="24"/>
          <w:lang w:val="ka-GE"/>
        </w:rPr>
        <w:t>ელს პ</w:t>
      </w:r>
      <w:r w:rsidR="00015729" w:rsidRPr="00170A1A">
        <w:rPr>
          <w:noProof/>
          <w:sz w:val="24"/>
          <w:szCs w:val="24"/>
          <w:lang w:val="en-US"/>
        </w:rPr>
        <w:t>რეზიდენტ</w:t>
      </w:r>
      <w:r w:rsidRPr="00170A1A">
        <w:rPr>
          <w:noProof/>
          <w:sz w:val="24"/>
          <w:szCs w:val="24"/>
          <w:lang w:val="ka-GE"/>
        </w:rPr>
        <w:t>მა</w:t>
      </w:r>
      <w:r w:rsidR="00015729" w:rsidRPr="00170A1A">
        <w:rPr>
          <w:noProof/>
          <w:sz w:val="24"/>
          <w:szCs w:val="24"/>
          <w:lang w:val="en-US"/>
        </w:rPr>
        <w:t xml:space="preserve"> ბუშმა </w:t>
      </w:r>
      <w:r w:rsidRPr="00170A1A">
        <w:rPr>
          <w:noProof/>
          <w:sz w:val="24"/>
          <w:szCs w:val="24"/>
          <w:lang w:val="ka-GE"/>
        </w:rPr>
        <w:t xml:space="preserve">ხელი მოაწერა </w:t>
      </w:r>
      <w:r w:rsidR="00015729" w:rsidRPr="00170A1A">
        <w:rPr>
          <w:noProof/>
          <w:sz w:val="24"/>
          <w:szCs w:val="24"/>
          <w:lang w:val="en-US"/>
        </w:rPr>
        <w:t xml:space="preserve">ენერგეტიკული პოლიტიკის </w:t>
      </w:r>
      <w:r w:rsidRPr="00170A1A">
        <w:rPr>
          <w:noProof/>
          <w:sz w:val="24"/>
          <w:szCs w:val="24"/>
          <w:lang w:val="en-US"/>
        </w:rPr>
        <w:t>კანონს</w:t>
      </w:r>
      <w:r w:rsidR="003D5900" w:rsidRPr="00170A1A">
        <w:rPr>
          <w:noProof/>
          <w:sz w:val="24"/>
          <w:szCs w:val="24"/>
          <w:lang w:val="en-US"/>
        </w:rPr>
        <w:t xml:space="preserve">. ამ კანონის მიხედვით </w:t>
      </w:r>
      <w:r w:rsidRPr="00170A1A">
        <w:rPr>
          <w:noProof/>
          <w:sz w:val="24"/>
          <w:szCs w:val="24"/>
          <w:lang w:val="ka-GE"/>
        </w:rPr>
        <w:t xml:space="preserve">კომუნალური სამსახურების </w:t>
      </w:r>
      <w:r w:rsidR="00015729" w:rsidRPr="00170A1A">
        <w:rPr>
          <w:noProof/>
          <w:sz w:val="24"/>
          <w:szCs w:val="24"/>
          <w:lang w:val="en-US"/>
        </w:rPr>
        <w:t>რეგულირება</w:t>
      </w:r>
      <w:r w:rsidR="003D5900" w:rsidRPr="00170A1A">
        <w:rPr>
          <w:noProof/>
          <w:sz w:val="24"/>
          <w:szCs w:val="24"/>
          <w:lang w:val="ka-GE"/>
        </w:rPr>
        <w:t>,</w:t>
      </w:r>
      <w:r w:rsidR="00015729" w:rsidRPr="00170A1A">
        <w:rPr>
          <w:noProof/>
          <w:sz w:val="24"/>
          <w:szCs w:val="24"/>
          <w:lang w:val="en-US"/>
        </w:rPr>
        <w:t xml:space="preserve"> </w:t>
      </w:r>
      <w:r w:rsidRPr="00170A1A">
        <w:rPr>
          <w:noProof/>
          <w:sz w:val="24"/>
          <w:szCs w:val="24"/>
          <w:lang w:val="ka-GE"/>
        </w:rPr>
        <w:t>ფასიასნი ქაღალდების და ბირჟის</w:t>
      </w:r>
      <w:r w:rsidR="005F59E4" w:rsidRPr="00170A1A">
        <w:rPr>
          <w:noProof/>
          <w:sz w:val="24"/>
          <w:szCs w:val="24"/>
          <w:lang w:val="ka-GE"/>
        </w:rPr>
        <w:t xml:space="preserve"> </w:t>
      </w:r>
      <w:r w:rsidR="003D5900" w:rsidRPr="00170A1A">
        <w:rPr>
          <w:noProof/>
          <w:sz w:val="24"/>
          <w:szCs w:val="24"/>
          <w:lang w:val="ka-GE"/>
        </w:rPr>
        <w:t>კომისიიდან</w:t>
      </w:r>
      <w:r w:rsidRPr="00170A1A">
        <w:rPr>
          <w:noProof/>
          <w:sz w:val="24"/>
          <w:szCs w:val="24"/>
          <w:lang w:val="ka-GE"/>
        </w:rPr>
        <w:t xml:space="preserve"> გადეცა </w:t>
      </w:r>
      <w:r w:rsidR="00015729" w:rsidRPr="00170A1A">
        <w:rPr>
          <w:noProof/>
          <w:sz w:val="24"/>
          <w:szCs w:val="24"/>
          <w:lang w:val="en-US"/>
        </w:rPr>
        <w:t xml:space="preserve">ფედერალური ენერგეტიკის მარეგულირებელ </w:t>
      </w:r>
      <w:r w:rsidRPr="00170A1A">
        <w:rPr>
          <w:noProof/>
          <w:sz w:val="24"/>
          <w:szCs w:val="24"/>
          <w:lang w:val="en-US"/>
        </w:rPr>
        <w:t xml:space="preserve">კომისიას </w:t>
      </w:r>
      <w:r w:rsidR="003D5900" w:rsidRPr="00170A1A">
        <w:rPr>
          <w:noProof/>
          <w:sz w:val="24"/>
          <w:szCs w:val="24"/>
          <w:lang w:val="en-US"/>
        </w:rPr>
        <w:t xml:space="preserve"> (FERC)</w:t>
      </w:r>
      <w:r w:rsidR="00015729" w:rsidRPr="00170A1A">
        <w:rPr>
          <w:noProof/>
          <w:sz w:val="24"/>
          <w:szCs w:val="24"/>
          <w:lang w:val="en-US"/>
        </w:rPr>
        <w:t xml:space="preserve">. ეს ორგანიზაცია ენერგეტიკის დეპარტამენტის ნაწილია. თუმცა, </w:t>
      </w:r>
      <w:r w:rsidR="003D5900" w:rsidRPr="00170A1A">
        <w:rPr>
          <w:noProof/>
          <w:sz w:val="24"/>
          <w:szCs w:val="24"/>
          <w:lang w:val="en-US"/>
        </w:rPr>
        <w:t>მოგვიანებით პრაქტიკამ აჩვენა</w:t>
      </w:r>
      <w:r w:rsidR="00015729" w:rsidRPr="00170A1A">
        <w:rPr>
          <w:noProof/>
          <w:sz w:val="24"/>
          <w:szCs w:val="24"/>
          <w:lang w:val="en-US"/>
        </w:rPr>
        <w:t xml:space="preserve">, რომ ის უკეთესად ფუნქციონირებდა, როგორც </w:t>
      </w:r>
      <w:r w:rsidRPr="00170A1A">
        <w:rPr>
          <w:noProof/>
          <w:sz w:val="24"/>
          <w:szCs w:val="24"/>
          <w:lang w:val="en-US"/>
        </w:rPr>
        <w:t>ენერგეტიკ</w:t>
      </w:r>
      <w:r w:rsidRPr="00170A1A">
        <w:rPr>
          <w:noProof/>
          <w:sz w:val="24"/>
          <w:szCs w:val="24"/>
          <w:lang w:val="ka-GE"/>
        </w:rPr>
        <w:t>ის</w:t>
      </w:r>
      <w:r w:rsidR="00015729" w:rsidRPr="00170A1A">
        <w:rPr>
          <w:noProof/>
          <w:sz w:val="24"/>
          <w:szCs w:val="24"/>
          <w:lang w:val="en-US"/>
        </w:rPr>
        <w:t xml:space="preserve"> პირველადი მარეგულირებელი  ამერიკის შეერთებულ შტატებში.</w:t>
      </w:r>
    </w:p>
    <w:p w:rsidR="00015729" w:rsidRPr="00170A1A" w:rsidRDefault="00015729" w:rsidP="000941AA">
      <w:pPr>
        <w:spacing w:line="240" w:lineRule="auto"/>
        <w:jc w:val="both"/>
        <w:rPr>
          <w:noProof/>
          <w:sz w:val="24"/>
          <w:szCs w:val="24"/>
          <w:lang w:val="en-US"/>
        </w:rPr>
      </w:pPr>
      <w:r w:rsidRPr="00170A1A">
        <w:rPr>
          <w:noProof/>
          <w:sz w:val="24"/>
          <w:szCs w:val="24"/>
          <w:lang w:val="en-US"/>
        </w:rPr>
        <w:t>FERC- ს აქვს მრავალი მოვალეობა და პასუხისმგებლობა, მათ შორის,</w:t>
      </w:r>
    </w:p>
    <w:p w:rsidR="00015729" w:rsidRPr="00170A1A" w:rsidRDefault="00015729" w:rsidP="000941AA">
      <w:pPr>
        <w:pStyle w:val="ListParagraph"/>
        <w:numPr>
          <w:ilvl w:val="0"/>
          <w:numId w:val="2"/>
        </w:numPr>
        <w:spacing w:line="240" w:lineRule="auto"/>
        <w:jc w:val="both"/>
        <w:rPr>
          <w:noProof/>
          <w:sz w:val="24"/>
          <w:szCs w:val="24"/>
          <w:lang w:val="ka-GE"/>
        </w:rPr>
      </w:pPr>
      <w:r w:rsidRPr="00170A1A">
        <w:rPr>
          <w:noProof/>
          <w:sz w:val="24"/>
          <w:szCs w:val="24"/>
          <w:lang w:val="en-US"/>
        </w:rPr>
        <w:t>ბუნებრივი გაზისა და ელექტროენერგიის საბითუმო გაყიდვისა და გადაცემის რეგულირება</w:t>
      </w:r>
      <w:r w:rsidR="00FF6A32" w:rsidRPr="00170A1A">
        <w:rPr>
          <w:noProof/>
          <w:sz w:val="24"/>
          <w:szCs w:val="24"/>
          <w:lang w:val="ka-GE"/>
        </w:rPr>
        <w:t>;</w:t>
      </w:r>
    </w:p>
    <w:p w:rsidR="00FF6A32" w:rsidRPr="00170A1A" w:rsidRDefault="00F60AA2" w:rsidP="000941AA">
      <w:pPr>
        <w:pStyle w:val="ListParagraph"/>
        <w:numPr>
          <w:ilvl w:val="0"/>
          <w:numId w:val="2"/>
        </w:numPr>
        <w:spacing w:line="240" w:lineRule="auto"/>
        <w:jc w:val="both"/>
        <w:rPr>
          <w:noProof/>
          <w:sz w:val="24"/>
          <w:szCs w:val="24"/>
          <w:lang w:val="ka-GE"/>
        </w:rPr>
      </w:pPr>
      <w:r w:rsidRPr="00170A1A">
        <w:rPr>
          <w:noProof/>
          <w:sz w:val="24"/>
          <w:szCs w:val="24"/>
          <w:lang w:val="en-US"/>
        </w:rPr>
        <w:t xml:space="preserve">ბუნებრივი აირის </w:t>
      </w:r>
      <w:r w:rsidR="00015729" w:rsidRPr="00170A1A">
        <w:rPr>
          <w:noProof/>
          <w:sz w:val="24"/>
          <w:szCs w:val="24"/>
          <w:lang w:val="en-US"/>
        </w:rPr>
        <w:t xml:space="preserve"> </w:t>
      </w:r>
      <w:r w:rsidR="00FF6A32" w:rsidRPr="00170A1A">
        <w:rPr>
          <w:noProof/>
          <w:sz w:val="24"/>
          <w:szCs w:val="24"/>
          <w:lang w:val="ka-GE"/>
        </w:rPr>
        <w:t>შტატ</w:t>
      </w:r>
      <w:r w:rsidR="00015729" w:rsidRPr="00170A1A">
        <w:rPr>
          <w:noProof/>
          <w:sz w:val="24"/>
          <w:szCs w:val="24"/>
          <w:lang w:val="en-US"/>
        </w:rPr>
        <w:t>შორისი მილსადენების</w:t>
      </w:r>
      <w:r w:rsidR="00FF6A32" w:rsidRPr="00170A1A">
        <w:rPr>
          <w:noProof/>
          <w:sz w:val="24"/>
          <w:szCs w:val="24"/>
          <w:lang w:val="ka-GE"/>
        </w:rPr>
        <w:t xml:space="preserve"> მოვლა;</w:t>
      </w:r>
    </w:p>
    <w:p w:rsidR="00EB7518" w:rsidRPr="00170A1A" w:rsidRDefault="00FF6A32" w:rsidP="000941AA">
      <w:pPr>
        <w:pStyle w:val="ListParagraph"/>
        <w:numPr>
          <w:ilvl w:val="0"/>
          <w:numId w:val="2"/>
        </w:numPr>
        <w:spacing w:line="240" w:lineRule="auto"/>
        <w:jc w:val="both"/>
        <w:rPr>
          <w:noProof/>
          <w:sz w:val="24"/>
          <w:szCs w:val="24"/>
          <w:lang w:val="ka-GE"/>
        </w:rPr>
      </w:pPr>
      <w:r w:rsidRPr="00170A1A">
        <w:rPr>
          <w:noProof/>
          <w:sz w:val="24"/>
          <w:szCs w:val="24"/>
          <w:lang w:val="ka-GE"/>
        </w:rPr>
        <w:t xml:space="preserve">ნავთობის </w:t>
      </w:r>
      <w:r w:rsidRPr="00170A1A">
        <w:rPr>
          <w:noProof/>
          <w:sz w:val="24"/>
          <w:szCs w:val="24"/>
          <w:lang w:val="en-US"/>
        </w:rPr>
        <w:t xml:space="preserve">მილსადენებით </w:t>
      </w:r>
      <w:r w:rsidR="005D2EDE">
        <w:rPr>
          <w:noProof/>
          <w:sz w:val="24"/>
          <w:szCs w:val="24"/>
          <w:lang w:val="ka-GE"/>
        </w:rPr>
        <w:t>შტატშორისი</w:t>
      </w:r>
      <w:r w:rsidRPr="00170A1A">
        <w:rPr>
          <w:noProof/>
          <w:sz w:val="24"/>
          <w:szCs w:val="24"/>
          <w:lang w:val="ka-GE"/>
        </w:rPr>
        <w:t xml:space="preserve"> კომერციული ტრანსპორტირების  საქმიანობის </w:t>
      </w:r>
      <w:r w:rsidR="00015729" w:rsidRPr="00170A1A">
        <w:rPr>
          <w:noProof/>
          <w:sz w:val="24"/>
          <w:szCs w:val="24"/>
          <w:lang w:val="en-US"/>
        </w:rPr>
        <w:t xml:space="preserve">რეგულირება </w:t>
      </w:r>
    </w:p>
    <w:p w:rsidR="00EB7518" w:rsidRPr="00170A1A" w:rsidRDefault="00015729" w:rsidP="000941AA">
      <w:pPr>
        <w:shd w:val="clear" w:color="auto" w:fill="FFFFFF"/>
        <w:spacing w:after="100" w:afterAutospacing="1" w:line="240" w:lineRule="auto"/>
        <w:ind w:left="300"/>
        <w:jc w:val="both"/>
        <w:textAlignment w:val="baseline"/>
        <w:rPr>
          <w:rFonts w:eastAsia="Times New Roman" w:cs="Helvetica"/>
          <w:sz w:val="24"/>
          <w:szCs w:val="24"/>
          <w:lang w:val="ka-GE" w:eastAsia="ka-GE"/>
        </w:rPr>
      </w:pPr>
      <w:r w:rsidRPr="00170A1A">
        <w:rPr>
          <w:noProof/>
          <w:sz w:val="24"/>
          <w:szCs w:val="24"/>
          <w:lang w:val="en-US"/>
        </w:rPr>
        <w:lastRenderedPageBreak/>
        <w:t xml:space="preserve">ენერგეტიკული პოლიტიკის </w:t>
      </w:r>
      <w:r w:rsidR="00FF6A32" w:rsidRPr="00170A1A">
        <w:rPr>
          <w:noProof/>
          <w:sz w:val="24"/>
          <w:szCs w:val="24"/>
          <w:lang w:val="en-US"/>
        </w:rPr>
        <w:t>კანონმა აუცილებელი გახადაა</w:t>
      </w:r>
      <w:r w:rsidRPr="00170A1A">
        <w:rPr>
          <w:noProof/>
          <w:sz w:val="24"/>
          <w:szCs w:val="24"/>
          <w:lang w:val="en-US"/>
        </w:rPr>
        <w:t xml:space="preserve"> განხორციელებული</w:t>
      </w:r>
      <w:r w:rsidR="00FF6A32" w:rsidRPr="00170A1A">
        <w:rPr>
          <w:noProof/>
          <w:sz w:val="24"/>
          <w:szCs w:val="24"/>
          <w:lang w:val="ka-GE"/>
        </w:rPr>
        <w:t>ყო</w:t>
      </w:r>
      <w:r w:rsidRPr="00170A1A">
        <w:rPr>
          <w:noProof/>
          <w:sz w:val="24"/>
          <w:szCs w:val="24"/>
          <w:lang w:val="en-US"/>
        </w:rPr>
        <w:t xml:space="preserve"> </w:t>
      </w:r>
      <w:r w:rsidR="00FF6A32" w:rsidRPr="00170A1A">
        <w:rPr>
          <w:noProof/>
          <w:sz w:val="24"/>
          <w:szCs w:val="24"/>
          <w:lang w:val="en-US"/>
        </w:rPr>
        <w:t>ცვლილებები</w:t>
      </w:r>
      <w:r w:rsidRPr="00170A1A">
        <w:rPr>
          <w:noProof/>
          <w:sz w:val="24"/>
          <w:szCs w:val="24"/>
          <w:lang w:val="en-US"/>
        </w:rPr>
        <w:t xml:space="preserve"> 1935</w:t>
      </w:r>
      <w:r w:rsidR="00FF6A32" w:rsidRPr="00170A1A">
        <w:rPr>
          <w:noProof/>
          <w:sz w:val="24"/>
          <w:szCs w:val="24"/>
          <w:lang w:val="ka-GE"/>
        </w:rPr>
        <w:t xml:space="preserve"> წლის </w:t>
      </w:r>
      <w:r w:rsidR="00FF6A32" w:rsidRPr="00170A1A">
        <w:rPr>
          <w:noProof/>
          <w:sz w:val="24"/>
          <w:szCs w:val="24"/>
          <w:lang w:val="en-US"/>
        </w:rPr>
        <w:t>საზოგადოებრივი კომუნალური ჰოლდინგის კომპანიის აქტი</w:t>
      </w:r>
      <w:r w:rsidRPr="00170A1A">
        <w:rPr>
          <w:noProof/>
          <w:sz w:val="24"/>
          <w:szCs w:val="24"/>
          <w:lang w:val="en-US"/>
        </w:rPr>
        <w:t>ში</w:t>
      </w:r>
      <w:r w:rsidR="00FF6A32" w:rsidRPr="00170A1A">
        <w:rPr>
          <w:noProof/>
          <w:sz w:val="24"/>
          <w:szCs w:val="24"/>
          <w:lang w:val="ka-GE"/>
        </w:rPr>
        <w:t xml:space="preserve"> - </w:t>
      </w:r>
      <w:r w:rsidR="00FF6A32" w:rsidRPr="00170A1A">
        <w:rPr>
          <w:noProof/>
          <w:sz w:val="24"/>
          <w:szCs w:val="24"/>
          <w:lang w:val="en-US"/>
        </w:rPr>
        <w:t>PUCHA</w:t>
      </w:r>
      <w:r w:rsidR="00AA1BA9" w:rsidRPr="00170A1A">
        <w:rPr>
          <w:noProof/>
          <w:sz w:val="24"/>
          <w:szCs w:val="24"/>
          <w:lang w:val="ka-GE"/>
        </w:rPr>
        <w:t>.</w:t>
      </w:r>
    </w:p>
    <w:p w:rsidR="00EB7518" w:rsidRPr="00170A1A" w:rsidRDefault="00015729" w:rsidP="000941AA">
      <w:pPr>
        <w:shd w:val="clear" w:color="auto" w:fill="FFFFFF"/>
        <w:spacing w:after="100" w:afterAutospacing="1" w:line="240" w:lineRule="auto"/>
        <w:ind w:firstLine="300"/>
        <w:jc w:val="both"/>
        <w:textAlignment w:val="baseline"/>
        <w:rPr>
          <w:noProof/>
          <w:sz w:val="24"/>
          <w:szCs w:val="24"/>
          <w:lang w:val="en-US"/>
        </w:rPr>
      </w:pPr>
      <w:r w:rsidRPr="00170A1A">
        <w:rPr>
          <w:noProof/>
          <w:sz w:val="24"/>
          <w:szCs w:val="24"/>
          <w:lang w:val="en-US"/>
        </w:rPr>
        <w:t xml:space="preserve">2012 წლისთვის, ენერგეტიკული დერეგულირება </w:t>
      </w:r>
      <w:r w:rsidR="003D5900" w:rsidRPr="00170A1A">
        <w:rPr>
          <w:noProof/>
          <w:sz w:val="24"/>
          <w:szCs w:val="24"/>
          <w:lang w:val="en-US"/>
        </w:rPr>
        <w:t>განხორციელდა</w:t>
      </w:r>
      <w:r w:rsidRPr="00170A1A">
        <w:rPr>
          <w:noProof/>
          <w:sz w:val="24"/>
          <w:szCs w:val="24"/>
          <w:lang w:val="en-US"/>
        </w:rPr>
        <w:t xml:space="preserve"> (</w:t>
      </w:r>
      <w:r w:rsidR="003D5900" w:rsidRPr="00170A1A">
        <w:rPr>
          <w:noProof/>
          <w:sz w:val="24"/>
          <w:szCs w:val="24"/>
          <w:lang w:val="en-US"/>
        </w:rPr>
        <w:t>რაღაც მოცულობით</w:t>
      </w:r>
      <w:r w:rsidRPr="00170A1A">
        <w:rPr>
          <w:noProof/>
          <w:sz w:val="24"/>
          <w:szCs w:val="24"/>
          <w:lang w:val="en-US"/>
        </w:rPr>
        <w:t xml:space="preserve">) </w:t>
      </w:r>
      <w:r w:rsidR="00BD6E71">
        <w:rPr>
          <w:noProof/>
          <w:sz w:val="24"/>
          <w:szCs w:val="24"/>
          <w:lang w:val="en-US"/>
        </w:rPr>
        <w:t>ორ</w:t>
      </w:r>
      <w:r w:rsidRPr="00170A1A">
        <w:rPr>
          <w:noProof/>
          <w:sz w:val="24"/>
          <w:szCs w:val="24"/>
          <w:lang w:val="en-US"/>
        </w:rPr>
        <w:t xml:space="preserve"> ათეულამდე </w:t>
      </w:r>
      <w:r w:rsidR="003D5900" w:rsidRPr="00170A1A">
        <w:rPr>
          <w:noProof/>
          <w:sz w:val="24"/>
          <w:szCs w:val="24"/>
          <w:lang w:val="en-US"/>
        </w:rPr>
        <w:t>შტატში</w:t>
      </w:r>
      <w:r w:rsidRPr="00170A1A">
        <w:rPr>
          <w:noProof/>
          <w:sz w:val="24"/>
          <w:szCs w:val="24"/>
          <w:lang w:val="en-US"/>
        </w:rPr>
        <w:t xml:space="preserve">. ზოგიერთ </w:t>
      </w:r>
      <w:r w:rsidR="003D5900" w:rsidRPr="00170A1A">
        <w:rPr>
          <w:noProof/>
          <w:sz w:val="24"/>
          <w:szCs w:val="24"/>
          <w:lang w:val="ka-GE"/>
        </w:rPr>
        <w:t>შტატს</w:t>
      </w:r>
      <w:r w:rsidRPr="00170A1A">
        <w:rPr>
          <w:noProof/>
          <w:sz w:val="24"/>
          <w:szCs w:val="24"/>
          <w:lang w:val="en-US"/>
        </w:rPr>
        <w:t xml:space="preserve"> აქვს </w:t>
      </w:r>
      <w:r w:rsidR="003D5900" w:rsidRPr="00170A1A">
        <w:rPr>
          <w:noProof/>
          <w:sz w:val="24"/>
          <w:szCs w:val="24"/>
          <w:lang w:val="ka-GE"/>
        </w:rPr>
        <w:t xml:space="preserve">მხოლოდ </w:t>
      </w:r>
      <w:r w:rsidRPr="00170A1A">
        <w:rPr>
          <w:noProof/>
          <w:sz w:val="24"/>
          <w:szCs w:val="24"/>
          <w:lang w:val="en-US"/>
        </w:rPr>
        <w:t>დერეგულირებული ელექტრო</w:t>
      </w:r>
      <w:r w:rsidR="003D5900" w:rsidRPr="00170A1A">
        <w:rPr>
          <w:noProof/>
          <w:sz w:val="24"/>
          <w:szCs w:val="24"/>
          <w:lang w:val="ka-GE"/>
        </w:rPr>
        <w:t xml:space="preserve"> ან  ბუნებრივი გაზის ბაზარი</w:t>
      </w:r>
      <w:r w:rsidRPr="00170A1A">
        <w:rPr>
          <w:noProof/>
          <w:sz w:val="24"/>
          <w:szCs w:val="24"/>
          <w:lang w:val="en-US"/>
        </w:rPr>
        <w:t>,</w:t>
      </w:r>
      <w:r w:rsidR="003D5900" w:rsidRPr="00170A1A">
        <w:rPr>
          <w:noProof/>
          <w:sz w:val="24"/>
          <w:szCs w:val="24"/>
          <w:lang w:val="ka-GE"/>
        </w:rPr>
        <w:t xml:space="preserve"> ხოლო მხოლ</w:t>
      </w:r>
      <w:r w:rsidR="00330932">
        <w:rPr>
          <w:noProof/>
          <w:sz w:val="24"/>
          <w:szCs w:val="24"/>
          <w:lang w:val="ka-GE"/>
        </w:rPr>
        <w:t>ო</w:t>
      </w:r>
      <w:r w:rsidR="003D5900" w:rsidRPr="00170A1A">
        <w:rPr>
          <w:noProof/>
          <w:sz w:val="24"/>
          <w:szCs w:val="24"/>
          <w:lang w:val="ka-GE"/>
        </w:rPr>
        <w:t xml:space="preserve">დ რამოდენიმეს, როგორც  </w:t>
      </w:r>
      <w:r w:rsidRPr="00170A1A">
        <w:rPr>
          <w:noProof/>
          <w:sz w:val="24"/>
          <w:szCs w:val="24"/>
          <w:lang w:val="en-US"/>
        </w:rPr>
        <w:t xml:space="preserve"> </w:t>
      </w:r>
      <w:r w:rsidR="003D5900" w:rsidRPr="00170A1A">
        <w:rPr>
          <w:noProof/>
          <w:sz w:val="24"/>
          <w:szCs w:val="24"/>
          <w:lang w:val="ka-GE"/>
        </w:rPr>
        <w:t>ბუნებრივი გაზის</w:t>
      </w:r>
      <w:r w:rsidR="00330932">
        <w:rPr>
          <w:noProof/>
          <w:sz w:val="24"/>
          <w:szCs w:val="24"/>
          <w:lang w:val="ka-GE"/>
        </w:rPr>
        <w:t>,</w:t>
      </w:r>
      <w:r w:rsidR="003D5900" w:rsidRPr="00170A1A">
        <w:rPr>
          <w:noProof/>
          <w:sz w:val="24"/>
          <w:szCs w:val="24"/>
          <w:lang w:val="ka-GE"/>
        </w:rPr>
        <w:t xml:space="preserve"> </w:t>
      </w:r>
      <w:r w:rsidR="00110A65" w:rsidRPr="00170A1A">
        <w:rPr>
          <w:noProof/>
          <w:sz w:val="24"/>
          <w:szCs w:val="24"/>
          <w:lang w:val="ka-GE"/>
        </w:rPr>
        <w:t xml:space="preserve">ასევე  </w:t>
      </w:r>
      <w:r w:rsidR="00110A65" w:rsidRPr="00170A1A">
        <w:rPr>
          <w:noProof/>
          <w:sz w:val="24"/>
          <w:szCs w:val="24"/>
          <w:lang w:val="en-US"/>
        </w:rPr>
        <w:t>ელექტრო</w:t>
      </w:r>
      <w:r w:rsidR="00110A65" w:rsidRPr="00170A1A">
        <w:rPr>
          <w:noProof/>
          <w:sz w:val="24"/>
          <w:szCs w:val="24"/>
          <w:lang w:val="ka-GE"/>
        </w:rPr>
        <w:t xml:space="preserve"> </w:t>
      </w:r>
      <w:r w:rsidR="003D5900" w:rsidRPr="00170A1A">
        <w:rPr>
          <w:noProof/>
          <w:sz w:val="24"/>
          <w:szCs w:val="24"/>
          <w:lang w:val="en-US"/>
        </w:rPr>
        <w:t>ბაზარი</w:t>
      </w:r>
      <w:r w:rsidR="00110A65" w:rsidRPr="00170A1A">
        <w:rPr>
          <w:noProof/>
          <w:sz w:val="24"/>
          <w:szCs w:val="24"/>
          <w:lang w:val="ka-GE"/>
        </w:rPr>
        <w:t>.</w:t>
      </w:r>
      <w:r w:rsidR="003D5900" w:rsidRPr="00170A1A">
        <w:rPr>
          <w:noProof/>
          <w:sz w:val="24"/>
          <w:szCs w:val="24"/>
          <w:lang w:val="ka-GE"/>
        </w:rPr>
        <w:t xml:space="preserve"> </w:t>
      </w:r>
      <w:r w:rsidRPr="00170A1A">
        <w:rPr>
          <w:noProof/>
          <w:sz w:val="24"/>
          <w:szCs w:val="24"/>
          <w:lang w:val="en-US"/>
        </w:rPr>
        <w:t xml:space="preserve"> </w:t>
      </w:r>
      <w:r w:rsidR="00330932">
        <w:rPr>
          <w:noProof/>
          <w:sz w:val="24"/>
          <w:szCs w:val="24"/>
          <w:lang w:val="en-US"/>
        </w:rPr>
        <w:t>არცერთ</w:t>
      </w:r>
      <w:r w:rsidRPr="00170A1A">
        <w:rPr>
          <w:noProof/>
          <w:sz w:val="24"/>
          <w:szCs w:val="24"/>
          <w:lang w:val="en-US"/>
        </w:rPr>
        <w:t xml:space="preserve"> </w:t>
      </w:r>
      <w:r w:rsidR="00110A65" w:rsidRPr="00170A1A">
        <w:rPr>
          <w:noProof/>
          <w:sz w:val="24"/>
          <w:szCs w:val="24"/>
          <w:lang w:val="ka-GE"/>
        </w:rPr>
        <w:t>შტატს</w:t>
      </w:r>
      <w:r w:rsidRPr="00170A1A">
        <w:rPr>
          <w:noProof/>
          <w:sz w:val="24"/>
          <w:szCs w:val="24"/>
          <w:lang w:val="en-US"/>
        </w:rPr>
        <w:t xml:space="preserve"> </w:t>
      </w:r>
      <w:r w:rsidR="000941AA" w:rsidRPr="00170A1A">
        <w:rPr>
          <w:noProof/>
          <w:sz w:val="24"/>
          <w:szCs w:val="24"/>
          <w:lang w:val="ka-GE"/>
        </w:rPr>
        <w:t>მთ</w:t>
      </w:r>
      <w:r w:rsidR="00110A65" w:rsidRPr="00170A1A">
        <w:rPr>
          <w:noProof/>
          <w:sz w:val="24"/>
          <w:szCs w:val="24"/>
          <w:lang w:val="ka-GE"/>
        </w:rPr>
        <w:t xml:space="preserve">ლიანობაში </w:t>
      </w:r>
      <w:r w:rsidRPr="00170A1A">
        <w:rPr>
          <w:noProof/>
          <w:sz w:val="24"/>
          <w:szCs w:val="24"/>
          <w:lang w:val="en-US"/>
        </w:rPr>
        <w:t xml:space="preserve">არ </w:t>
      </w:r>
      <w:r w:rsidR="00110A65" w:rsidRPr="00170A1A">
        <w:rPr>
          <w:noProof/>
          <w:sz w:val="24"/>
          <w:szCs w:val="24"/>
          <w:lang w:val="ka-GE"/>
        </w:rPr>
        <w:t>აქვს</w:t>
      </w:r>
      <w:r w:rsidRPr="00170A1A">
        <w:rPr>
          <w:noProof/>
          <w:sz w:val="24"/>
          <w:szCs w:val="24"/>
          <w:lang w:val="en-US"/>
        </w:rPr>
        <w:t xml:space="preserve"> </w:t>
      </w:r>
      <w:r w:rsidR="000941AA" w:rsidRPr="00170A1A">
        <w:rPr>
          <w:noProof/>
          <w:sz w:val="24"/>
          <w:szCs w:val="24"/>
          <w:lang w:val="ka-GE"/>
        </w:rPr>
        <w:t>სრულად</w:t>
      </w:r>
      <w:r w:rsidRPr="00170A1A">
        <w:rPr>
          <w:noProof/>
          <w:sz w:val="24"/>
          <w:szCs w:val="24"/>
          <w:lang w:val="en-US"/>
        </w:rPr>
        <w:t xml:space="preserve"> დერეგულირებული</w:t>
      </w:r>
      <w:r w:rsidR="00110A65" w:rsidRPr="00170A1A">
        <w:rPr>
          <w:noProof/>
          <w:sz w:val="24"/>
          <w:szCs w:val="24"/>
          <w:lang w:val="ka-GE"/>
        </w:rPr>
        <w:t xml:space="preserve"> ბუნებრივი და </w:t>
      </w:r>
      <w:r w:rsidR="00110A65" w:rsidRPr="00170A1A">
        <w:rPr>
          <w:noProof/>
          <w:sz w:val="24"/>
          <w:szCs w:val="24"/>
          <w:lang w:val="en-US"/>
        </w:rPr>
        <w:t>ელექტრო</w:t>
      </w:r>
      <w:r w:rsidR="00110A65" w:rsidRPr="00170A1A">
        <w:rPr>
          <w:noProof/>
          <w:sz w:val="24"/>
          <w:szCs w:val="24"/>
          <w:lang w:val="ka-GE"/>
        </w:rPr>
        <w:t xml:space="preserve"> </w:t>
      </w:r>
      <w:r w:rsidR="00110A65" w:rsidRPr="00170A1A">
        <w:rPr>
          <w:noProof/>
          <w:sz w:val="24"/>
          <w:szCs w:val="24"/>
          <w:lang w:val="en-US"/>
        </w:rPr>
        <w:t>ბაზარი</w:t>
      </w:r>
      <w:r w:rsidR="00110A65" w:rsidRPr="00170A1A">
        <w:rPr>
          <w:noProof/>
          <w:sz w:val="24"/>
          <w:szCs w:val="24"/>
          <w:lang w:val="ka-GE"/>
        </w:rPr>
        <w:t>. გამონაკლისად შეიძლება ჩაითვალოს</w:t>
      </w:r>
      <w:r w:rsidRPr="00170A1A">
        <w:rPr>
          <w:noProof/>
          <w:sz w:val="24"/>
          <w:szCs w:val="24"/>
          <w:lang w:val="en-US"/>
        </w:rPr>
        <w:t xml:space="preserve"> ტეხასის უახლოესი დერეგულირება თითქმის 86% -ს შეადგენს.</w:t>
      </w:r>
    </w:p>
    <w:p w:rsidR="00AE3AEB" w:rsidRPr="00170A1A" w:rsidRDefault="00015729" w:rsidP="00AE3AEB">
      <w:pPr>
        <w:shd w:val="clear" w:color="auto" w:fill="FFFFFF"/>
        <w:spacing w:after="100" w:afterAutospacing="1" w:line="240" w:lineRule="auto"/>
        <w:ind w:firstLine="300"/>
        <w:jc w:val="both"/>
        <w:textAlignment w:val="baseline"/>
        <w:rPr>
          <w:noProof/>
          <w:sz w:val="24"/>
          <w:szCs w:val="24"/>
          <w:lang w:val="en-US"/>
        </w:rPr>
      </w:pPr>
      <w:r w:rsidRPr="00170A1A">
        <w:rPr>
          <w:noProof/>
          <w:sz w:val="24"/>
          <w:szCs w:val="24"/>
          <w:lang w:val="en-US"/>
        </w:rPr>
        <w:t>გარკვეული</w:t>
      </w:r>
      <w:r w:rsidR="00A9358B" w:rsidRPr="00170A1A">
        <w:rPr>
          <w:noProof/>
          <w:sz w:val="24"/>
          <w:szCs w:val="24"/>
          <w:lang w:val="en-US"/>
        </w:rPr>
        <w:t xml:space="preserve"> </w:t>
      </w:r>
      <w:r w:rsidR="00A9358B" w:rsidRPr="00170A1A">
        <w:rPr>
          <w:noProof/>
          <w:sz w:val="24"/>
          <w:szCs w:val="24"/>
          <w:lang w:val="ka-GE"/>
        </w:rPr>
        <w:t>შტატები</w:t>
      </w:r>
      <w:r w:rsidRPr="00170A1A">
        <w:rPr>
          <w:noProof/>
          <w:sz w:val="24"/>
          <w:szCs w:val="24"/>
          <w:lang w:val="en-US"/>
        </w:rPr>
        <w:t xml:space="preserve">, რომლებიც </w:t>
      </w:r>
      <w:r w:rsidR="00A97CB0" w:rsidRPr="00170A1A">
        <w:rPr>
          <w:noProof/>
          <w:sz w:val="24"/>
          <w:szCs w:val="24"/>
          <w:lang w:val="ka-GE"/>
        </w:rPr>
        <w:t>დერეგულაცი</w:t>
      </w:r>
      <w:r w:rsidR="008C09F5">
        <w:rPr>
          <w:noProof/>
          <w:sz w:val="24"/>
          <w:szCs w:val="24"/>
          <w:lang w:val="ka-GE"/>
        </w:rPr>
        <w:t>ა</w:t>
      </w:r>
      <w:r w:rsidR="00A97CB0" w:rsidRPr="00170A1A">
        <w:rPr>
          <w:noProof/>
          <w:sz w:val="24"/>
          <w:szCs w:val="24"/>
          <w:lang w:val="ka-GE"/>
        </w:rPr>
        <w:t>ს</w:t>
      </w:r>
      <w:r w:rsidR="00A9358B" w:rsidRPr="00170A1A">
        <w:rPr>
          <w:noProof/>
          <w:sz w:val="24"/>
          <w:szCs w:val="24"/>
          <w:lang w:val="ka-GE"/>
        </w:rPr>
        <w:t xml:space="preserve"> ახორცელებენ ექსპერიმენტის სახით,</w:t>
      </w:r>
      <w:r w:rsidRPr="00170A1A">
        <w:rPr>
          <w:noProof/>
          <w:sz w:val="24"/>
          <w:szCs w:val="24"/>
          <w:lang w:val="en-US"/>
        </w:rPr>
        <w:t xml:space="preserve"> მაგრამ </w:t>
      </w:r>
      <w:r w:rsidR="00A9358B" w:rsidRPr="00170A1A">
        <w:rPr>
          <w:noProof/>
          <w:sz w:val="24"/>
          <w:szCs w:val="24"/>
          <w:lang w:val="en-US"/>
        </w:rPr>
        <w:t>ეს</w:t>
      </w:r>
      <w:r w:rsidRPr="00170A1A">
        <w:rPr>
          <w:noProof/>
          <w:sz w:val="24"/>
          <w:szCs w:val="24"/>
          <w:lang w:val="en-US"/>
        </w:rPr>
        <w:t xml:space="preserve"> </w:t>
      </w:r>
      <w:r w:rsidR="00A9358B" w:rsidRPr="00170A1A">
        <w:rPr>
          <w:noProof/>
          <w:sz w:val="24"/>
          <w:szCs w:val="24"/>
          <w:lang w:val="en-US"/>
        </w:rPr>
        <w:t>ინიციატივები</w:t>
      </w:r>
      <w:r w:rsidRPr="00170A1A">
        <w:rPr>
          <w:noProof/>
          <w:sz w:val="24"/>
          <w:szCs w:val="24"/>
          <w:lang w:val="en-US"/>
        </w:rPr>
        <w:t xml:space="preserve"> </w:t>
      </w:r>
      <w:r w:rsidR="00A9358B" w:rsidRPr="00170A1A">
        <w:rPr>
          <w:noProof/>
          <w:sz w:val="24"/>
          <w:szCs w:val="24"/>
          <w:lang w:val="en-US"/>
        </w:rPr>
        <w:t>შეჩერებულია მანამდე სანამ</w:t>
      </w:r>
      <w:r w:rsidRPr="00170A1A">
        <w:rPr>
          <w:noProof/>
          <w:sz w:val="24"/>
          <w:szCs w:val="24"/>
          <w:lang w:val="en-US"/>
        </w:rPr>
        <w:t xml:space="preserve"> ენერგეტიკული დერეგულაციის ზემოქმედება უკეთესად </w:t>
      </w:r>
      <w:r w:rsidR="00A9358B" w:rsidRPr="00170A1A">
        <w:rPr>
          <w:noProof/>
          <w:sz w:val="24"/>
          <w:szCs w:val="24"/>
          <w:lang w:val="en-US"/>
        </w:rPr>
        <w:t>იქნება გააზრებული</w:t>
      </w:r>
      <w:r w:rsidRPr="00170A1A">
        <w:rPr>
          <w:noProof/>
          <w:sz w:val="24"/>
          <w:szCs w:val="24"/>
          <w:lang w:val="en-US"/>
        </w:rPr>
        <w:t>.</w:t>
      </w:r>
    </w:p>
    <w:p w:rsidR="0061174E" w:rsidRPr="00170A1A" w:rsidRDefault="00917B06" w:rsidP="00341F31">
      <w:pPr>
        <w:shd w:val="clear" w:color="auto" w:fill="FFFFFF"/>
        <w:spacing w:after="100" w:afterAutospacing="1" w:line="240" w:lineRule="auto"/>
        <w:ind w:firstLine="300"/>
        <w:jc w:val="both"/>
        <w:textAlignment w:val="baseline"/>
        <w:rPr>
          <w:noProof/>
          <w:sz w:val="24"/>
          <w:szCs w:val="24"/>
          <w:lang w:val="ka-GE"/>
        </w:rPr>
      </w:pPr>
      <w:r>
        <w:rPr>
          <w:noProof/>
          <w:sz w:val="24"/>
          <w:szCs w:val="24"/>
          <w:lang w:val="ka-GE"/>
        </w:rPr>
        <w:t>ელ</w:t>
      </w:r>
      <w:r w:rsidR="004F60CF" w:rsidRPr="00170A1A">
        <w:rPr>
          <w:noProof/>
          <w:sz w:val="24"/>
          <w:szCs w:val="24"/>
          <w:lang w:val="ka-GE"/>
        </w:rPr>
        <w:t xml:space="preserve">ექტროენერგეტიკის სფეროს დერეგულაციის პროცესს სხვადასხვა ჯფუფების მხრიდნან ინტერესებიდან გამომდიანარე  აქვს წინააღმდეგობრივი ხასიათი ის  მაინც დადებითი </w:t>
      </w:r>
      <w:r w:rsidR="0061174E" w:rsidRPr="00170A1A">
        <w:rPr>
          <w:noProof/>
          <w:sz w:val="24"/>
          <w:szCs w:val="24"/>
          <w:lang w:val="ka-GE"/>
        </w:rPr>
        <w:t xml:space="preserve">მოვლენად არის შეფასებული და </w:t>
      </w:r>
      <w:r w:rsidR="004F60CF" w:rsidRPr="00170A1A">
        <w:rPr>
          <w:noProof/>
          <w:sz w:val="24"/>
          <w:szCs w:val="24"/>
          <w:lang w:val="en-US"/>
        </w:rPr>
        <w:t>ენერგობაზრის დერეგულირების სარგებელი აშშ-ს ენერგო მომხმარებელზე აისახა შემდეგნაირად</w:t>
      </w:r>
      <w:r w:rsidR="001948FB" w:rsidRPr="00170A1A">
        <w:rPr>
          <w:rStyle w:val="FootnoteReference"/>
          <w:noProof/>
          <w:sz w:val="24"/>
          <w:szCs w:val="24"/>
          <w:lang w:val="en-US"/>
        </w:rPr>
        <w:footnoteReference w:id="3"/>
      </w:r>
      <w:r w:rsidR="004F60CF" w:rsidRPr="00170A1A">
        <w:rPr>
          <w:noProof/>
          <w:sz w:val="24"/>
          <w:szCs w:val="24"/>
          <w:lang w:val="en-US"/>
        </w:rPr>
        <w:t>:</w:t>
      </w:r>
    </w:p>
    <w:p w:rsidR="004F60CF" w:rsidRPr="00170A1A" w:rsidRDefault="004F60CF" w:rsidP="000941AA">
      <w:pPr>
        <w:pStyle w:val="ListParagraph"/>
        <w:numPr>
          <w:ilvl w:val="0"/>
          <w:numId w:val="4"/>
        </w:numPr>
        <w:shd w:val="clear" w:color="auto" w:fill="FFFFFF"/>
        <w:spacing w:after="100" w:afterAutospacing="1" w:line="240" w:lineRule="auto"/>
        <w:jc w:val="both"/>
        <w:textAlignment w:val="baseline"/>
        <w:rPr>
          <w:noProof/>
          <w:sz w:val="24"/>
          <w:szCs w:val="24"/>
          <w:lang w:val="en-US"/>
        </w:rPr>
      </w:pPr>
      <w:r w:rsidRPr="00170A1A">
        <w:rPr>
          <w:noProof/>
          <w:sz w:val="24"/>
          <w:szCs w:val="24"/>
          <w:lang w:val="en-US"/>
        </w:rPr>
        <w:t>ენერგო ბაზრის დერეგულაციამ შექმნა ბაზარზე ერთიანი წესი შემდგომი  კონკურენციისათვის  და გარანტიები, რათა ყველა კომპანიებს ჰქონდეთ ერთნაირი შესაძლებლობა ელექტრო  მომხმარებელთა მომსახურების გაწევისათვის. დერეგულაციის ძირითადი არსი არის ის, რომ მომხმარებელი და არა დენის მომწოდებელი კომუნალური საწარმო კარნახობს პირობებს ელექტროენერგიის ბაზარზე</w:t>
      </w:r>
      <w:r w:rsidR="0061174E" w:rsidRPr="00170A1A">
        <w:rPr>
          <w:noProof/>
          <w:sz w:val="24"/>
          <w:szCs w:val="24"/>
          <w:lang w:val="en-US"/>
        </w:rPr>
        <w:t>;</w:t>
      </w:r>
    </w:p>
    <w:p w:rsidR="004F60CF" w:rsidRPr="00170A1A" w:rsidRDefault="004F60CF" w:rsidP="000941AA">
      <w:pPr>
        <w:pStyle w:val="ListParagraph"/>
        <w:numPr>
          <w:ilvl w:val="0"/>
          <w:numId w:val="4"/>
        </w:numPr>
        <w:shd w:val="clear" w:color="auto" w:fill="FFFFFF"/>
        <w:spacing w:after="100" w:afterAutospacing="1" w:line="240" w:lineRule="auto"/>
        <w:jc w:val="both"/>
        <w:textAlignment w:val="baseline"/>
        <w:rPr>
          <w:noProof/>
          <w:sz w:val="24"/>
          <w:szCs w:val="24"/>
          <w:lang w:val="en-US"/>
        </w:rPr>
      </w:pPr>
      <w:r w:rsidRPr="00170A1A">
        <w:rPr>
          <w:noProof/>
          <w:sz w:val="24"/>
          <w:szCs w:val="24"/>
          <w:lang w:val="en-US"/>
        </w:rPr>
        <w:t>ენერგო ბაზრის დერეგულაციამ  შეამცირა დენის სამომხმარებლო ფასი, ვინაიდან დენის მომხმარებლებს  მიეცათ საშუალება აერჩიათ ელექტროენერგიის მომწოდებელი</w:t>
      </w:r>
      <w:r w:rsidR="0061174E" w:rsidRPr="00170A1A">
        <w:rPr>
          <w:noProof/>
          <w:sz w:val="24"/>
          <w:szCs w:val="24"/>
          <w:lang w:val="en-US"/>
        </w:rPr>
        <w:t>;</w:t>
      </w:r>
      <w:r w:rsidRPr="00170A1A">
        <w:rPr>
          <w:noProof/>
          <w:sz w:val="24"/>
          <w:szCs w:val="24"/>
          <w:lang w:val="en-US"/>
        </w:rPr>
        <w:t xml:space="preserve"> </w:t>
      </w:r>
    </w:p>
    <w:p w:rsidR="0061174E" w:rsidRPr="00170A1A" w:rsidRDefault="004F60CF" w:rsidP="000941AA">
      <w:pPr>
        <w:pStyle w:val="ListParagraph"/>
        <w:numPr>
          <w:ilvl w:val="0"/>
          <w:numId w:val="4"/>
        </w:numPr>
        <w:shd w:val="clear" w:color="auto" w:fill="FFFFFF"/>
        <w:spacing w:after="100" w:afterAutospacing="1" w:line="240" w:lineRule="auto"/>
        <w:jc w:val="both"/>
        <w:textAlignment w:val="baseline"/>
        <w:rPr>
          <w:noProof/>
          <w:sz w:val="24"/>
          <w:szCs w:val="24"/>
          <w:lang w:val="en-US"/>
        </w:rPr>
      </w:pPr>
      <w:r w:rsidRPr="00170A1A">
        <w:rPr>
          <w:noProof/>
          <w:sz w:val="24"/>
          <w:szCs w:val="24"/>
          <w:lang w:val="en-US"/>
        </w:rPr>
        <w:t>ენერგო ბაზრის დერეგულაცია ათანაბრებს დენის ფასის გაუმართლებელ  სხვაობას ტერიტორიულ ჭრილში. აშშ-</w:t>
      </w:r>
      <w:r w:rsidR="00735F56">
        <w:rPr>
          <w:noProof/>
          <w:sz w:val="24"/>
          <w:szCs w:val="24"/>
          <w:lang w:val="ka-GE"/>
        </w:rPr>
        <w:t>შ</w:t>
      </w:r>
      <w:r w:rsidRPr="00170A1A">
        <w:rPr>
          <w:noProof/>
          <w:sz w:val="24"/>
          <w:szCs w:val="24"/>
          <w:lang w:val="en-US"/>
        </w:rPr>
        <w:t>ი დენის ტარიფის საშუალო ღირებულება დაახლოებით 7 ცენტია ერთ კვ/სთ-ზე და  დენის ტარიფის ცვლილება შტატიდან შტატამდე საგრძნობია და მერყეობს  5 - 10 ცენტის ფარგლებში. დერეგულაციების ინიციატივები ამჟამად მიმდინარეობს ყველა შტატში, რაც იმის მანიშნებელია, რომ  შტატების მოსახლეობის უმეტესობა მიიღებს ენერგოუზრუნველყოფის დერეგულაციის სარგებელს</w:t>
      </w:r>
      <w:r w:rsidR="0061174E" w:rsidRPr="00170A1A">
        <w:rPr>
          <w:noProof/>
          <w:sz w:val="24"/>
          <w:szCs w:val="24"/>
          <w:lang w:val="ka-GE"/>
        </w:rPr>
        <w:t>;</w:t>
      </w:r>
    </w:p>
    <w:p w:rsidR="0061174E" w:rsidRPr="00170A1A" w:rsidRDefault="004F60CF" w:rsidP="000941AA">
      <w:pPr>
        <w:pStyle w:val="ListParagraph"/>
        <w:numPr>
          <w:ilvl w:val="0"/>
          <w:numId w:val="4"/>
        </w:numPr>
        <w:shd w:val="clear" w:color="auto" w:fill="FFFFFF"/>
        <w:spacing w:after="100" w:afterAutospacing="1" w:line="240" w:lineRule="auto"/>
        <w:jc w:val="both"/>
        <w:textAlignment w:val="baseline"/>
        <w:rPr>
          <w:noProof/>
          <w:sz w:val="24"/>
          <w:szCs w:val="24"/>
          <w:lang w:val="en-US"/>
        </w:rPr>
      </w:pPr>
      <w:r w:rsidRPr="00170A1A">
        <w:rPr>
          <w:noProof/>
          <w:sz w:val="24"/>
          <w:szCs w:val="24"/>
          <w:lang w:val="en-US"/>
        </w:rPr>
        <w:t xml:space="preserve"> ენერგო დერეგულაცია ზრდის სამუშაო ადგილებს და სარგებელი მოაქვს ადგილობრივი მოსახლეობისათვის. სამწუხაროდ ბევრ დიდ კომუნალურ საწარმოს, რომელსაც მონოპოლური მდგომარეობა აქვთ ბაზარზე არ სურთ, რომ მომხმარებლებს ჰქონდეთ ალტერნატიული ენერგო მომწოდებლის არჩევის უფლება. ეს კომპანიები იყენებენ დაშინების ტაქტიკას, აძლიერებენ ლობირებას  და პირდაპირ ტყუილს რათა დაარწმუნონ, რომ დერეგულირება მათ დააზარალებთ</w:t>
      </w:r>
      <w:r w:rsidR="0061174E" w:rsidRPr="00170A1A">
        <w:rPr>
          <w:noProof/>
          <w:sz w:val="24"/>
          <w:szCs w:val="24"/>
          <w:lang w:val="en-US"/>
        </w:rPr>
        <w:t>;</w:t>
      </w:r>
    </w:p>
    <w:p w:rsidR="004F60CF" w:rsidRPr="00170A1A" w:rsidRDefault="004F60CF" w:rsidP="000941AA">
      <w:pPr>
        <w:pStyle w:val="ListParagraph"/>
        <w:numPr>
          <w:ilvl w:val="0"/>
          <w:numId w:val="4"/>
        </w:numPr>
        <w:shd w:val="clear" w:color="auto" w:fill="FFFFFF"/>
        <w:spacing w:after="100" w:afterAutospacing="1" w:line="240" w:lineRule="auto"/>
        <w:jc w:val="both"/>
        <w:textAlignment w:val="baseline"/>
        <w:rPr>
          <w:noProof/>
          <w:sz w:val="24"/>
          <w:szCs w:val="24"/>
          <w:lang w:val="en-US"/>
        </w:rPr>
      </w:pPr>
      <w:r w:rsidRPr="00170A1A">
        <w:rPr>
          <w:noProof/>
          <w:sz w:val="24"/>
          <w:szCs w:val="24"/>
          <w:lang w:val="en-US"/>
        </w:rPr>
        <w:lastRenderedPageBreak/>
        <w:t>ენერგო დერეგულაცია ზრდის მომსახურების საიმედოობას. რეგულირებადი მონოპოლური მოდელის დროს, მომხმარებელს არ შეუძლია შეცვლოს ელექტრო  კომპანია. კონკურენციის პირობებში,  მომსახურების გაუარესება გამოიწვევეს მომხმარებელთა რეაქციას და შედეგად შემოსავლების დაკარგვას, რაც შემდეგ განაპირობებს ინიციატივების გაძლიერებას, რათა უზრუნველყოფილი იყოს მომსახურების მაღალი სტანდარტი. ისე როგორც სხვა ინდუსტრიებში, დერეგულაციამ და კონკურენციამ გამოიწვია უსაფრთხოების და საიმედოობის გაუმჯობესება.</w:t>
      </w:r>
    </w:p>
    <w:p w:rsidR="006476D4" w:rsidRPr="00170A1A" w:rsidRDefault="006476D4" w:rsidP="000941AA">
      <w:pPr>
        <w:pStyle w:val="ListParagraph"/>
        <w:shd w:val="clear" w:color="auto" w:fill="FFFFFF"/>
        <w:spacing w:after="100" w:afterAutospacing="1" w:line="240" w:lineRule="auto"/>
        <w:ind w:left="705"/>
        <w:jc w:val="both"/>
        <w:textAlignment w:val="baseline"/>
        <w:rPr>
          <w:noProof/>
          <w:sz w:val="24"/>
          <w:szCs w:val="24"/>
          <w:lang w:val="en-US"/>
        </w:rPr>
      </w:pPr>
    </w:p>
    <w:p w:rsidR="006476D4" w:rsidRPr="00170A1A" w:rsidRDefault="006476D4" w:rsidP="000941AA">
      <w:pPr>
        <w:spacing w:after="0" w:line="240" w:lineRule="auto"/>
        <w:jc w:val="both"/>
        <w:rPr>
          <w:rFonts w:ascii="Sylfaen" w:hAnsi="Sylfaen"/>
          <w:sz w:val="24"/>
          <w:szCs w:val="24"/>
          <w:lang w:val="ka-GE"/>
        </w:rPr>
      </w:pPr>
      <w:r w:rsidRPr="00170A1A">
        <w:rPr>
          <w:rFonts w:ascii="Sylfaen" w:hAnsi="Sylfaen"/>
          <w:b/>
          <w:sz w:val="24"/>
          <w:szCs w:val="24"/>
          <w:lang w:val="ka-GE"/>
        </w:rPr>
        <w:t>საქართველოს ელექტრო ბაზარი</w:t>
      </w:r>
      <w:r w:rsidRPr="00170A1A">
        <w:rPr>
          <w:rFonts w:ascii="Sylfaen" w:hAnsi="Sylfaen"/>
          <w:sz w:val="24"/>
          <w:szCs w:val="24"/>
          <w:lang w:val="ka-GE"/>
        </w:rPr>
        <w:t xml:space="preserve"> </w:t>
      </w:r>
    </w:p>
    <w:p w:rsidR="006476D4" w:rsidRPr="00170A1A" w:rsidRDefault="006476D4" w:rsidP="000941AA">
      <w:pPr>
        <w:spacing w:after="0" w:line="240" w:lineRule="auto"/>
        <w:ind w:firstLine="708"/>
        <w:jc w:val="both"/>
        <w:rPr>
          <w:rFonts w:ascii="Sylfaen" w:hAnsi="Sylfaen"/>
          <w:sz w:val="24"/>
          <w:szCs w:val="24"/>
          <w:lang w:val="ka-GE"/>
        </w:rPr>
      </w:pPr>
      <w:r w:rsidRPr="00170A1A">
        <w:rPr>
          <w:rFonts w:ascii="Sylfaen" w:hAnsi="Sylfaen"/>
          <w:sz w:val="24"/>
          <w:szCs w:val="24"/>
          <w:lang w:val="ka-GE"/>
        </w:rPr>
        <w:t>საქართველოს ელექტროენერგეტიკული ბაზარი წარმოდგენილია კომერციული ოპერატორით, ენერგო გენერატორებით, ელექტროგადაცემისა და დისპეტჩერიზაციის ცენტრებით და სადისტრიბუციო კომპანიებით. საქართველოში მონოპოლიზებულია არა ელექტროენერგიის წარმოება, არამედ, მისი დისტრიბუცია. საქართველოში მხოლოდ 3 სადისტრიბუციო კომპანიაა, რომელთაც მთლიანად აქვთ ბაზარი გადანაწილებული და</w:t>
      </w:r>
      <w:bookmarkStart w:id="0" w:name="_GoBack"/>
      <w:bookmarkEnd w:id="0"/>
      <w:r w:rsidRPr="00170A1A">
        <w:rPr>
          <w:rFonts w:ascii="Sylfaen" w:hAnsi="Sylfaen"/>
          <w:sz w:val="24"/>
          <w:szCs w:val="24"/>
          <w:lang w:val="ka-GE"/>
        </w:rPr>
        <w:t xml:space="preserve"> ფაქტობრივად, კონკურენციის ნაცვლად მონოპოლიური სისტემაა ჩამოყალიბებული.</w:t>
      </w:r>
      <w:r w:rsidRPr="00170A1A">
        <w:rPr>
          <w:rFonts w:ascii="Sylfaen" w:hAnsi="Sylfaen"/>
          <w:sz w:val="24"/>
          <w:szCs w:val="24"/>
          <w:lang w:val="en-US"/>
        </w:rPr>
        <w:t xml:space="preserve"> </w:t>
      </w:r>
    </w:p>
    <w:p w:rsidR="006476D4" w:rsidRPr="00170A1A" w:rsidRDefault="006476D4" w:rsidP="000941AA">
      <w:pPr>
        <w:spacing w:after="0" w:line="240" w:lineRule="auto"/>
        <w:ind w:firstLine="360"/>
        <w:jc w:val="both"/>
        <w:rPr>
          <w:rFonts w:ascii="Sylfaen" w:hAnsi="Sylfaen"/>
          <w:sz w:val="24"/>
          <w:szCs w:val="24"/>
          <w:lang w:val="ka-GE"/>
        </w:rPr>
      </w:pPr>
      <w:r w:rsidRPr="00170A1A">
        <w:rPr>
          <w:rFonts w:ascii="Sylfaen" w:hAnsi="Sylfaen"/>
          <w:sz w:val="24"/>
          <w:szCs w:val="24"/>
          <w:lang w:val="ka-GE"/>
        </w:rPr>
        <w:t>ეს კომპანიებია:</w:t>
      </w:r>
    </w:p>
    <w:p w:rsidR="006476D4" w:rsidRPr="00170A1A" w:rsidRDefault="006476D4" w:rsidP="000941AA">
      <w:pPr>
        <w:pStyle w:val="ListParagraph"/>
        <w:numPr>
          <w:ilvl w:val="0"/>
          <w:numId w:val="5"/>
        </w:numPr>
        <w:spacing w:after="0" w:line="240" w:lineRule="auto"/>
        <w:jc w:val="both"/>
        <w:rPr>
          <w:rFonts w:ascii="Sylfaen" w:hAnsi="Sylfaen"/>
          <w:sz w:val="24"/>
          <w:szCs w:val="24"/>
          <w:lang w:val="ka-GE"/>
        </w:rPr>
      </w:pPr>
      <w:r w:rsidRPr="00170A1A">
        <w:rPr>
          <w:rFonts w:ascii="Sylfaen" w:hAnsi="Sylfaen"/>
          <w:sz w:val="24"/>
          <w:szCs w:val="24"/>
          <w:lang w:val="ka-GE"/>
        </w:rPr>
        <w:t xml:space="preserve">სს „ენერგო-პრო ჯორჯია“, რომელიც ენერგიის დისტრიბუციას ახდენს ქვეყნის ტერიტორიის 60%-ზე; </w:t>
      </w:r>
    </w:p>
    <w:p w:rsidR="006476D4" w:rsidRPr="00170A1A" w:rsidRDefault="006476D4" w:rsidP="000941AA">
      <w:pPr>
        <w:pStyle w:val="ListParagraph"/>
        <w:numPr>
          <w:ilvl w:val="0"/>
          <w:numId w:val="5"/>
        </w:numPr>
        <w:spacing w:after="0" w:line="240" w:lineRule="auto"/>
        <w:jc w:val="both"/>
        <w:rPr>
          <w:rFonts w:ascii="Sylfaen" w:hAnsi="Sylfaen"/>
          <w:sz w:val="24"/>
          <w:szCs w:val="24"/>
          <w:lang w:val="ka-GE"/>
        </w:rPr>
      </w:pPr>
      <w:r w:rsidRPr="00170A1A">
        <w:rPr>
          <w:rFonts w:ascii="Sylfaen" w:hAnsi="Sylfaen"/>
          <w:sz w:val="24"/>
          <w:szCs w:val="24"/>
          <w:lang w:val="ka-GE"/>
        </w:rPr>
        <w:t>სს „თელასი“, რომელიც ენერგიის დისტრიბუციას ახდენს მხოლოდ თბილისში.</w:t>
      </w:r>
    </w:p>
    <w:p w:rsidR="006476D4" w:rsidRPr="00170A1A" w:rsidRDefault="006476D4" w:rsidP="000941AA">
      <w:pPr>
        <w:pStyle w:val="ListParagraph"/>
        <w:numPr>
          <w:ilvl w:val="0"/>
          <w:numId w:val="5"/>
        </w:numPr>
        <w:spacing w:after="0" w:line="240" w:lineRule="auto"/>
        <w:jc w:val="both"/>
        <w:rPr>
          <w:rFonts w:ascii="Sylfaen" w:hAnsi="Sylfaen"/>
          <w:sz w:val="24"/>
          <w:szCs w:val="24"/>
          <w:lang w:val="ka-GE"/>
        </w:rPr>
      </w:pPr>
      <w:r w:rsidRPr="00170A1A">
        <w:rPr>
          <w:rFonts w:ascii="Sylfaen" w:hAnsi="Sylfaen"/>
          <w:sz w:val="24"/>
          <w:szCs w:val="24"/>
          <w:lang w:val="ka-GE"/>
        </w:rPr>
        <w:t>სს „კახეთის ენერგოდისტრიბუცია“, რომელიც ელექტროენერგიის დისტრიბუციას ახდენს კახეთსა და აღმოსავლეთ საქართველოში.</w:t>
      </w:r>
    </w:p>
    <w:p w:rsidR="006476D4" w:rsidRPr="00170A1A" w:rsidRDefault="006476D4" w:rsidP="000941AA">
      <w:pPr>
        <w:tabs>
          <w:tab w:val="left" w:pos="993"/>
        </w:tabs>
        <w:spacing w:after="0" w:line="240" w:lineRule="auto"/>
        <w:jc w:val="both"/>
        <w:rPr>
          <w:rFonts w:ascii="Sylfaen" w:hAnsi="Sylfaen"/>
          <w:sz w:val="24"/>
          <w:szCs w:val="24"/>
          <w:lang w:val="ka-GE"/>
        </w:rPr>
      </w:pPr>
      <w:r w:rsidRPr="00170A1A">
        <w:rPr>
          <w:rFonts w:ascii="Sylfaen" w:hAnsi="Sylfaen"/>
          <w:sz w:val="24"/>
          <w:szCs w:val="24"/>
          <w:lang w:val="ka-GE"/>
        </w:rPr>
        <w:tab/>
        <w:t>მონოპოლიური ბაზრის არსებობის პირობებში მუდმივად იქნება შენარ</w:t>
      </w:r>
      <w:r w:rsidRPr="00170A1A">
        <w:rPr>
          <w:rFonts w:ascii="Sylfaen" w:hAnsi="Sylfaen"/>
          <w:sz w:val="24"/>
          <w:szCs w:val="24"/>
          <w:lang w:val="ka-GE"/>
        </w:rPr>
        <w:softHyphen/>
        <w:t>ჩუნებული სადისტრიბუციო კომპანიების მოგების მაღალი მაჩვენებელი ტარიფში და სატარიფო პოლიტიკაში რაიმე მნიშვნელოვანი ცვლილების შეტანა მომხმარებელთა სასიკეთოდ თითქმის შეუძლებელი იქნება.</w:t>
      </w:r>
    </w:p>
    <w:p w:rsidR="006476D4" w:rsidRPr="00170A1A" w:rsidRDefault="006476D4" w:rsidP="000941AA">
      <w:pPr>
        <w:widowControl w:val="0"/>
        <w:spacing w:after="0" w:line="240" w:lineRule="auto"/>
        <w:ind w:firstLine="567"/>
        <w:jc w:val="both"/>
        <w:rPr>
          <w:rFonts w:ascii="Sylfaen" w:hAnsi="Sylfaen"/>
          <w:sz w:val="24"/>
          <w:szCs w:val="24"/>
          <w:lang w:val="ka-GE"/>
        </w:rPr>
      </w:pPr>
      <w:r w:rsidRPr="00170A1A">
        <w:rPr>
          <w:rFonts w:ascii="Sylfaen" w:hAnsi="Sylfaen"/>
          <w:sz w:val="24"/>
          <w:szCs w:val="24"/>
          <w:lang w:val="ka-GE"/>
        </w:rPr>
        <w:t xml:space="preserve">ამრიგად, თუ საქართველო შეძლებს  დანერგოს საზღვარგარეთ უკვე აპრობირებული </w:t>
      </w:r>
      <w:r w:rsidR="00D468F4">
        <w:rPr>
          <w:rFonts w:ascii="Sylfaen" w:hAnsi="Sylfaen"/>
          <w:sz w:val="24"/>
          <w:szCs w:val="24"/>
          <w:lang w:val="ka-GE"/>
        </w:rPr>
        <w:t>სად</w:t>
      </w:r>
      <w:r w:rsidRPr="00170A1A">
        <w:rPr>
          <w:rFonts w:ascii="Sylfaen" w:hAnsi="Sylfaen"/>
          <w:sz w:val="24"/>
          <w:szCs w:val="24"/>
          <w:lang w:val="ka-GE"/>
        </w:rPr>
        <w:t>ისტრიბუციო ქსელის</w:t>
      </w:r>
      <w:r w:rsidRPr="00170A1A">
        <w:rPr>
          <w:rFonts w:ascii="Sylfaen" w:hAnsi="Sylfaen"/>
          <w:sz w:val="24"/>
          <w:szCs w:val="24"/>
          <w:lang w:val="en-US"/>
        </w:rPr>
        <w:t xml:space="preserve"> </w:t>
      </w:r>
      <w:r w:rsidRPr="00170A1A">
        <w:rPr>
          <w:rFonts w:ascii="Sylfaen" w:hAnsi="Sylfaen"/>
          <w:sz w:val="24"/>
          <w:szCs w:val="24"/>
          <w:lang w:val="ka-GE"/>
        </w:rPr>
        <w:t xml:space="preserve"> დელეგირებული და კონკუ</w:t>
      </w:r>
      <w:r w:rsidRPr="00170A1A">
        <w:rPr>
          <w:rFonts w:ascii="Sylfaen" w:hAnsi="Sylfaen"/>
          <w:sz w:val="24"/>
          <w:szCs w:val="24"/>
          <w:lang w:val="ka-GE"/>
        </w:rPr>
        <w:softHyphen/>
        <w:t>რენტული მოდელი, რომელის ანალოგიც არსებობს აშშ-</w:t>
      </w:r>
      <w:r w:rsidR="00B2554C">
        <w:rPr>
          <w:rFonts w:ascii="Sylfaen" w:hAnsi="Sylfaen"/>
          <w:sz w:val="24"/>
          <w:szCs w:val="24"/>
          <w:lang w:val="ka-GE"/>
        </w:rPr>
        <w:t>შ</w:t>
      </w:r>
      <w:r w:rsidRPr="00170A1A">
        <w:rPr>
          <w:rFonts w:ascii="Sylfaen" w:hAnsi="Sylfaen"/>
          <w:sz w:val="24"/>
          <w:szCs w:val="24"/>
          <w:lang w:val="ka-GE"/>
        </w:rPr>
        <w:t xml:space="preserve">ი და ევროპის ზოგიერთ ქვეყანაში, ეს საშუალებას მოგვცემს </w:t>
      </w:r>
      <w:r w:rsidRPr="00170A1A">
        <w:rPr>
          <w:rFonts w:ascii="Sylfaen" w:hAnsi="Sylfaen"/>
          <w:spacing w:val="-4"/>
          <w:sz w:val="24"/>
          <w:szCs w:val="24"/>
          <w:lang w:val="ka-GE"/>
        </w:rPr>
        <w:t>რეგულირებადი და საქართველოს პირობებში მაღალი კონცენტრაციის ბაზრის გვერდით</w:t>
      </w:r>
      <w:r w:rsidRPr="00170A1A">
        <w:rPr>
          <w:rFonts w:ascii="Sylfaen" w:hAnsi="Sylfaen"/>
          <w:sz w:val="24"/>
          <w:szCs w:val="24"/>
          <w:lang w:val="ka-GE"/>
        </w:rPr>
        <w:t xml:space="preserve"> </w:t>
      </w:r>
      <w:r w:rsidRPr="00170A1A">
        <w:rPr>
          <w:rFonts w:ascii="Sylfaen" w:hAnsi="Sylfaen"/>
          <w:spacing w:val="-4"/>
          <w:sz w:val="24"/>
          <w:szCs w:val="24"/>
          <w:lang w:val="ka-GE"/>
        </w:rPr>
        <w:t xml:space="preserve">თანდათანობით </w:t>
      </w:r>
      <w:r w:rsidRPr="00170A1A">
        <w:rPr>
          <w:rFonts w:ascii="Sylfaen" w:hAnsi="Sylfaen"/>
          <w:sz w:val="24"/>
          <w:szCs w:val="24"/>
          <w:lang w:val="ka-GE"/>
        </w:rPr>
        <w:t>ჩამოყალიბდეს  დერეგუ</w:t>
      </w:r>
      <w:r w:rsidRPr="00170A1A">
        <w:rPr>
          <w:rFonts w:ascii="Sylfaen" w:hAnsi="Sylfaen"/>
          <w:sz w:val="24"/>
          <w:szCs w:val="24"/>
          <w:lang w:val="ka-GE"/>
        </w:rPr>
        <w:softHyphen/>
        <w:t xml:space="preserve">ლირებული და კონკურენტული საცალო ბაზარი, რომლზეც </w:t>
      </w:r>
      <w:r w:rsidR="00B2554C">
        <w:rPr>
          <w:rFonts w:ascii="Sylfaen" w:hAnsi="Sylfaen"/>
          <w:sz w:val="24"/>
          <w:szCs w:val="24"/>
          <w:lang w:val="ka-GE"/>
        </w:rPr>
        <w:t>დისტრიბუტორ</w:t>
      </w:r>
      <w:r w:rsidRPr="00170A1A">
        <w:rPr>
          <w:rFonts w:ascii="Sylfaen" w:hAnsi="Sylfaen"/>
          <w:sz w:val="24"/>
          <w:szCs w:val="24"/>
          <w:lang w:val="ka-GE"/>
        </w:rPr>
        <w:t xml:space="preserve"> კომპანიებს ექნებათ ბაზარზე თავისუფალი შესვლის საშუალება და საბოლოოდ მომსახურე ტერიტორიაზე, ჩამოყალიბდებიან საცალო კომუნალურ მიმწოდებლებად  და  ელექტროენერგიის სამრეწველო და შინამეურნეობების მომხმარებლებს მიეცემათ საშუალება, რეგულირებადი ტარიფის ნაცვლად აირჩიონ ბაზრის მონაწილე </w:t>
      </w:r>
      <w:r w:rsidR="00341F31" w:rsidRPr="00170A1A">
        <w:rPr>
          <w:rFonts w:ascii="Sylfaen" w:hAnsi="Sylfaen"/>
          <w:sz w:val="24"/>
          <w:szCs w:val="24"/>
          <w:lang w:val="ka-GE"/>
        </w:rPr>
        <w:t>დისტრიბუტორ</w:t>
      </w:r>
      <w:r w:rsidRPr="00170A1A">
        <w:rPr>
          <w:rFonts w:ascii="Sylfaen" w:hAnsi="Sylfaen"/>
          <w:sz w:val="24"/>
          <w:szCs w:val="24"/>
          <w:lang w:val="ka-GE"/>
        </w:rPr>
        <w:t xml:space="preserve"> კომპანიების  მიერ შემოთავაზებული კონკურენტული  ტარიფი</w:t>
      </w:r>
      <w:r w:rsidR="00341F31" w:rsidRPr="00170A1A">
        <w:rPr>
          <w:rFonts w:ascii="Sylfaen" w:hAnsi="Sylfaen"/>
          <w:sz w:val="24"/>
          <w:szCs w:val="24"/>
          <w:lang w:val="ka-GE"/>
        </w:rPr>
        <w:t>.</w:t>
      </w:r>
    </w:p>
    <w:p w:rsidR="006476D4" w:rsidRPr="00170A1A" w:rsidRDefault="006476D4" w:rsidP="000941AA">
      <w:pPr>
        <w:pStyle w:val="ListParagraph"/>
        <w:shd w:val="clear" w:color="auto" w:fill="FFFFFF"/>
        <w:spacing w:after="100" w:afterAutospacing="1" w:line="240" w:lineRule="auto"/>
        <w:ind w:left="705"/>
        <w:jc w:val="both"/>
        <w:textAlignment w:val="baseline"/>
        <w:rPr>
          <w:noProof/>
          <w:sz w:val="24"/>
          <w:szCs w:val="24"/>
          <w:lang w:val="en-US"/>
        </w:rPr>
      </w:pPr>
    </w:p>
    <w:p w:rsidR="001948FB" w:rsidRPr="00170A1A" w:rsidRDefault="001948FB" w:rsidP="000941AA">
      <w:pPr>
        <w:spacing w:line="240" w:lineRule="auto"/>
        <w:jc w:val="both"/>
        <w:rPr>
          <w:noProof/>
          <w:sz w:val="24"/>
          <w:szCs w:val="24"/>
          <w:lang w:val="ka-GE"/>
        </w:rPr>
      </w:pPr>
    </w:p>
    <w:p w:rsidR="001948FB" w:rsidRDefault="001948FB" w:rsidP="000941AA">
      <w:pPr>
        <w:spacing w:line="240" w:lineRule="auto"/>
        <w:jc w:val="both"/>
        <w:rPr>
          <w:noProof/>
          <w:sz w:val="24"/>
          <w:szCs w:val="24"/>
          <w:lang w:val="ka-GE"/>
        </w:rPr>
      </w:pPr>
    </w:p>
    <w:p w:rsidR="00BA733C" w:rsidRDefault="00BA733C" w:rsidP="000941AA">
      <w:pPr>
        <w:spacing w:line="240" w:lineRule="auto"/>
        <w:jc w:val="both"/>
        <w:rPr>
          <w:noProof/>
          <w:sz w:val="24"/>
          <w:szCs w:val="24"/>
          <w:lang w:val="ka-GE"/>
        </w:rPr>
      </w:pPr>
    </w:p>
    <w:p w:rsidR="00BA733C" w:rsidRPr="00170A1A" w:rsidRDefault="00BA733C" w:rsidP="000941AA">
      <w:pPr>
        <w:spacing w:line="240" w:lineRule="auto"/>
        <w:jc w:val="both"/>
        <w:rPr>
          <w:noProof/>
          <w:sz w:val="24"/>
          <w:szCs w:val="24"/>
          <w:lang w:val="ka-GE"/>
        </w:rPr>
      </w:pPr>
    </w:p>
    <w:p w:rsidR="003D5900" w:rsidRPr="00170A1A" w:rsidRDefault="00A9358B" w:rsidP="000941AA">
      <w:pPr>
        <w:spacing w:line="240" w:lineRule="auto"/>
        <w:jc w:val="both"/>
        <w:rPr>
          <w:noProof/>
          <w:sz w:val="24"/>
          <w:szCs w:val="24"/>
          <w:lang w:val="en-US"/>
        </w:rPr>
      </w:pPr>
      <w:r w:rsidRPr="00170A1A">
        <w:rPr>
          <w:noProof/>
          <w:sz w:val="24"/>
          <w:szCs w:val="24"/>
          <w:lang w:val="ka-GE"/>
        </w:rPr>
        <w:lastRenderedPageBreak/>
        <w:t xml:space="preserve">გამოყენებული ლიტერატურა: </w:t>
      </w:r>
    </w:p>
    <w:p w:rsidR="00F60AA2" w:rsidRPr="00170A1A" w:rsidRDefault="00DD7AB0" w:rsidP="000941AA">
      <w:pPr>
        <w:spacing w:line="240" w:lineRule="auto"/>
        <w:jc w:val="both"/>
        <w:rPr>
          <w:noProof/>
          <w:sz w:val="24"/>
          <w:szCs w:val="24"/>
          <w:lang w:val="en-US"/>
        </w:rPr>
      </w:pPr>
      <w:hyperlink r:id="rId9" w:history="1">
        <w:r w:rsidR="00F60AA2" w:rsidRPr="00170A1A">
          <w:rPr>
            <w:rStyle w:val="Hyperlink"/>
            <w:noProof/>
            <w:sz w:val="24"/>
            <w:szCs w:val="24"/>
            <w:lang w:val="en-US"/>
          </w:rPr>
          <w:t>https://www.electricchoice.com/blog/timeline-history-energy-deregulation/</w:t>
        </w:r>
      </w:hyperlink>
      <w:r w:rsidR="00F60AA2" w:rsidRPr="00170A1A">
        <w:rPr>
          <w:noProof/>
          <w:sz w:val="24"/>
          <w:szCs w:val="24"/>
          <w:lang w:val="en-US"/>
        </w:rPr>
        <w:t xml:space="preserve"> </w:t>
      </w:r>
    </w:p>
    <w:p w:rsidR="005F70C3" w:rsidRPr="00170A1A" w:rsidRDefault="005F70C3" w:rsidP="000941AA">
      <w:pPr>
        <w:spacing w:line="240" w:lineRule="auto"/>
        <w:jc w:val="both"/>
        <w:rPr>
          <w:noProof/>
          <w:sz w:val="24"/>
          <w:szCs w:val="24"/>
          <w:lang w:val="ka-GE"/>
        </w:rPr>
      </w:pPr>
      <w:r w:rsidRPr="00170A1A">
        <w:rPr>
          <w:sz w:val="24"/>
          <w:szCs w:val="24"/>
        </w:rPr>
        <w:t>https://www.eia.gov/electricity/state/</w:t>
      </w:r>
      <w:r w:rsidRPr="00170A1A">
        <w:rPr>
          <w:sz w:val="24"/>
          <w:szCs w:val="24"/>
          <w:lang w:val="ka-GE"/>
        </w:rPr>
        <w:t xml:space="preserve"> </w:t>
      </w:r>
    </w:p>
    <w:p w:rsidR="001948FB" w:rsidRPr="00656B49" w:rsidRDefault="00DD7AB0" w:rsidP="000941AA">
      <w:pPr>
        <w:jc w:val="both"/>
        <w:rPr>
          <w:rStyle w:val="Hyperlink"/>
          <w:noProof/>
          <w:sz w:val="24"/>
          <w:szCs w:val="24"/>
          <w:lang w:val="ka-GE"/>
        </w:rPr>
      </w:pPr>
      <w:hyperlink r:id="rId10" w:history="1">
        <w:r w:rsidR="005F70C3" w:rsidRPr="00656B49">
          <w:rPr>
            <w:rStyle w:val="Hyperlink"/>
            <w:noProof/>
            <w:sz w:val="24"/>
            <w:szCs w:val="24"/>
            <w:lang w:val="ka-GE"/>
          </w:rPr>
          <w:t>https://www.americanpowerandgas.com/5-benefits-of-energy-deregulation/</w:t>
        </w:r>
      </w:hyperlink>
    </w:p>
    <w:p w:rsidR="000941AA" w:rsidRPr="00656B49" w:rsidRDefault="000941AA" w:rsidP="000941AA">
      <w:pPr>
        <w:jc w:val="both"/>
        <w:rPr>
          <w:noProof/>
          <w:sz w:val="24"/>
          <w:szCs w:val="24"/>
          <w:lang w:val="ka-GE"/>
        </w:rPr>
      </w:pPr>
    </w:p>
    <w:p w:rsidR="00973671" w:rsidRPr="00170A1A" w:rsidRDefault="00973671" w:rsidP="000941AA">
      <w:pPr>
        <w:jc w:val="both"/>
        <w:rPr>
          <w:rFonts w:ascii="Sylfaen" w:eastAsia="Calibri" w:hAnsi="Sylfaen" w:cs="Times New Roman"/>
          <w:sz w:val="24"/>
          <w:szCs w:val="24"/>
          <w:lang w:val="en-US"/>
        </w:rPr>
      </w:pPr>
      <w:r w:rsidRPr="00170A1A">
        <w:rPr>
          <w:rFonts w:ascii="Sylfaen" w:eastAsia="Calibri" w:hAnsi="Sylfaen" w:cs="Times New Roman"/>
          <w:sz w:val="24"/>
          <w:szCs w:val="24"/>
          <w:lang w:val="en-US"/>
        </w:rPr>
        <w:t>From 80es of last century the high developed countries started deregulation of grid sectors of economy and these markets demonstrate perfect operation in competition environment.</w:t>
      </w:r>
    </w:p>
    <w:p w:rsidR="00973671" w:rsidRPr="00170A1A" w:rsidRDefault="00973671" w:rsidP="000941AA">
      <w:pPr>
        <w:jc w:val="both"/>
        <w:rPr>
          <w:sz w:val="24"/>
          <w:szCs w:val="24"/>
        </w:rPr>
      </w:pPr>
      <w:r w:rsidRPr="00170A1A">
        <w:rPr>
          <w:sz w:val="24"/>
          <w:szCs w:val="24"/>
        </w:rPr>
        <w:t xml:space="preserve">This article is dedicated to the steps of US energy deregulation which started after the introduction of Public Utility Holding Company Act – PUHCA in 1935 and it’s still ongoing process. </w:t>
      </w:r>
    </w:p>
    <w:p w:rsidR="00973671" w:rsidRPr="00170A1A" w:rsidRDefault="00973671" w:rsidP="000941AA">
      <w:pPr>
        <w:jc w:val="both"/>
        <w:rPr>
          <w:sz w:val="24"/>
          <w:szCs w:val="24"/>
        </w:rPr>
      </w:pPr>
      <w:r w:rsidRPr="00170A1A">
        <w:rPr>
          <w:sz w:val="24"/>
          <w:szCs w:val="24"/>
        </w:rPr>
        <w:t xml:space="preserve">The story of the gains of deregulation differs from state to state. While the electricity deregulation process demonstrates successful in some states the results of the same process is not so remarkable. </w:t>
      </w:r>
      <w:r w:rsidRPr="00170A1A">
        <w:rPr>
          <w:sz w:val="24"/>
          <w:szCs w:val="24"/>
          <w:lang w:val="en-US"/>
        </w:rPr>
        <w:t xml:space="preserve">Meanwhile </w:t>
      </w:r>
      <w:r w:rsidRPr="00170A1A">
        <w:rPr>
          <w:sz w:val="24"/>
          <w:szCs w:val="24"/>
        </w:rPr>
        <w:t xml:space="preserve">there are some states that have experimented with deregulation on a trial basis. </w:t>
      </w:r>
    </w:p>
    <w:p w:rsidR="00973671" w:rsidRPr="00170A1A" w:rsidRDefault="00973671" w:rsidP="000941AA">
      <w:pPr>
        <w:jc w:val="both"/>
        <w:rPr>
          <w:sz w:val="24"/>
          <w:szCs w:val="24"/>
        </w:rPr>
      </w:pPr>
      <w:r w:rsidRPr="00170A1A">
        <w:rPr>
          <w:sz w:val="24"/>
          <w:szCs w:val="24"/>
        </w:rPr>
        <w:t xml:space="preserve">For this reason the groups involved in the deregulation process have own interest and goals are lobbed in the Congress. </w:t>
      </w:r>
    </w:p>
    <w:p w:rsidR="00BA7845" w:rsidRPr="00170A1A" w:rsidRDefault="00BA7845" w:rsidP="000941AA">
      <w:pPr>
        <w:spacing w:line="240" w:lineRule="auto"/>
        <w:jc w:val="both"/>
        <w:rPr>
          <w:noProof/>
          <w:sz w:val="24"/>
          <w:szCs w:val="24"/>
          <w:lang w:val="en-US"/>
        </w:rPr>
      </w:pPr>
    </w:p>
    <w:sectPr w:rsidR="00BA7845" w:rsidRPr="00170A1A" w:rsidSect="00FC7391">
      <w:footerReference w:type="default" r:id="rId11"/>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AB0" w:rsidRDefault="00DD7AB0" w:rsidP="0009370D">
      <w:pPr>
        <w:spacing w:after="0" w:line="240" w:lineRule="auto"/>
      </w:pPr>
      <w:r>
        <w:separator/>
      </w:r>
    </w:p>
  </w:endnote>
  <w:endnote w:type="continuationSeparator" w:id="0">
    <w:p w:rsidR="00DD7AB0" w:rsidRDefault="00DD7AB0" w:rsidP="00093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452502"/>
      <w:docPartObj>
        <w:docPartGallery w:val="Page Numbers (Bottom of Page)"/>
        <w:docPartUnique/>
      </w:docPartObj>
    </w:sdtPr>
    <w:sdtEndPr>
      <w:rPr>
        <w:noProof/>
      </w:rPr>
    </w:sdtEndPr>
    <w:sdtContent>
      <w:p w:rsidR="0009370D" w:rsidRDefault="0009370D">
        <w:pPr>
          <w:pStyle w:val="Footer"/>
          <w:jc w:val="right"/>
        </w:pPr>
        <w:r>
          <w:fldChar w:fldCharType="begin"/>
        </w:r>
        <w:r>
          <w:instrText xml:space="preserve"> PAGE   \* MERGEFORMAT </w:instrText>
        </w:r>
        <w:r>
          <w:fldChar w:fldCharType="separate"/>
        </w:r>
        <w:r w:rsidR="001C7E27">
          <w:rPr>
            <w:noProof/>
          </w:rPr>
          <w:t>9</w:t>
        </w:r>
        <w:r>
          <w:rPr>
            <w:noProof/>
          </w:rPr>
          <w:fldChar w:fldCharType="end"/>
        </w:r>
      </w:p>
    </w:sdtContent>
  </w:sdt>
  <w:p w:rsidR="0009370D" w:rsidRDefault="000937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AB0" w:rsidRDefault="00DD7AB0" w:rsidP="0009370D">
      <w:pPr>
        <w:spacing w:after="0" w:line="240" w:lineRule="auto"/>
      </w:pPr>
      <w:r>
        <w:separator/>
      </w:r>
    </w:p>
  </w:footnote>
  <w:footnote w:type="continuationSeparator" w:id="0">
    <w:p w:rsidR="00DD7AB0" w:rsidRDefault="00DD7AB0" w:rsidP="0009370D">
      <w:pPr>
        <w:spacing w:after="0" w:line="240" w:lineRule="auto"/>
      </w:pPr>
      <w:r>
        <w:continuationSeparator/>
      </w:r>
    </w:p>
  </w:footnote>
  <w:footnote w:id="1">
    <w:p w:rsidR="00E07164" w:rsidRPr="00E07164" w:rsidRDefault="00E07164">
      <w:pPr>
        <w:pStyle w:val="FootnoteText"/>
        <w:rPr>
          <w:sz w:val="18"/>
          <w:szCs w:val="18"/>
          <w:lang w:val="en-US"/>
        </w:rPr>
      </w:pPr>
      <w:r>
        <w:rPr>
          <w:rStyle w:val="FootnoteReference"/>
        </w:rPr>
        <w:footnoteRef/>
      </w:r>
      <w:r>
        <w:t xml:space="preserve"> </w:t>
      </w:r>
      <w:r w:rsidRPr="00E07164">
        <w:rPr>
          <w:sz w:val="18"/>
          <w:szCs w:val="18"/>
        </w:rPr>
        <w:t>https://www.electricchoice.com/blog/timeline-history-energy-deregulation/</w:t>
      </w:r>
    </w:p>
  </w:footnote>
  <w:footnote w:id="2">
    <w:p w:rsidR="0060553C" w:rsidRPr="0060553C" w:rsidRDefault="0060553C">
      <w:pPr>
        <w:pStyle w:val="FootnoteText"/>
        <w:rPr>
          <w:lang w:val="ka-GE"/>
        </w:rPr>
      </w:pPr>
      <w:r>
        <w:rPr>
          <w:rStyle w:val="FootnoteReference"/>
        </w:rPr>
        <w:footnoteRef/>
      </w:r>
      <w:r>
        <w:t xml:space="preserve"> </w:t>
      </w:r>
      <w:r w:rsidRPr="0060553C">
        <w:t>https://www.eia.gov/electricity/state/</w:t>
      </w:r>
    </w:p>
  </w:footnote>
  <w:footnote w:id="3">
    <w:p w:rsidR="001948FB" w:rsidRPr="00656B49" w:rsidRDefault="001948FB">
      <w:pPr>
        <w:pStyle w:val="FootnoteText"/>
        <w:rPr>
          <w:lang w:val="ka-GE"/>
        </w:rPr>
      </w:pPr>
      <w:r>
        <w:rPr>
          <w:rStyle w:val="FootnoteReference"/>
        </w:rPr>
        <w:footnoteRef/>
      </w:r>
      <w:r w:rsidRPr="00656B49">
        <w:rPr>
          <w:lang w:val="ka-GE"/>
        </w:rPr>
        <w:t xml:space="preserve"> https://www.americanpowerandgas.com/5-benefits-of-energy-deregulation/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1154"/>
    <w:multiLevelType w:val="hybridMultilevel"/>
    <w:tmpl w:val="074890C4"/>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1">
    <w:nsid w:val="29FA1571"/>
    <w:multiLevelType w:val="hybridMultilevel"/>
    <w:tmpl w:val="22A0C6B2"/>
    <w:lvl w:ilvl="0" w:tplc="EDD0C28C">
      <w:numFmt w:val="bullet"/>
      <w:lvlText w:val="•"/>
      <w:lvlJc w:val="left"/>
      <w:pPr>
        <w:ind w:left="720" w:hanging="360"/>
      </w:pPr>
      <w:rPr>
        <w:rFonts w:ascii="Sylfaen" w:eastAsiaTheme="minorHAnsi" w:hAnsi="Sylfaen" w:cstheme="minorBidi"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abstractNum w:abstractNumId="2">
    <w:nsid w:val="4049721A"/>
    <w:multiLevelType w:val="multilevel"/>
    <w:tmpl w:val="1C20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35677AA"/>
    <w:multiLevelType w:val="hybridMultilevel"/>
    <w:tmpl w:val="66042646"/>
    <w:lvl w:ilvl="0" w:tplc="E41A3EF4">
      <w:start w:val="1"/>
      <w:numFmt w:val="decimal"/>
      <w:lvlText w:val="%1."/>
      <w:lvlJc w:val="left"/>
      <w:pPr>
        <w:ind w:left="705" w:hanging="405"/>
      </w:pPr>
      <w:rPr>
        <w:rFonts w:hint="default"/>
      </w:rPr>
    </w:lvl>
    <w:lvl w:ilvl="1" w:tplc="04370019" w:tentative="1">
      <w:start w:val="1"/>
      <w:numFmt w:val="lowerLetter"/>
      <w:lvlText w:val="%2."/>
      <w:lvlJc w:val="left"/>
      <w:pPr>
        <w:ind w:left="1380" w:hanging="360"/>
      </w:pPr>
    </w:lvl>
    <w:lvl w:ilvl="2" w:tplc="0437001B" w:tentative="1">
      <w:start w:val="1"/>
      <w:numFmt w:val="lowerRoman"/>
      <w:lvlText w:val="%3."/>
      <w:lvlJc w:val="right"/>
      <w:pPr>
        <w:ind w:left="2100" w:hanging="180"/>
      </w:pPr>
    </w:lvl>
    <w:lvl w:ilvl="3" w:tplc="0437000F" w:tentative="1">
      <w:start w:val="1"/>
      <w:numFmt w:val="decimal"/>
      <w:lvlText w:val="%4."/>
      <w:lvlJc w:val="left"/>
      <w:pPr>
        <w:ind w:left="2820" w:hanging="360"/>
      </w:pPr>
    </w:lvl>
    <w:lvl w:ilvl="4" w:tplc="04370019" w:tentative="1">
      <w:start w:val="1"/>
      <w:numFmt w:val="lowerLetter"/>
      <w:lvlText w:val="%5."/>
      <w:lvlJc w:val="left"/>
      <w:pPr>
        <w:ind w:left="3540" w:hanging="360"/>
      </w:pPr>
    </w:lvl>
    <w:lvl w:ilvl="5" w:tplc="0437001B" w:tentative="1">
      <w:start w:val="1"/>
      <w:numFmt w:val="lowerRoman"/>
      <w:lvlText w:val="%6."/>
      <w:lvlJc w:val="right"/>
      <w:pPr>
        <w:ind w:left="4260" w:hanging="180"/>
      </w:pPr>
    </w:lvl>
    <w:lvl w:ilvl="6" w:tplc="0437000F" w:tentative="1">
      <w:start w:val="1"/>
      <w:numFmt w:val="decimal"/>
      <w:lvlText w:val="%7."/>
      <w:lvlJc w:val="left"/>
      <w:pPr>
        <w:ind w:left="4980" w:hanging="360"/>
      </w:pPr>
    </w:lvl>
    <w:lvl w:ilvl="7" w:tplc="04370019" w:tentative="1">
      <w:start w:val="1"/>
      <w:numFmt w:val="lowerLetter"/>
      <w:lvlText w:val="%8."/>
      <w:lvlJc w:val="left"/>
      <w:pPr>
        <w:ind w:left="5700" w:hanging="360"/>
      </w:pPr>
    </w:lvl>
    <w:lvl w:ilvl="8" w:tplc="0437001B" w:tentative="1">
      <w:start w:val="1"/>
      <w:numFmt w:val="lowerRoman"/>
      <w:lvlText w:val="%9."/>
      <w:lvlJc w:val="right"/>
      <w:pPr>
        <w:ind w:left="6420" w:hanging="180"/>
      </w:pPr>
    </w:lvl>
  </w:abstractNum>
  <w:abstractNum w:abstractNumId="4">
    <w:nsid w:val="59A14977"/>
    <w:multiLevelType w:val="hybridMultilevel"/>
    <w:tmpl w:val="2096747A"/>
    <w:lvl w:ilvl="0" w:tplc="0437000F">
      <w:start w:val="1"/>
      <w:numFmt w:val="decimal"/>
      <w:lvlText w:val="%1."/>
      <w:lvlJc w:val="left"/>
      <w:pPr>
        <w:ind w:left="720" w:hanging="360"/>
      </w:pPr>
    </w:lvl>
    <w:lvl w:ilvl="1" w:tplc="04370019" w:tentative="1">
      <w:start w:val="1"/>
      <w:numFmt w:val="lowerLetter"/>
      <w:lvlText w:val="%2."/>
      <w:lvlJc w:val="left"/>
      <w:pPr>
        <w:ind w:left="1440" w:hanging="360"/>
      </w:pPr>
    </w:lvl>
    <w:lvl w:ilvl="2" w:tplc="0437001B" w:tentative="1">
      <w:start w:val="1"/>
      <w:numFmt w:val="lowerRoman"/>
      <w:lvlText w:val="%3."/>
      <w:lvlJc w:val="right"/>
      <w:pPr>
        <w:ind w:left="2160" w:hanging="180"/>
      </w:pPr>
    </w:lvl>
    <w:lvl w:ilvl="3" w:tplc="0437000F" w:tentative="1">
      <w:start w:val="1"/>
      <w:numFmt w:val="decimal"/>
      <w:lvlText w:val="%4."/>
      <w:lvlJc w:val="left"/>
      <w:pPr>
        <w:ind w:left="2880" w:hanging="360"/>
      </w:pPr>
    </w:lvl>
    <w:lvl w:ilvl="4" w:tplc="04370019" w:tentative="1">
      <w:start w:val="1"/>
      <w:numFmt w:val="lowerLetter"/>
      <w:lvlText w:val="%5."/>
      <w:lvlJc w:val="left"/>
      <w:pPr>
        <w:ind w:left="3600" w:hanging="360"/>
      </w:pPr>
    </w:lvl>
    <w:lvl w:ilvl="5" w:tplc="0437001B" w:tentative="1">
      <w:start w:val="1"/>
      <w:numFmt w:val="lowerRoman"/>
      <w:lvlText w:val="%6."/>
      <w:lvlJc w:val="right"/>
      <w:pPr>
        <w:ind w:left="4320" w:hanging="180"/>
      </w:pPr>
    </w:lvl>
    <w:lvl w:ilvl="6" w:tplc="0437000F" w:tentative="1">
      <w:start w:val="1"/>
      <w:numFmt w:val="decimal"/>
      <w:lvlText w:val="%7."/>
      <w:lvlJc w:val="left"/>
      <w:pPr>
        <w:ind w:left="5040" w:hanging="360"/>
      </w:pPr>
    </w:lvl>
    <w:lvl w:ilvl="7" w:tplc="04370019" w:tentative="1">
      <w:start w:val="1"/>
      <w:numFmt w:val="lowerLetter"/>
      <w:lvlText w:val="%8."/>
      <w:lvlJc w:val="left"/>
      <w:pPr>
        <w:ind w:left="5760" w:hanging="360"/>
      </w:pPr>
    </w:lvl>
    <w:lvl w:ilvl="8" w:tplc="043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FE7"/>
    <w:rsid w:val="00015729"/>
    <w:rsid w:val="000438AB"/>
    <w:rsid w:val="000471AC"/>
    <w:rsid w:val="0009370D"/>
    <w:rsid w:val="000941AA"/>
    <w:rsid w:val="000C461B"/>
    <w:rsid w:val="000D1E27"/>
    <w:rsid w:val="000E3CE8"/>
    <w:rsid w:val="001003DF"/>
    <w:rsid w:val="00110A65"/>
    <w:rsid w:val="00143789"/>
    <w:rsid w:val="001613F2"/>
    <w:rsid w:val="00170A1A"/>
    <w:rsid w:val="0017195A"/>
    <w:rsid w:val="001948FB"/>
    <w:rsid w:val="001967E1"/>
    <w:rsid w:val="001C7E27"/>
    <w:rsid w:val="001E01DC"/>
    <w:rsid w:val="001F2832"/>
    <w:rsid w:val="00216B07"/>
    <w:rsid w:val="00220C2C"/>
    <w:rsid w:val="0022397A"/>
    <w:rsid w:val="0027284E"/>
    <w:rsid w:val="00292DFB"/>
    <w:rsid w:val="002A2D4B"/>
    <w:rsid w:val="002B319D"/>
    <w:rsid w:val="00305472"/>
    <w:rsid w:val="00330932"/>
    <w:rsid w:val="00331143"/>
    <w:rsid w:val="00331531"/>
    <w:rsid w:val="00332D80"/>
    <w:rsid w:val="00341F31"/>
    <w:rsid w:val="003633B8"/>
    <w:rsid w:val="00377E02"/>
    <w:rsid w:val="0038506E"/>
    <w:rsid w:val="003868BF"/>
    <w:rsid w:val="003A200F"/>
    <w:rsid w:val="003D50A3"/>
    <w:rsid w:val="003D5900"/>
    <w:rsid w:val="003F1EAA"/>
    <w:rsid w:val="003F3E49"/>
    <w:rsid w:val="003F593B"/>
    <w:rsid w:val="004627B1"/>
    <w:rsid w:val="00470A9B"/>
    <w:rsid w:val="004A280B"/>
    <w:rsid w:val="004D4ADD"/>
    <w:rsid w:val="004D7731"/>
    <w:rsid w:val="004F60CF"/>
    <w:rsid w:val="005505FE"/>
    <w:rsid w:val="00584E98"/>
    <w:rsid w:val="005C0A45"/>
    <w:rsid w:val="005C359F"/>
    <w:rsid w:val="005D2EDE"/>
    <w:rsid w:val="005D77E0"/>
    <w:rsid w:val="005E4EC0"/>
    <w:rsid w:val="005F59E4"/>
    <w:rsid w:val="005F70C3"/>
    <w:rsid w:val="0060553C"/>
    <w:rsid w:val="0061174E"/>
    <w:rsid w:val="006170D0"/>
    <w:rsid w:val="006210FE"/>
    <w:rsid w:val="00640D06"/>
    <w:rsid w:val="0064582E"/>
    <w:rsid w:val="006476D4"/>
    <w:rsid w:val="00656B49"/>
    <w:rsid w:val="006668FE"/>
    <w:rsid w:val="006C3EFC"/>
    <w:rsid w:val="006C70B7"/>
    <w:rsid w:val="00726C6B"/>
    <w:rsid w:val="00733A97"/>
    <w:rsid w:val="00735F56"/>
    <w:rsid w:val="00744A22"/>
    <w:rsid w:val="007577AE"/>
    <w:rsid w:val="007600D2"/>
    <w:rsid w:val="0076210F"/>
    <w:rsid w:val="007664D0"/>
    <w:rsid w:val="007A6BE6"/>
    <w:rsid w:val="00801805"/>
    <w:rsid w:val="00872C61"/>
    <w:rsid w:val="00894656"/>
    <w:rsid w:val="008A530F"/>
    <w:rsid w:val="008C09F5"/>
    <w:rsid w:val="008F0DAC"/>
    <w:rsid w:val="009153B3"/>
    <w:rsid w:val="00915D4A"/>
    <w:rsid w:val="00917B06"/>
    <w:rsid w:val="00937C9A"/>
    <w:rsid w:val="00973671"/>
    <w:rsid w:val="009C12BC"/>
    <w:rsid w:val="009D2CC3"/>
    <w:rsid w:val="009F1C4C"/>
    <w:rsid w:val="00A26E6F"/>
    <w:rsid w:val="00A35A1C"/>
    <w:rsid w:val="00A45BEE"/>
    <w:rsid w:val="00A5238C"/>
    <w:rsid w:val="00A70B0B"/>
    <w:rsid w:val="00A9358B"/>
    <w:rsid w:val="00A97CB0"/>
    <w:rsid w:val="00AA1BA9"/>
    <w:rsid w:val="00AB6DE8"/>
    <w:rsid w:val="00AE3AEB"/>
    <w:rsid w:val="00B23733"/>
    <w:rsid w:val="00B2554C"/>
    <w:rsid w:val="00B46EF2"/>
    <w:rsid w:val="00B66FBE"/>
    <w:rsid w:val="00B67DF9"/>
    <w:rsid w:val="00BA733C"/>
    <w:rsid w:val="00BA7845"/>
    <w:rsid w:val="00BC130A"/>
    <w:rsid w:val="00BD6E71"/>
    <w:rsid w:val="00C1380B"/>
    <w:rsid w:val="00C24C76"/>
    <w:rsid w:val="00C36704"/>
    <w:rsid w:val="00C60253"/>
    <w:rsid w:val="00C835D4"/>
    <w:rsid w:val="00C93B31"/>
    <w:rsid w:val="00CC2271"/>
    <w:rsid w:val="00CC6407"/>
    <w:rsid w:val="00CF5066"/>
    <w:rsid w:val="00D00913"/>
    <w:rsid w:val="00D27CDC"/>
    <w:rsid w:val="00D468F4"/>
    <w:rsid w:val="00D61DDE"/>
    <w:rsid w:val="00D643FC"/>
    <w:rsid w:val="00D65C71"/>
    <w:rsid w:val="00D91695"/>
    <w:rsid w:val="00DA51C8"/>
    <w:rsid w:val="00DD22BC"/>
    <w:rsid w:val="00DD7AB0"/>
    <w:rsid w:val="00DE4246"/>
    <w:rsid w:val="00DE77FE"/>
    <w:rsid w:val="00E07164"/>
    <w:rsid w:val="00E11B4E"/>
    <w:rsid w:val="00E32454"/>
    <w:rsid w:val="00E62830"/>
    <w:rsid w:val="00E65AAC"/>
    <w:rsid w:val="00E90A20"/>
    <w:rsid w:val="00EA2432"/>
    <w:rsid w:val="00EA6C32"/>
    <w:rsid w:val="00EB7518"/>
    <w:rsid w:val="00EC736D"/>
    <w:rsid w:val="00F07F30"/>
    <w:rsid w:val="00F21150"/>
    <w:rsid w:val="00F330EB"/>
    <w:rsid w:val="00F33FE7"/>
    <w:rsid w:val="00F36958"/>
    <w:rsid w:val="00F60AA2"/>
    <w:rsid w:val="00F801F3"/>
    <w:rsid w:val="00F961E6"/>
    <w:rsid w:val="00FB5ACD"/>
    <w:rsid w:val="00FB5AD1"/>
    <w:rsid w:val="00FC4B5B"/>
    <w:rsid w:val="00FC7391"/>
    <w:rsid w:val="00FD0FDF"/>
    <w:rsid w:val="00FE0E96"/>
    <w:rsid w:val="00FF6A32"/>
  </w:rsids>
  <m:mathPr>
    <m:mathFont m:val="Cambria Math"/>
    <m:brkBin m:val="before"/>
    <m:brkBinSub m:val="--"/>
    <m:smallFrac m:val="0"/>
    <m:dispDef/>
    <m:lMargin m:val="0"/>
    <m:rMargin m:val="0"/>
    <m:defJc m:val="centerGroup"/>
    <m:wrapIndent m:val="1440"/>
    <m:intLim m:val="subSup"/>
    <m:naryLim m:val="undOvr"/>
  </m:mathPr>
  <w:themeFontLang w:val="ka-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0D2"/>
    <w:rPr>
      <w:lang w:val="en-GB"/>
    </w:rPr>
  </w:style>
  <w:style w:type="paragraph" w:styleId="Heading2">
    <w:name w:val="heading 2"/>
    <w:basedOn w:val="Normal"/>
    <w:link w:val="Heading2Char"/>
    <w:uiPriority w:val="9"/>
    <w:qFormat/>
    <w:rsid w:val="005505FE"/>
    <w:pPr>
      <w:spacing w:before="100" w:beforeAutospacing="1" w:after="100" w:afterAutospacing="1" w:line="240" w:lineRule="auto"/>
      <w:outlineLvl w:val="1"/>
    </w:pPr>
    <w:rPr>
      <w:rFonts w:ascii="Times New Roman" w:eastAsia="Times New Roman" w:hAnsi="Times New Roman" w:cs="Times New Roman"/>
      <w:b/>
      <w:bCs/>
      <w:sz w:val="36"/>
      <w:szCs w:val="36"/>
      <w:lang w:val="ka-GE" w:eastAsia="ka-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0D"/>
    <w:rPr>
      <w:lang w:val="en-GB"/>
    </w:rPr>
  </w:style>
  <w:style w:type="paragraph" w:styleId="Footer">
    <w:name w:val="footer"/>
    <w:basedOn w:val="Normal"/>
    <w:link w:val="FooterChar"/>
    <w:uiPriority w:val="99"/>
    <w:unhideWhenUsed/>
    <w:rsid w:val="0009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0D"/>
    <w:rPr>
      <w:lang w:val="en-GB"/>
    </w:rPr>
  </w:style>
  <w:style w:type="character" w:customStyle="1" w:styleId="Heading2Char">
    <w:name w:val="Heading 2 Char"/>
    <w:basedOn w:val="DefaultParagraphFont"/>
    <w:link w:val="Heading2"/>
    <w:uiPriority w:val="9"/>
    <w:rsid w:val="005505FE"/>
    <w:rPr>
      <w:rFonts w:ascii="Times New Roman" w:eastAsia="Times New Roman" w:hAnsi="Times New Roman" w:cs="Times New Roman"/>
      <w:b/>
      <w:bCs/>
      <w:sz w:val="36"/>
      <w:szCs w:val="36"/>
      <w:lang w:eastAsia="ka-GE"/>
    </w:rPr>
  </w:style>
  <w:style w:type="paragraph" w:styleId="NormalWeb">
    <w:name w:val="Normal (Web)"/>
    <w:basedOn w:val="Normal"/>
    <w:uiPriority w:val="99"/>
    <w:unhideWhenUsed/>
    <w:rsid w:val="005505FE"/>
    <w:pPr>
      <w:spacing w:before="100" w:beforeAutospacing="1" w:after="100" w:afterAutospacing="1" w:line="240" w:lineRule="auto"/>
    </w:pPr>
    <w:rPr>
      <w:rFonts w:ascii="Times New Roman" w:eastAsia="Times New Roman" w:hAnsi="Times New Roman" w:cs="Times New Roman"/>
      <w:sz w:val="24"/>
      <w:szCs w:val="24"/>
      <w:lang w:val="ka-GE" w:eastAsia="ka-GE"/>
    </w:rPr>
  </w:style>
  <w:style w:type="character" w:styleId="Hyperlink">
    <w:name w:val="Hyperlink"/>
    <w:basedOn w:val="DefaultParagraphFont"/>
    <w:uiPriority w:val="99"/>
    <w:unhideWhenUsed/>
    <w:rsid w:val="005505FE"/>
    <w:rPr>
      <w:color w:val="0000FF"/>
      <w:u w:val="single"/>
    </w:rPr>
  </w:style>
  <w:style w:type="paragraph" w:styleId="ListParagraph">
    <w:name w:val="List Paragraph"/>
    <w:basedOn w:val="Normal"/>
    <w:uiPriority w:val="34"/>
    <w:qFormat/>
    <w:rsid w:val="00FF6A32"/>
    <w:pPr>
      <w:ind w:left="720"/>
      <w:contextualSpacing/>
    </w:pPr>
  </w:style>
  <w:style w:type="character" w:styleId="FollowedHyperlink">
    <w:name w:val="FollowedHyperlink"/>
    <w:basedOn w:val="DefaultParagraphFont"/>
    <w:uiPriority w:val="99"/>
    <w:semiHidden/>
    <w:unhideWhenUsed/>
    <w:rsid w:val="00FB5AD1"/>
    <w:rPr>
      <w:color w:val="954F72" w:themeColor="followedHyperlink"/>
      <w:u w:val="single"/>
    </w:rPr>
  </w:style>
  <w:style w:type="paragraph" w:styleId="FootnoteText">
    <w:name w:val="footnote text"/>
    <w:basedOn w:val="Normal"/>
    <w:link w:val="FootnoteTextChar"/>
    <w:uiPriority w:val="99"/>
    <w:semiHidden/>
    <w:unhideWhenUsed/>
    <w:rsid w:val="00E071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164"/>
    <w:rPr>
      <w:sz w:val="20"/>
      <w:szCs w:val="20"/>
      <w:lang w:val="en-GB"/>
    </w:rPr>
  </w:style>
  <w:style w:type="character" w:styleId="FootnoteReference">
    <w:name w:val="footnote reference"/>
    <w:basedOn w:val="DefaultParagraphFont"/>
    <w:uiPriority w:val="99"/>
    <w:semiHidden/>
    <w:unhideWhenUsed/>
    <w:rsid w:val="00E07164"/>
    <w:rPr>
      <w:vertAlign w:val="superscript"/>
    </w:rPr>
  </w:style>
  <w:style w:type="table" w:styleId="TableGrid">
    <w:name w:val="Table Grid"/>
    <w:basedOn w:val="TableNormal"/>
    <w:uiPriority w:val="39"/>
    <w:rsid w:val="00C24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0D2"/>
    <w:rPr>
      <w:lang w:val="en-GB"/>
    </w:rPr>
  </w:style>
  <w:style w:type="paragraph" w:styleId="Heading2">
    <w:name w:val="heading 2"/>
    <w:basedOn w:val="Normal"/>
    <w:link w:val="Heading2Char"/>
    <w:uiPriority w:val="9"/>
    <w:qFormat/>
    <w:rsid w:val="005505FE"/>
    <w:pPr>
      <w:spacing w:before="100" w:beforeAutospacing="1" w:after="100" w:afterAutospacing="1" w:line="240" w:lineRule="auto"/>
      <w:outlineLvl w:val="1"/>
    </w:pPr>
    <w:rPr>
      <w:rFonts w:ascii="Times New Roman" w:eastAsia="Times New Roman" w:hAnsi="Times New Roman" w:cs="Times New Roman"/>
      <w:b/>
      <w:bCs/>
      <w:sz w:val="36"/>
      <w:szCs w:val="36"/>
      <w:lang w:val="ka-GE" w:eastAsia="ka-G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70D"/>
    <w:rPr>
      <w:lang w:val="en-GB"/>
    </w:rPr>
  </w:style>
  <w:style w:type="paragraph" w:styleId="Footer">
    <w:name w:val="footer"/>
    <w:basedOn w:val="Normal"/>
    <w:link w:val="FooterChar"/>
    <w:uiPriority w:val="99"/>
    <w:unhideWhenUsed/>
    <w:rsid w:val="000937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70D"/>
    <w:rPr>
      <w:lang w:val="en-GB"/>
    </w:rPr>
  </w:style>
  <w:style w:type="character" w:customStyle="1" w:styleId="Heading2Char">
    <w:name w:val="Heading 2 Char"/>
    <w:basedOn w:val="DefaultParagraphFont"/>
    <w:link w:val="Heading2"/>
    <w:uiPriority w:val="9"/>
    <w:rsid w:val="005505FE"/>
    <w:rPr>
      <w:rFonts w:ascii="Times New Roman" w:eastAsia="Times New Roman" w:hAnsi="Times New Roman" w:cs="Times New Roman"/>
      <w:b/>
      <w:bCs/>
      <w:sz w:val="36"/>
      <w:szCs w:val="36"/>
      <w:lang w:eastAsia="ka-GE"/>
    </w:rPr>
  </w:style>
  <w:style w:type="paragraph" w:styleId="NormalWeb">
    <w:name w:val="Normal (Web)"/>
    <w:basedOn w:val="Normal"/>
    <w:uiPriority w:val="99"/>
    <w:unhideWhenUsed/>
    <w:rsid w:val="005505FE"/>
    <w:pPr>
      <w:spacing w:before="100" w:beforeAutospacing="1" w:after="100" w:afterAutospacing="1" w:line="240" w:lineRule="auto"/>
    </w:pPr>
    <w:rPr>
      <w:rFonts w:ascii="Times New Roman" w:eastAsia="Times New Roman" w:hAnsi="Times New Roman" w:cs="Times New Roman"/>
      <w:sz w:val="24"/>
      <w:szCs w:val="24"/>
      <w:lang w:val="ka-GE" w:eastAsia="ka-GE"/>
    </w:rPr>
  </w:style>
  <w:style w:type="character" w:styleId="Hyperlink">
    <w:name w:val="Hyperlink"/>
    <w:basedOn w:val="DefaultParagraphFont"/>
    <w:uiPriority w:val="99"/>
    <w:unhideWhenUsed/>
    <w:rsid w:val="005505FE"/>
    <w:rPr>
      <w:color w:val="0000FF"/>
      <w:u w:val="single"/>
    </w:rPr>
  </w:style>
  <w:style w:type="paragraph" w:styleId="ListParagraph">
    <w:name w:val="List Paragraph"/>
    <w:basedOn w:val="Normal"/>
    <w:uiPriority w:val="34"/>
    <w:qFormat/>
    <w:rsid w:val="00FF6A32"/>
    <w:pPr>
      <w:ind w:left="720"/>
      <w:contextualSpacing/>
    </w:pPr>
  </w:style>
  <w:style w:type="character" w:styleId="FollowedHyperlink">
    <w:name w:val="FollowedHyperlink"/>
    <w:basedOn w:val="DefaultParagraphFont"/>
    <w:uiPriority w:val="99"/>
    <w:semiHidden/>
    <w:unhideWhenUsed/>
    <w:rsid w:val="00FB5AD1"/>
    <w:rPr>
      <w:color w:val="954F72" w:themeColor="followedHyperlink"/>
      <w:u w:val="single"/>
    </w:rPr>
  </w:style>
  <w:style w:type="paragraph" w:styleId="FootnoteText">
    <w:name w:val="footnote text"/>
    <w:basedOn w:val="Normal"/>
    <w:link w:val="FootnoteTextChar"/>
    <w:uiPriority w:val="99"/>
    <w:semiHidden/>
    <w:unhideWhenUsed/>
    <w:rsid w:val="00E071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164"/>
    <w:rPr>
      <w:sz w:val="20"/>
      <w:szCs w:val="20"/>
      <w:lang w:val="en-GB"/>
    </w:rPr>
  </w:style>
  <w:style w:type="character" w:styleId="FootnoteReference">
    <w:name w:val="footnote reference"/>
    <w:basedOn w:val="DefaultParagraphFont"/>
    <w:uiPriority w:val="99"/>
    <w:semiHidden/>
    <w:unhideWhenUsed/>
    <w:rsid w:val="00E07164"/>
    <w:rPr>
      <w:vertAlign w:val="superscript"/>
    </w:rPr>
  </w:style>
  <w:style w:type="table" w:styleId="TableGrid">
    <w:name w:val="Table Grid"/>
    <w:basedOn w:val="TableNormal"/>
    <w:uiPriority w:val="39"/>
    <w:rsid w:val="00C24C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7819">
      <w:bodyDiv w:val="1"/>
      <w:marLeft w:val="0"/>
      <w:marRight w:val="0"/>
      <w:marTop w:val="0"/>
      <w:marBottom w:val="0"/>
      <w:divBdr>
        <w:top w:val="none" w:sz="0" w:space="0" w:color="auto"/>
        <w:left w:val="none" w:sz="0" w:space="0" w:color="auto"/>
        <w:bottom w:val="none" w:sz="0" w:space="0" w:color="auto"/>
        <w:right w:val="none" w:sz="0" w:space="0" w:color="auto"/>
      </w:divBdr>
    </w:div>
    <w:div w:id="1339507515">
      <w:bodyDiv w:val="1"/>
      <w:marLeft w:val="0"/>
      <w:marRight w:val="0"/>
      <w:marTop w:val="0"/>
      <w:marBottom w:val="0"/>
      <w:divBdr>
        <w:top w:val="none" w:sz="0" w:space="0" w:color="auto"/>
        <w:left w:val="none" w:sz="0" w:space="0" w:color="auto"/>
        <w:bottom w:val="none" w:sz="0" w:space="0" w:color="auto"/>
        <w:right w:val="none" w:sz="0" w:space="0" w:color="auto"/>
      </w:divBdr>
    </w:div>
    <w:div w:id="1648167650">
      <w:bodyDiv w:val="1"/>
      <w:marLeft w:val="0"/>
      <w:marRight w:val="0"/>
      <w:marTop w:val="0"/>
      <w:marBottom w:val="0"/>
      <w:divBdr>
        <w:top w:val="none" w:sz="0" w:space="0" w:color="auto"/>
        <w:left w:val="none" w:sz="0" w:space="0" w:color="auto"/>
        <w:bottom w:val="none" w:sz="0" w:space="0" w:color="auto"/>
        <w:right w:val="none" w:sz="0" w:space="0" w:color="auto"/>
      </w:divBdr>
    </w:div>
    <w:div w:id="2008287312">
      <w:bodyDiv w:val="1"/>
      <w:marLeft w:val="0"/>
      <w:marRight w:val="0"/>
      <w:marTop w:val="0"/>
      <w:marBottom w:val="0"/>
      <w:divBdr>
        <w:top w:val="none" w:sz="0" w:space="0" w:color="auto"/>
        <w:left w:val="none" w:sz="0" w:space="0" w:color="auto"/>
        <w:bottom w:val="none" w:sz="0" w:space="0" w:color="auto"/>
        <w:right w:val="none" w:sz="0" w:space="0" w:color="auto"/>
      </w:divBdr>
    </w:div>
    <w:div w:id="202174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americanpowerandgas.com/5-benefits-of-energy-deregulation/" TargetMode="External"/><Relationship Id="rId4" Type="http://schemas.microsoft.com/office/2007/relationships/stylesWithEffects" Target="stylesWithEffects.xml"/><Relationship Id="rId9" Type="http://schemas.openxmlformats.org/officeDocument/2006/relationships/hyperlink" Target="https://www.electricchoice.com/blog/timeline-history-energy-de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526D7-E185-4F1F-A00C-D4A822F8F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10</Pages>
  <Words>3140</Words>
  <Characters>17898</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 Basiashvili</dc:creator>
  <cp:keywords/>
  <dc:description/>
  <cp:lastModifiedBy>manana lobzhanidze</cp:lastModifiedBy>
  <cp:revision>104</cp:revision>
  <dcterms:created xsi:type="dcterms:W3CDTF">2018-05-31T09:59:00Z</dcterms:created>
  <dcterms:modified xsi:type="dcterms:W3CDTF">2018-09-26T15:05:00Z</dcterms:modified>
</cp:coreProperties>
</file>