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32"/>
        </w:rPr>
        <w:t>CORTECH CONSULTING GROUP</w:t>
      </w:r>
    </w:p>
    <w:p>
      <w:pPr>
        <w:jc w:val="center"/>
      </w:pPr>
      <w:r>
        <w:rPr>
          <w:i/>
        </w:rPr>
        <w:t>Technical Proposal</w:t>
      </w:r>
    </w:p>
    <w:p/>
    <w:p>
      <w:pPr>
        <w:jc w:val="center"/>
      </w:pPr>
      <w:r>
        <w:rPr>
          <w:b/>
          <w:sz w:val="28"/>
        </w:rPr>
        <w:t>Consultant to conduct capacity gap assessment of job centre in Ethiopia</w:t>
      </w:r>
    </w:p>
    <w:p>
      <w:pPr>
        <w:jc w:val="center"/>
      </w:pPr>
      <w:r>
        <w:t>Client: International Labour Organization (ILO)</w:t>
        <w:br/>
      </w:r>
      <w:r>
        <w:t>Submitted by: Cortech Consulting Group</w:t>
        <w:br/>
      </w:r>
      <w:r>
        <w:t>Date: 28 August 2026</w:t>
      </w:r>
    </w:p>
    <w:p>
      <w:r>
        <w:br w:type="page"/>
      </w:r>
    </w:p>
    <w:p>
      <w:r>
        <w:fldChar w:fldCharType="begin"/>
        <w:instrText xml:space="preserve">TOC \o "1-1" \h \z \u</w:instrText>
        <w:fldChar w:fldCharType="separate"/>
        <w:fldChar w:fldCharType="end"/>
      </w:r>
    </w:p>
    <w:p>
      <w:r>
        <w:br w:type="page"/>
      </w:r>
    </w:p>
    <w:p>
      <w:pPr>
        <w:pStyle w:val="Heading1"/>
      </w:pPr>
      <w:r>
        <w:t>Cover Letter</w:t>
      </w:r>
    </w:p>
    <w:p>
      <w:r>
        <w:t>International Labour Organization (ILO) Regional Office for Africa (ROAF) Procurement Committee Submitted via the ILO e-Sourcing Platform (EXCOLL)</w:t>
      </w:r>
    </w:p>
    <w:p>
      <w:r>
        <w:t>Reference: rfx_9919_ROAF — Consultant to Conduct Capacity Gap Assessment of Job Centre in Ethiopia</w:t>
      </w:r>
    </w:p>
    <w:p>
      <w:r>
        <w:t>Dear Members of the Procurement Committee,</w:t>
      </w:r>
    </w:p>
    <w:p>
      <w:r>
        <w:t>Cortech Consulting Group submits this proposal in response to rfx_9919_ROAF, for a rapid capacity gap assessment of job centres operating in migrant prone areas of Ethiopia, specifically Addis Ababa, the surrounding Sheger City, and selected areas of Oromia Region. We understand the assignment requires a review of each job centre's mandate, structure, staffing, procedures, tools and resources; an assessment of staff skills and priority training needs; and an examination of core services — registration, counselling, vacancy collection, job matching, referrals, data management and reporting — including their accessibility for women, youth and persons with disabilities. We further understand that findings must be translated into a prioritized, implementable capacity building plan naming responsible actors, timelines and estimated resources, developed through consultation with MoLS, social partners, the private sector and selected stakeholders, and finalized through a co-facilitated validation workshop and subsequent revision based on ILO, MoLS and stakeholder feedback.</w:t>
      </w:r>
    </w:p>
    <w:p>
      <w:r>
        <w:t>Cortech's relevant experience lies in institutional and capacity assessments conducted for multilateral and government counterparts across East Africa. Our assessment of Out of School Children (OOSC) and adolescents across Dadaab, Kakuma and Kalobeyei for UNICEF (2024) applied the same institutional review logic this assignment requires — mapping service structures, staffing and referral pathways, and assessing accessibility for vulnerable groups across multiple locations. Our end-term and endline evaluations for Kenya Red Cross Society (2025) similarly combined institutional capacity analysis with stakeholder consultation across government and community structures in resource-constrained settings. Our current role as MEL partner to the Somali Civic Engagement Facility, and our completed survey work for GIZ (2024) benchmarking organizational practice across international agencies in Somalia, demonstrate our familiarity with the coordination expectations of UN-system clients such as ILO. Across each assignment, we applied structured stakeholder consultation and participatory research methods to surface practical, actionable findings rather than descriptive reporting alone.</w:t>
      </w:r>
    </w:p>
    <w:p>
      <w:r>
        <w:t>For this assignment, Cortech will nominate an Ethiopia-based national consultant with direct familiarity with MoLS structures and Ethiopia's public employment services architecture to lead the fieldwork in Addis Ababa, Sheger City and Oromia Region, supported by Cortech's Nairobi-based technical backstopping on institutional analysis, gender and disability inclusion review, and workshop facilitation. This structure allows the assignment to be led, as the terms require, by a national consultant with firsthand contextual knowledge, while drawing on Cortech's established methodology for institutional capacity assessment, stakeholder mapping and training needs analysis, and our multilingual capability to support consultation with MoLS, social partners and private sector actors.</w:t>
      </w:r>
    </w:p>
    <w:p>
      <w:r>
        <w:t>Cortech confirms its intent to complete registration on the ILO e-Sourcing Platform (EXCOLL) at the Basic level indicated in the notice, and to submit this technical proposal ahead of the stated deadline of 31 August 2026, 16:00 (GMT+2). We remain available to provide any clarification the Committee requires and to retrieve and comply with the detailed terms of reference, submission forms and evaluation instructions referenced on the ILO e-Sourcing Platform once accessible to us.</w:t>
      </w:r>
    </w:p>
    <w:p>
      <w:r>
        <w:br w:type="page"/>
      </w:r>
    </w:p>
    <w:p>
      <w:pPr>
        <w:pStyle w:val="Heading1"/>
      </w:pPr>
      <w:r>
        <w:t>Executive Summary</w:t>
      </w:r>
    </w:p>
    <w:p>
      <w:r>
        <w:t>Ethiopia's job centers in migrant prone areas — most notably in Addis Ababa, the surrounding Sheger City, and selected areas of Oromia Region — sit at the frontline of managing labour migration pressures, yet the International Labour Organization (ILO) has identified a need to understand precisely where these institutions are able to deliver, and where they fall short. The assignment calls for a rapid capacity gap assessment that examines each job centre's mandate, structure, staffing, procedures, tools and available resources; assesses staff skills against priority training needs; and reviews the core services delivered to jobseekers and employers — registration, counselling, vacancy collection, job matching, referrals, data management and reporting. Critically, the ILO has framed accessibility as a distinct analytical lens, requiring specific attention to how these services function for women, youth and persons with disabilities. The findings must translate into a prioritized, implementable capacity building plan naming responsible actors, timelines and estimated resources, developed in consultation with the Ministry of Labour and Skills (MoLS), social partners, the private sector and selected stakeholders, and validated through a co-facilitated workshop before finalization. This is an institutional diagnostic assignment with a clear action-planning endpoint, not a research exercise for its own sake.</w:t>
      </w:r>
    </w:p>
    <w:p>
      <w:r>
        <w:t>Cortech's approach is built on the recognition that a capacity gap assessment of this kind is only as useful as its ability to distinguish between gaps that are structural (mandate, staffing establishment, resourcing) and gaps that are operational (procedures, tools, staff skill sets applied against the registration-through-reporting service chain). Rather than treating the job centre as a single unit of analysis, the design disaggregates each service function — registration, counselling, vacancy collection, job matching, referrals, data management and reporting — into its own line of inquiry, cross-referenced against staffing and tooling at each site, so that the resulting capacity building plan can assign responsible actors and timelines against specific, named deficits rather than generalized recommendations. Accessibility for women, youth and persons with disabilities is assessed as a parallel line of inquiry within each site visit rather than folded into a single closing question, ensuring the assessment captures physical, procedural and attitudinal barriers separately. This disaggregated, site-by-site design is what allows the assessment to remain "rapid" without sacrificing the granularity the capacity building plan requires to be genuinely implementable.</w:t>
      </w:r>
    </w:p>
    <w:p>
      <w:r>
        <w:t>The assignment is structured around a national consultant engaged as an External Collaborator, consistent with the ILO's individual-consultant modality, supported by Cortech's Ethiopia-based network and Nairobi-based quality assurance backstop. The nominated consultant brings firsthand familiarity with Ethiopia's public employment services architecture and MoLS coordination structures, and is supported for design, analysis and reporting quality control by Cortech's regional MEL practice, which has fielded comparable institutional and community-level assessments for UNICEF across Dadaab, Kakuma and Kalobeyei in Kenya (2024), examining service access and structural gaps for out-of-school children and adolescents across multiple settlement sites — a design directly analogous to the multi-site, service-disaggregated approach proposed here. Cortech's ongoing MEL partnership role on the Somali Civic Engagement Facility (2026) further evidences the firm's capacity to sustain stakeholder consultation processes with government and non-government actors over successive engagement cycles, a skill set directly transferable to the MoLS, social partner and private sector consultations this assignment requires.</w:t>
      </w:r>
    </w:p>
    <w:p>
      <w:r>
        <w:t>Delivery is sequenced to fit the assessment ahead of the validation workshop: an inception step to confirm the job centre sites in Addis Ababa, Sheger City and Oromia Region and finalize data collection tools, followed by site-level fieldwork and stakeholder consultations with MoLS, social partners and the private sector, then consolidation into the capacity gap assessment report and the accompanying capacity building plan. Quality is controlled through a two-stage internal review — first by the national consultant against the site-level evidence, then by Cortech's MEL backstop against consistency and completeness across sites — before any draft is shared with the ILO. The client receives a draft capacity gap assessment report and draft capacity building plan ahead of the validation workshop, which Cortech co-facilitates alongside ILO and MoLS, and receives finalized versions of both outputs incorporating feedback from the ILO, MoLS and stakeholders as the closing deliverable. Cost considerations, including the fee structure for the national consultant's engagement, are addressed exclusively in the separate financial proposal.</w:t>
      </w:r>
    </w:p>
    <w:p>
      <w:r>
        <w:br w:type="page"/>
      </w:r>
    </w:p>
    <w:p>
      <w:pPr>
        <w:pStyle w:val="Heading1"/>
      </w:pPr>
      <w:r>
        <w:t>Organisational Profile &amp; Track Record</w:t>
      </w:r>
    </w:p>
    <w:p>
      <w:r>
        <w:t>Cortech Consulting Group is an international development consulting firm headquartered in Nairobi, Kenya, with additional offices in Mogadishu, Somalia, and London, United Kingdom. Since its establishment in 2015, Cortech has completed consultancies for United Nations agencies, government ministries, and international non-governmental organisations across Somalia, Kenya, Ethiopia, Sudan, South Sudan, Uganda, Tanzania, Malawi and Djibouti, with Ethiopia named among the firm's primary geographic focus areas alongside Somalia and Kenya. Cortech is a registered company in Kenya and the United Kingdom and is licensed to operate in Somalia; the firm holds ISO certification and maintains a child safeguarding policy and PSEA compliance, both directly relevant to an assignment examining service accessibility for women, youth and persons with disabilities within Ethiopia's job centre system.</w:t>
      </w:r>
    </w:p>
    <w:p>
      <w:r>
        <w:t>Cortech's core thematic areas most relevant to this assignment are Monitoring, Evaluation and Learning; Capacity Building and Training; Policy Analysis and Advocacy; and Livelihoods and Economic Inclusion — the same combination of institutional review, skills-gap diagnosis, and actor-specific capacity planning that a rapid capacity gap assessment of migrant-prone-area job centres requires. The firm has delivered institutional capacity assessments and end-term evaluations for the World Bank, IOM, African Union, IGAD, UNDP, UNICEF, UN Women, and multiple national government counterparts, giving it direct experience translating institutional review findings into implementable, actor-specific plans of the kind MoLS and ILO have requested for this assignment.</w:t>
      </w:r>
    </w:p>
    <w:p>
      <w:r>
        <w:t>Cortech fields Amharic, English, Somali, Swahili, Arabic and French language capacity across its network of core staff and associate consultants, supporting direct engagement with MoLS officials, social partners, and job centre staff in Addis Ababa, Sheger City and Oromia Region without translation delay. The firm's KoboToolbox-based data collection systems and structured KII/FGD protocols, developed across refugee-hosting and migration-affected settings in Kenya and Somalia, are directly transferable to the staffing, procedures, and service-accessibility review this assignment requires. Cortech's distinguishing strength for this call is the combination of a resident East Africa platform with a demonstrated record of converting institutional assessments into prioritised, actor-and-timeline-specific capacity building plans rather than descriptive gap reports alone.</w:t>
      </w:r>
    </w:p>
    <w:p>
      <w:pPr>
        <w:pStyle w:val="Heading2"/>
      </w:pPr>
      <w:r>
        <w:t>SECTION 2 — RELATED PREVIOUS ASSIGNMENTS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Project</w:t>
            </w:r>
          </w:p>
        </w:tc>
        <w:tc>
          <w:tcPr>
            <w:tcW w:type="dxa" w:w="1440"/>
          </w:tcPr>
          <w:p>
            <w:r>
              <w:rPr>
                <w:b/>
              </w:rPr>
            </w:r>
            <w:r>
              <w:rPr>
                <w:b/>
              </w:rPr>
              <w:t>Client</w:t>
            </w:r>
          </w:p>
        </w:tc>
        <w:tc>
          <w:tcPr>
            <w:tcW w:type="dxa" w:w="1440"/>
          </w:tcPr>
          <w:p>
            <w:r>
              <w:rPr>
                <w:b/>
              </w:rPr>
            </w:r>
            <w:r>
              <w:rPr>
                <w:b/>
              </w:rPr>
              <w:t>Country</w:t>
            </w:r>
          </w:p>
        </w:tc>
        <w:tc>
          <w:tcPr>
            <w:tcW w:type="dxa" w:w="1440"/>
          </w:tcPr>
          <w:p>
            <w:r>
              <w:rPr>
                <w:b/>
              </w:rPr>
            </w:r>
            <w:r>
              <w:rPr>
                <w:b/>
              </w:rPr>
              <w:t>Year</w:t>
            </w:r>
          </w:p>
        </w:tc>
        <w:tc>
          <w:tcPr>
            <w:tcW w:type="dxa" w:w="1440"/>
          </w:tcPr>
          <w:p>
            <w:r>
              <w:rPr>
                <w:b/>
              </w:rPr>
            </w:r>
            <w:r>
              <w:rPr>
                <w:b/>
              </w:rPr>
              <w:t>Scope delivered</w:t>
            </w:r>
          </w:p>
        </w:tc>
        <w:tc>
          <w:tcPr>
            <w:tcW w:type="dxa" w:w="1440"/>
          </w:tcPr>
          <w:p>
            <w:r>
              <w:rPr>
                <w:b/>
              </w:rPr>
            </w:r>
            <w:r>
              <w:rPr>
                <w:b/>
              </w:rPr>
              <w:t>Relevance to this assignment</w:t>
            </w:r>
          </w:p>
        </w:tc>
      </w:tr>
      <w:tr>
        <w:tc>
          <w:tcPr>
            <w:tcW w:type="dxa" w:w="1440"/>
          </w:tcPr>
          <w:p>
            <w:r/>
            <w:r>
              <w:t>Institutional Consultancy to Undertake Assessment of Out of School Children (OOSC) and Adolescents in Dadaab, Kakuma and Kalobeyei Settlement Areas</w:t>
            </w:r>
          </w:p>
        </w:tc>
        <w:tc>
          <w:tcPr>
            <w:tcW w:type="dxa" w:w="1440"/>
          </w:tcPr>
          <w:p>
            <w:r/>
            <w:r>
              <w:t>UNICEF</w:t>
            </w:r>
          </w:p>
        </w:tc>
        <w:tc>
          <w:tcPr>
            <w:tcW w:type="dxa" w:w="1440"/>
          </w:tcPr>
          <w:p>
            <w:r/>
            <w:r>
              <w:t>Kenya</w:t>
            </w:r>
          </w:p>
        </w:tc>
        <w:tc>
          <w:tcPr>
            <w:tcW w:type="dxa" w:w="1440"/>
          </w:tcPr>
          <w:p>
            <w:r/>
            <w:r>
              <w:t>2024</w:t>
            </w:r>
          </w:p>
        </w:tc>
        <w:tc>
          <w:tcPr>
            <w:tcW w:type="dxa" w:w="1440"/>
          </w:tcPr>
          <w:p>
            <w:r/>
            <w:r>
              <w:t>Mixed-methods institutional assessment across three refugee-hosting settlement areas, including tool selection tailored to mobility and security constraints and a structured risk management plan</w:t>
            </w:r>
          </w:p>
        </w:tc>
        <w:tc>
          <w:tcPr>
            <w:tcW w:type="dxa" w:w="1440"/>
          </w:tcPr>
          <w:p>
            <w:r/>
            <w:r>
              <w:t>Demonstrates the rapid, migration-context institutional assessment methodology this tender requires when reviewing job centre mandate, structure and staffing in migrant prone areas such as Sheger City and Oromia Region</w:t>
            </w:r>
          </w:p>
        </w:tc>
      </w:tr>
      <w:tr>
        <w:tc>
          <w:tcPr>
            <w:tcW w:type="dxa" w:w="1440"/>
          </w:tcPr>
          <w:p>
            <w:r/>
            <w:r>
              <w:t>Monitoring, Evaluation, and Learning Partner for the Somali Civic Engagement Facility</w:t>
            </w:r>
          </w:p>
        </w:tc>
        <w:tc>
          <w:tcPr>
            <w:tcW w:type="dxa" w:w="1440"/>
          </w:tcPr>
          <w:p>
            <w:r/>
            <w:r>
              <w:t>Civic Engagement Facility (CEF) / Adam Smith International Africa Limited</w:t>
            </w:r>
          </w:p>
        </w:tc>
        <w:tc>
          <w:tcPr>
            <w:tcW w:type="dxa" w:w="1440"/>
          </w:tcPr>
          <w:p>
            <w:r/>
            <w:r>
              <w:t>Somalia</w:t>
            </w:r>
          </w:p>
        </w:tc>
        <w:tc>
          <w:tcPr>
            <w:tcW w:type="dxa" w:w="1440"/>
          </w:tcPr>
          <w:p>
            <w:r/>
            <w:r>
              <w:t>2026</w:t>
            </w:r>
          </w:p>
        </w:tc>
        <w:tc>
          <w:tcPr>
            <w:tcW w:type="dxa" w:w="1440"/>
          </w:tcPr>
          <w:p>
            <w:r/>
            <w:r>
              <w:t>Multi-year MEAL partnership design in joint venture, built on established relationships with civil society and government stakeholders</w:t>
            </w:r>
          </w:p>
        </w:tc>
        <w:tc>
          <w:tcPr>
            <w:tcW w:type="dxa" w:w="1440"/>
          </w:tcPr>
          <w:p>
            <w:r/>
            <w:r>
              <w:t>Evidences the stakeholder consultation design needed to identify "practical areas for coordination" among MoLS, social partners and private sector actors specified in this assignment</w:t>
            </w:r>
          </w:p>
        </w:tc>
      </w:tr>
      <w:tr>
        <w:tc>
          <w:tcPr>
            <w:tcW w:type="dxa" w:w="1440"/>
          </w:tcPr>
          <w:p>
            <w:r/>
            <w:r>
              <w:t>Survey of applicable expert remuneration fees in comparable organizations in Somalia</w:t>
            </w:r>
          </w:p>
        </w:tc>
        <w:tc>
          <w:tcPr>
            <w:tcW w:type="dxa" w:w="1440"/>
          </w:tcPr>
          <w:p>
            <w:r/>
            <w:r>
              <w:t>GIZ (German International Cooperation)</w:t>
            </w:r>
          </w:p>
        </w:tc>
        <w:tc>
          <w:tcPr>
            <w:tcW w:type="dxa" w:w="1440"/>
          </w:tcPr>
          <w:p>
            <w:r/>
            <w:r>
              <w:t>Somalia</w:t>
            </w:r>
          </w:p>
        </w:tc>
        <w:tc>
          <w:tcPr>
            <w:tcW w:type="dxa" w:w="1440"/>
          </w:tcPr>
          <w:p>
            <w:r/>
            <w:r>
              <w:t>2024</w:t>
            </w:r>
          </w:p>
        </w:tc>
        <w:tc>
          <w:tcPr>
            <w:tcW w:type="dxa" w:w="1440"/>
          </w:tcPr>
          <w:p>
            <w:r/>
            <w:r>
              <w:t>15-day rapid comparative survey of remuneration practices across international organisations, tied to TVET modernization and youth employment priorities</w:t>
            </w:r>
          </w:p>
        </w:tc>
        <w:tc>
          <w:tcPr>
            <w:tcW w:type="dxa" w:w="1440"/>
          </w:tcPr>
          <w:p>
            <w:r/>
            <w:r>
              <w:t>Confirms Cortech's capability in rapid, time-bound labour-sector diagnostic work directly comparable to the short assignment window for this job centre capacity gap assessment</w:t>
            </w:r>
          </w:p>
        </w:tc>
      </w:tr>
      <w:tr>
        <w:tc>
          <w:tcPr>
            <w:tcW w:type="dxa" w:w="1440"/>
          </w:tcPr>
          <w:p>
            <w:r/>
            <w:r>
              <w:t>Consultancy Services for Awareness, Prevention and Training on HIV/AIDS, Drug Abuse and Gender Mainstreaming (Kobo-Elwak Road Project)</w:t>
            </w:r>
          </w:p>
        </w:tc>
        <w:tc>
          <w:tcPr>
            <w:tcW w:type="dxa" w:w="1440"/>
          </w:tcPr>
          <w:p>
            <w:r/>
            <w:r>
              <w:t>Kenya National Highways Authority (KeNHA)</w:t>
            </w:r>
          </w:p>
        </w:tc>
        <w:tc>
          <w:tcPr>
            <w:tcW w:type="dxa" w:w="1440"/>
          </w:tcPr>
          <w:p>
            <w:r/>
            <w:r>
              <w:t>Kenya</w:t>
            </w:r>
          </w:p>
        </w:tc>
        <w:tc>
          <w:tcPr>
            <w:tcW w:type="dxa" w:w="1440"/>
          </w:tcPr>
          <w:p>
            <w:r/>
            <w:r>
              <w:t>2026</w:t>
            </w:r>
          </w:p>
        </w:tc>
        <w:tc>
          <w:tcPr>
            <w:tcW w:type="dxa" w:w="1440"/>
          </w:tcPr>
          <w:p>
            <w:r/>
            <w:r>
              <w:t>Training design for 40 peer educators, gender-transformative messaging, and phased inception-implementation-close-out structure over 48 months</w:t>
            </w:r>
          </w:p>
        </w:tc>
        <w:tc>
          <w:tcPr>
            <w:tcW w:type="dxa" w:w="1440"/>
          </w:tcPr>
          <w:p>
            <w:r/>
            <w:r>
              <w:t>Demonstrates the capacity building plan design skills — naming responsible actors, phased timelines and resourcing — required for the prioritized, implementable plan this tender specifies</w:t>
            </w:r>
          </w:p>
        </w:tc>
      </w:tr>
      <w:tr>
        <w:tc>
          <w:tcPr>
            <w:tcW w:type="dxa" w:w="1440"/>
          </w:tcPr>
          <w:p>
            <w:r/>
            <w:r>
              <w:t>Endline Evaluation of the Continuity in Crisis Project</w:t>
            </w:r>
          </w:p>
        </w:tc>
        <w:tc>
          <w:tcPr>
            <w:tcW w:type="dxa" w:w="1440"/>
          </w:tcPr>
          <w:p>
            <w:r/>
            <w:r>
              <w:t>Kenya Red Cross Society (KRCS)</w:t>
            </w:r>
          </w:p>
        </w:tc>
        <w:tc>
          <w:tcPr>
            <w:tcW w:type="dxa" w:w="1440"/>
          </w:tcPr>
          <w:p>
            <w:r/>
            <w:r>
              <w:t>Kenya</w:t>
            </w:r>
          </w:p>
        </w:tc>
        <w:tc>
          <w:tcPr>
            <w:tcW w:type="dxa" w:w="1440"/>
          </w:tcPr>
          <w:p>
            <w:r/>
            <w:r>
              <w:t>2025</w:t>
            </w:r>
          </w:p>
        </w:tc>
        <w:tc>
          <w:tcPr>
            <w:tcW w:type="dxa" w:w="1440"/>
          </w:tcPr>
          <w:p>
            <w:r/>
            <w:r>
              <w:t>Institutional performance assessment against baseline and midline benchmarks across NCD prevention, care integration and emergency preparedness in refugee and host populations</w:t>
            </w:r>
          </w:p>
        </w:tc>
        <w:tc>
          <w:tcPr>
            <w:tcW w:type="dxa" w:w="1440"/>
          </w:tcPr>
          <w:p>
            <w:r/>
            <w:r>
              <w:t>Confirms experience assessing service delivery quality and accessibility for vulnerable populations, comparable to the accessibility review for women, youth and persons with disabilities in this assignment</w:t>
            </w:r>
          </w:p>
        </w:tc>
      </w:tr>
      <w:tr>
        <w:tc>
          <w:tcPr>
            <w:tcW w:type="dxa" w:w="1440"/>
          </w:tcPr>
          <w:p>
            <w:r/>
            <w:r>
              <w:t>Consultancy Services for Awareness, Prevention and Training on HIV/AIDS, Drug Abuse and Gender Mainstreaming</w:t>
            </w:r>
          </w:p>
        </w:tc>
        <w:tc>
          <w:tcPr>
            <w:tcW w:type="dxa" w:w="1440"/>
          </w:tcPr>
          <w:p>
            <w:r/>
            <w:r>
              <w:t>Kenya National Highways Authority (KeNHA)</w:t>
            </w:r>
          </w:p>
        </w:tc>
        <w:tc>
          <w:tcPr>
            <w:tcW w:type="dxa" w:w="1440"/>
          </w:tcPr>
          <w:p>
            <w:r/>
            <w:r>
              <w:t>Kenya</w:t>
            </w:r>
          </w:p>
        </w:tc>
        <w:tc>
          <w:tcPr>
            <w:tcW w:type="dxa" w:w="1440"/>
          </w:tcPr>
          <w:p>
            <w:r/>
            <w:r>
              <w:t>2026</w:t>
            </w:r>
          </w:p>
        </w:tc>
        <w:tc>
          <w:tcPr>
            <w:tcW w:type="dxa" w:w="1440"/>
          </w:tcPr>
          <w:p>
            <w:r/>
            <w:r>
              <w:t>Digital real-time reporting system deployment, culturally-sensitive engagement methodology, and comprehensive risk management across a 48-month engagement</w:t>
            </w:r>
          </w:p>
        </w:tc>
        <w:tc>
          <w:tcPr>
            <w:tcW w:type="dxa" w:w="1440"/>
          </w:tcPr>
          <w:p>
            <w:r/>
            <w:r>
              <w:t>Evidences data management and reporting system design relevant to the job centre data management and reporting function this assessment must review</w:t>
            </w:r>
          </w:p>
        </w:tc>
      </w:tr>
      <w:tr>
        <w:tc>
          <w:tcPr>
            <w:tcW w:type="dxa" w:w="1440"/>
          </w:tcPr>
          <w:p>
            <w:r/>
            <w:r>
              <w:t>End-Term Evaluation of the Resilience, Health and Rights Project</w:t>
            </w:r>
          </w:p>
        </w:tc>
        <w:tc>
          <w:tcPr>
            <w:tcW w:type="dxa" w:w="1440"/>
          </w:tcPr>
          <w:p>
            <w:r/>
            <w:r>
              <w:t>Kenya Red Cross Society (KRCS)</w:t>
            </w:r>
          </w:p>
        </w:tc>
        <w:tc>
          <w:tcPr>
            <w:tcW w:type="dxa" w:w="1440"/>
          </w:tcPr>
          <w:p>
            <w:r/>
            <w:r>
              <w:t>Kenya</w:t>
            </w:r>
          </w:p>
        </w:tc>
        <w:tc>
          <w:tcPr>
            <w:tcW w:type="dxa" w:w="1440"/>
          </w:tcPr>
          <w:p>
            <w:r/>
            <w:r>
              <w:t>2025</w:t>
            </w:r>
          </w:p>
        </w:tc>
        <w:tc>
          <w:tcPr>
            <w:tcW w:type="dxa" w:w="1440"/>
          </w:tcPr>
          <w:p>
            <w:r/>
            <w:r>
              <w:t>Evaluation of an integrated resilience project across five arid and semi-asemi-arid counties serving displaced and host communities, including Dadaab and Kalobeyei</w:t>
            </w:r>
          </w:p>
        </w:tc>
        <w:tc>
          <w:tcPr>
            <w:tcW w:type="dxa" w:w="1440"/>
          </w:tcPr>
          <w:p>
            <w:r/>
            <w:r>
              <w:t>Demonstrates contextual grounding in displacement and migration-affected geographies analogous to the migrant prone areas targeted in Addis Ababa, Sheger City and Oromia Region</w:t>
            </w:r>
          </w:p>
        </w:tc>
      </w:tr>
      <w:tr>
        <w:tc>
          <w:tcPr>
            <w:tcW w:type="dxa" w:w="1440"/>
          </w:tcPr>
          <w:p>
            <w:r/>
            <w:r>
              <w:t>Third Party Monitoring Consultancy for the Girls' Education Accelerator (GEA) Program</w:t>
            </w:r>
          </w:p>
        </w:tc>
        <w:tc>
          <w:tcPr>
            <w:tcW w:type="dxa" w:w="1440"/>
          </w:tcPr>
          <w:p>
            <w:r/>
            <w:r>
              <w:t>CARE Somalia</w:t>
            </w:r>
          </w:p>
        </w:tc>
        <w:tc>
          <w:tcPr>
            <w:tcW w:type="dxa" w:w="1440"/>
          </w:tcPr>
          <w:p>
            <w:r/>
            <w:r>
              <w:t>Somalia</w:t>
            </w:r>
          </w:p>
        </w:tc>
        <w:tc>
          <w:tcPr>
            <w:tcW w:type="dxa" w:w="1440"/>
          </w:tcPr>
          <w:p>
            <w:r/>
            <w:r>
              <w:t>2026</w:t>
            </w:r>
          </w:p>
        </w:tc>
        <w:tc>
          <w:tcPr>
            <w:tcW w:type="dxa" w:w="1440"/>
          </w:tcPr>
          <w:p>
            <w:r/>
            <w:r>
              <w:t>Evidence-based verification framework design and digital data collection systems for third-party monitoring</w:t>
            </w:r>
          </w:p>
        </w:tc>
        <w:tc>
          <w:tcPr>
            <w:tcW w:type="dxa" w:w="1440"/>
          </w:tcPr>
          <w:p>
            <w:r/>
            <w:r>
              <w:t>Supports the training needs analysis and quality assurance approach proposed for reviewing job centre procedures, tools and staff skills under this assessment</w:t>
            </w:r>
          </w:p>
        </w:tc>
      </w:tr>
    </w:tbl>
    <w:p>
      <w:r>
        <w:br w:type="page"/>
      </w:r>
    </w:p>
    <w:p>
      <w:pPr>
        <w:pStyle w:val="Heading1"/>
      </w:pPr>
      <w:r>
        <w:t>Introduction, Background &amp; Conceptual Framework</w:t>
      </w:r>
    </w:p>
    <w:p>
      <w:pPr>
        <w:pStyle w:val="Heading2"/>
      </w:pPr>
      <w:r>
        <w:t>5.1 Context and Strategic Importance</w:t>
      </w:r>
    </w:p>
    <w:p>
      <w:r>
        <w:t>Ethiopia's job centers in migrant prone areas sit at the front line of the country's response to labour mobility pressures, particularly in Addis Ababa, the surrounding Sheger City, and selected areas of Oromia Region — locations the ILO has identified precisely because they combine high jobseeker volumes with elevated migration exposure. The capacity of these job centers to register jobseekers, collect vacancies, match candidates to employers, and refer clients onward has direct bearing on whether labour migration from these areas proceeds through safe, regulated channels or through informal and higher-risk routes. Strengthening the institutions that sit between MoLS policy and the jobseeker's actual experience is therefore not a peripheral administrative exercise but a structural entry point for ILO's broader labour migration governance objectives in Ethiopia.</w:t>
      </w:r>
    </w:p>
    <w:p>
      <w:pPr>
        <w:pStyle w:val="Heading2"/>
      </w:pPr>
      <w:r>
        <w:t>5.2 Purpose and Objectives</w:t>
      </w:r>
    </w:p>
    <w:p>
      <w:r>
        <w:t>The assignment's purpose, as set out in the assignment description, is to conduct a rapid capacity gap assessment of job centers in these migrant prone areas and to translate the findings into a prioritized, implementable capacity building plan that names responsible actors, timelines and estimated resources. This requires the national consultant to review each job centre's mandate, structure, staffing, procedures, tools and available resources; assess staff skills and priority training needs; and examine the services provided to jobseekers and employers. The objective is explicitly forward-looking: the report is a diagnostic instrument, but the plan is the instrument MoLS and ILO intend to act on.</w:t>
      </w:r>
    </w:p>
    <w:p>
      <w:pPr>
        <w:pStyle w:val="Heading2"/>
      </w:pPr>
      <w:r>
        <w:t>5.3 Our Interpretation of the Assignment</w:t>
      </w:r>
    </w:p>
    <w:p>
      <w:r>
        <w:t>Cortech interprets this as a two-stage assignment in which the first stage — the institutional and service-level diagnostic — exists solely to produce a second stage that is credible, sequenced and owned by named actors, rather than a static inventory of gaps. The documents describe the exercise as "rapid," which we read as an explicit constraint on scope: with job centers spread across Addis Ababa, Sheger City and selected areas of Oromia Region, a full census of every centre and every staff member within a compressed field window is not feasible, and a purposive selection of centers — justified by jobseeker volume, migration exposure and geographic spread — will need to be agreed with MoLS and ILO at inception rather than assumed. A second implication the documents do not spell out concerns the accessibility lens: because women, youth and persons with disabilities are named as the target groups whose access to services must be examined, the assessment necessarily extends beyond staffing and procedures into the physical and communication environment of each job centre — signage, service counters, waiting areas and referral pathways — even though the source documents frame accessibility primarily in service terms.</w:t>
      </w:r>
    </w:p>
    <w:p>
      <w:pPr>
        <w:pStyle w:val="Heading2"/>
      </w:pPr>
      <w:r>
        <w:t>5.4 Key Evaluation Questions</w:t>
      </w:r>
    </w:p>
    <w:p>
      <w:r>
        <w:t>Drawing directly from the assignment description, Cortech's diagnostic will be organized around the client's own lines of inquiry: What is each job centre's mandate, structure, staffing complement, and set of procedures, tools and available resources, and where do these fall short of what the centre is expected to deliver? What skills gaps exist among job centre staff, and what are their priority training needs? How well do job centers perform the core service set — registration, counselling, vacancy collection, job matching, referrals, data management and reporting — for jobseekers and employers? How accessible are these services for women, youth and persons with disabilities? And, through consultation with MoLS, social partners, the private sector and selected stakeholders, what practical areas for coordination between these actors can be identified and acted upon?</w:t>
      </w:r>
    </w:p>
    <w:p>
      <w:pPr>
        <w:pStyle w:val="Heading2"/>
      </w:pPr>
      <w:r>
        <w:t>5.5 Deliverables</w:t>
      </w:r>
    </w:p>
    <w:p>
      <w:r>
        <w:t>The assignment specifies four outputs, and Cortech's workplan is structured to produce each in the client's own terms: (1) a capacity gap assessment report covering mandate, structure, staffing, procedures, tools, resources, staff skills, training needs, service delivery and accessibility for women, youth and persons with disabilities; (2) a prioritized, implementable capacity building plan indicating responsible actors, timelines and estimated resources; (3) a co-facilitated validation workshop presenting findings to ILO, MoLS and stakeholders; and (4) finalized outputs, revised on the basis of feedback received from ILO, MoLS and stakeholders following the validation workshop.</w:t>
      </w:r>
    </w:p>
    <w:p>
      <w:pPr>
        <w:pStyle w:val="Heading2"/>
      </w:pPr>
      <w:r>
        <w:t>5.6 Understanding of Success</w:t>
      </w:r>
    </w:p>
    <w:p>
      <w:r>
        <w:t>Cortech understands success on this assignment as a plan that MoLS can begin implementing without further translation — one in which every recommendation is attached to a named responsible actor, a realistic timeline and an estimated resource requirement, rather than a general statement of need. Equally, success requires that the validation workshop function as a genuine consultation rather than a presentation, so that the "practical areas for coordination" identified with social partners and the private sector are ones those actors recognize and are prepared to act on. A capacity gap assessment that MoLS and ILO can defend to the very stakeholders consulted during its preparation is the measure Cortech will hold itself to throughout.</w:t>
      </w:r>
    </w:p>
    <w:p>
      <w:pPr>
        <w:pStyle w:val="Heading2"/>
      </w:pPr>
      <w:r>
        <w:t>SECTION 2 — CONCEPTUAL FRAMEWORK</w:t>
      </w:r>
    </w:p>
    <w:p>
      <w:r>
        <w:t>Cortech will apply a three-level institutional capacity lens — distinguishing the individual, organizational and enabling-environment dimensions of capacity — consistent with the capacity development approach ILO itself applies across its technical cooperation portfolio. This framework fits the assignment's own structure closely: the individual level corresponds to the ToR's instruction to assess staff skills and priority training needs; the organizational level corresponds to the review of each job centre's mandate, structure, staffing, procedures, tools and available resources, and to the examination of the core service set — registration, counselling, vacancy collection, job matching, referrals, data management and reporting; and the enabling-environment level corresponds to the consultation with MoLS, social partners, the private sector and selected stakeholders to surface practical areas for coordination that sit above any single job centre's control. Structuring the diagnostic this way prevents a common failure mode in rapid institutional assessments — treating training needs as freestanding rather than as symptoms of organizational or systemic constraints — and ensures the resulting capacity building plan can distinguish training interventions from structural or procedural ones from coordination interventions, each requiring a different responsible actor and timeline.</w:t>
      </w:r>
    </w:p>
    <w:p>
      <w:r>
        <w:t>Layered onto this three-level lens is an explicit inclusion framework applied to the accessibility question named in the assignment: women, youth and persons with disabilities. Rather than treating accessibility as a single summary indicator, Cortech will disaggregate access along four dimensions common to inclusive public-service design — physical access to job centre premises, informational access (whether vacancy information and procedures are communicated in usable formats), procedural access (whether registration, counselling and referral procedures accommodate the specific constraints these groups face) and outcome access (whether job matching and referral actually convert into placements for these groups). This dimensional breakdown is applied consistently across every job centre visited in Addis Ababa, Sheger City and the selected areas of Oromia Region, so that accessibility findings are comparable across sites rather than anecdotal.</w:t>
      </w:r>
    </w:p>
    <w:p>
      <w:r>
        <w:t>Finally, because the assignment's ultimate output is a plan rather than a report, Cortech will carry every finding through a simple prioritization logic — severity of the gap, feasibility of closing it within the stated timeframe, and the actor already positioned to act — so that each line of the capacity building plan is traceable back to a specific diagnostic finding, a specific responsible actor and a specific resource estimate, satisfying the client's requirement that the plan be genuinely prioritized and implementable rather than an unranked inventory of gaps.</w:t>
      </w:r>
    </w:p>
    <w:p>
      <w:r>
        <w:br w:type="page"/>
      </w:r>
    </w:p>
    <w:p>
      <w:pPr>
        <w:pStyle w:val="Heading1"/>
      </w:pPr>
      <w:r>
        <w:t>Technical Methodology</w:t>
      </w:r>
    </w:p>
    <w:p>
      <w:pPr>
        <w:pStyle w:val="Heading2"/>
      </w:pPr>
      <w:r>
        <w:t>Technical Methodology</w:t>
      </w:r>
    </w:p>
    <w:p>
      <w:pPr>
        <w:pStyle w:val="Heading3"/>
      </w:pPr>
      <w:r>
        <w:t>1. Overall Approach</w:t>
      </w:r>
    </w:p>
    <w:p>
      <w:r>
        <w:t>Cortech's approach to the capacity gap assessment of job centers in Ethiopia is designed as a rapid, evidence-based diagnostic that moves systematically from institutional review to practical, actionable recommendations. The assignment covers job centers operating in migrant prone areas of Ethiopia — specifically Addis Ababa, the surrounding Sheger City, and selected areas of Oromia Region — and the methodology is built to examine these centers as functioning institutions rather than as a set of unconnected observations. Mandate, structure, staffing, procedures, tools and available resources are treated as interdependent variables: a gap in staffing capacity, for example, will be read against the procedures and tools each job centre is expected to operate, so that the resulting capacity building plan addresses root causes rather than surface symptoms.</w:t>
      </w:r>
    </w:p>
    <w:p>
      <w:r>
        <w:t>The design recognizes that a "rapid" assessment must be efficient without sacrificing rigor. Cortech will therefore front-load document review and stakeholder mapping during inception, use structured instruments during fieldwork to standardize data across multiple job centre sites, and apply triangulation across staff interviews, service records and jobseeker/employer perspectives before drawing conclusions. This sequencing allows findings to be validated internally before they are presented externally, reducing the risk that the capacity building plan is contested at the validation workshop stage.</w:t>
      </w:r>
    </w:p>
    <w:p>
      <w:r>
        <w:t>The methodology is also structured around the explicit service list the assignment specifies — registration, counselling, vacancy collection, job matching, referrals, data management and reporting — examined as a connected service chain rather than as isolated functions, since weaknesses at one point (for example, incomplete data management) typically constrain performance downstream (for example, in job matching or reporting to MoLS). Accessibility for women, youth and persons with disabilities is built in as a distinct analytical lens applied at every stage of the review, not appended at the end.</w:t>
      </w:r>
    </w:p>
    <w:p>
      <w:pPr>
        <w:pStyle w:val="Heading3"/>
      </w:pPr>
      <w:r>
        <w:t>2. Phase-by-Phase Breakdown</w:t>
      </w:r>
    </w:p>
    <w:p>
      <w:r>
        <w:rPr>
          <w:b/>
        </w:rPr>
        <w:t>Phase 1 — Inception (Week 1).</w:t>
      </w:r>
      <w:r>
        <w:t xml:space="preserve"> The national consultant will hold an inception meeting with ILO and MoLS to confirm the list of job centers to be visited across Addis Ababa, Sheger City and selected areas of Oromia Region, agree the stakeholder consultation list (MoLS, social partners, private sector, selected stakeholders), and finalize assessment instruments. An inception note will set out the confirmed site list, instrument set, and workplan, and will be cleared by ILO before fieldwork begins.</w:t>
      </w:r>
    </w:p>
    <w:p>
      <w:r>
        <w:rPr>
          <w:b/>
        </w:rPr>
        <w:t>Phase 2 — Field Work (Weeks 2–3).</w:t>
      </w:r>
      <w:r>
        <w:t xml:space="preserve"> The consultant will conduct site visits to each selected job centre, combining structured facility checklists, staff interviews and service observation. Data will be captured digitally using KoboToolbox, configured with separate modules for (i) mandate, structure and staffing, (ii) procedures, tools and resources, (iii) staff skills and training needs, and (iv) the service chain (registration, counselling, vacancy collection, job matching, referrals, data management and reporting). Parallel key informant interviews (KIIs) will be held with MoLS officials, social partners and private sector representatives to surface coordination gaps and cross-check job centre self-reporting.</w:t>
      </w:r>
    </w:p>
    <w:p>
      <w:r>
        <w:rPr>
          <w:b/>
        </w:rPr>
        <w:t>Phase 3 — Analysis (Week 4).</w:t>
      </w:r>
      <w:r>
        <w:t xml:space="preserve"> Quantitative facility and staffing data collected through KoboToolbox will be cleaned and analyzed in SPSS to identify patterns across sites — for example, staffing ratios against caseload, or service coverage gaps by location. Qualitative material from KIIs and staff interviews will be coded in NVivo using a framework aligned to the assignment's own categories (mandate/structure, staffing, procedures/tools, service delivery, accessibility), allowing findings to be organized directly under the headings the client will expect in the final report.</w:t>
      </w:r>
    </w:p>
    <w:p>
      <w:r>
        <w:rPr>
          <w:b/>
        </w:rPr>
        <w:t>Phase 4 — Reporting (Weeks 5–6).</w:t>
      </w:r>
      <w:r>
        <w:t xml:space="preserve"> Draft outputs will be compiled, submitted to ILO and MoLS for review, presented at the validation workshop, and finalized based on the feedback received.</w:t>
      </w:r>
    </w:p>
    <w:p>
      <w:pPr>
        <w:pStyle w:val="Heading3"/>
      </w:pPr>
      <w:r>
        <w:t>3. Method by Deliverable</w:t>
      </w:r>
    </w:p>
    <w:p>
      <w:r>
        <w:rPr>
          <w:b/>
        </w:rPr>
        <w:t>Deliverable 1 — Capacity Gap Assessment Report.</w:t>
      </w:r>
      <w:r>
        <w:t xml:space="preserve"> Method: structured facility checklists (KoboToolbox) administered at each job centre in Addis Ababa, Sheger City and selected areas of Oromia Region; semi-structured staff interviews covering skills and priority training needs; service-chain observation covering registration, counselling, vacancy collection, job matching, referrals, data management and reporting. Respondents: job centre managers and frontline staff, MoLS focal points. Output: a report organized around mandate/structure/staffing, staff skills and training needs, service delivery performance, and accessibility findings for women, youth and persons with disabilities, with findings triangulated across SPSS-analyzed facility data and NVivo-coded interview material.</w:t>
      </w:r>
    </w:p>
    <w:p>
      <w:r>
        <w:rPr>
          <w:b/>
        </w:rPr>
        <w:t>Deliverable 2 — Prioritized, Implementable Capacity Building Plan.</w:t>
      </w:r>
      <w:r>
        <w:t xml:space="preserve"> Method: gap-to-action mapping workshop (internal, consultant-led) translating each identified gap from Deliverable 1 into a specific capacity building action, ranked using a simple prioritization matrix (urgency of gap, feasibility of action, dependency on external actors). Respondents: informed by the same facility and stakeholder data, cross-checked with MoLS during a short validation call ahead of the workshop. Output: a plan naming responsible actors (MoLS, job centre management, ILO, social partners as relevant), realistic timelines, and estimated resources for each prioritized action — structured so that MoLS can adopt it directly as an implementation reference.</w:t>
      </w:r>
    </w:p>
    <w:p>
      <w:r>
        <w:rPr>
          <w:b/>
        </w:rPr>
        <w:t>Deliverable 3 — Co-Facilitated Validation Workshop.</w:t>
      </w:r>
      <w:r>
        <w:t xml:space="preserve"> Method: the consultant will co-facilitate the workshop with ILO, presenting draft findings and the draft capacity building plan to MoLS, social partners, private sector and selected stakeholders, using a structured facilitation agenda with breakout discussion on contested or ambiguous findings. Respondents: the full stakeholder group consulted during fieldwork. Output: a workshop record capturing agreed findings, points of disagreement, and specific feedback to be incorporated into final outputs.</w:t>
      </w:r>
    </w:p>
    <w:p>
      <w:r>
        <w:rPr>
          <w:b/>
        </w:rPr>
        <w:t>Deliverable 4 — Finalized Outputs.</w:t>
      </w:r>
      <w:r>
        <w:t xml:space="preserve"> Method: systematic incorporation of workshop feedback and any subsequent written comments from ILO and MoLS into both the assessment report and the capacity building plan, tracked through a feedback-response log showing how each comment was addressed. Output: final capacity gap assessment report and final capacity building plan, cleared by ILO.</w:t>
      </w:r>
    </w:p>
    <w:p>
      <w:pPr>
        <w:pStyle w:val="Heading3"/>
      </w:pPr>
      <w:r>
        <w:t>4. Data Quality Assurance</w:t>
      </w:r>
    </w:p>
    <w:p>
      <w:r>
        <w:t>Quality assurance is embedded at each phase rather than treated as a final check. During fieldwork, KoboToolbox forms will include mandatory fields and range checks to prevent incomplete or inconsistent facility data entry, and the consultant will review completed forms daily to identify and resolve gaps before moving to the next site. During analysis, quantitative outputs from SPSS will be cross-checked against the raw KoboToolbox datasets to confirm no transcription or coding errors have entered the analysis. Qualitative coding in NVivo will use a shared codebook aligned to the assignment's own categories, reducing the risk of inconsistent interpretation across interview transcripts. Triangulation is applied systematically: any finding drawn from staff self-reporting will be checked against either service observation, MoLS records, or stakeholder KII testimony before being carried into the draft report, and unresolved discrepancies will be flagged explicitly for discussion at the validation workshop rather than resolved unilaterally.</w:t>
      </w:r>
    </w:p>
    <w:p>
      <w:pPr>
        <w:pStyle w:val="Heading3"/>
      </w:pPr>
      <w:r>
        <w:t>5. Ethical Considerations Integration</w:t>
      </w:r>
    </w:p>
    <w:p>
      <w:r>
        <w:t>The assessment will apply informed consent procedures with all respondents, including job centre staff, MoLS officials, social partners, private sector representatives and any jobseekers or employers consulted, with clear explanation of the purpose of the assessment and how information will be used in the capacity gap assessment report and capacity building plan. Respondent confidentiality will be maintained in reporting, with findings presented in aggregate or de-identified form where individual staff feedback could be sensitive to job centre management. Particular care will be taken in framing questions on accessibility for women, youth and persons with disabilities so that respondents from these groups, where consulted directly, are engaged respectfully and are not asked to speak on behalf of others' experiences. All data collected through KoboToolbox will be stored securely with access restricted to the assessment team, and raw data will be handed over to ILO on completion of the assignment in line with standard data-handling practice for ILO-commissioned assessments.</w:t>
      </w:r>
    </w:p>
    <w:p>
      <w:r>
        <w:br w:type="page"/>
      </w:r>
    </w:p>
    <w:p>
      <w:pPr>
        <w:pStyle w:val="Heading1"/>
      </w:pPr>
      <w:r>
        <w:t>Sampling Strategy &amp; Data Analysis Plan</w:t>
      </w:r>
    </w:p>
    <w:p>
      <w:pPr>
        <w:pStyle w:val="Heading2"/>
      </w:pPr>
      <w:r>
        <w:t>SAMPLING AND SELECTION LOGIC</w:t>
      </w:r>
    </w:p>
    <w:p>
      <w:r>
        <w:t>This assignment is a rapid capacity gap assessment, not a household or population survey, and it does not require a probability sample or a stated precision level. The consultant will instead apply purposive selection to identify respondents who hold direct operational or oversight knowledge of job centre functioning in Addis Ababa, Sheger City and selected areas of Oromia Region. Key informant interviews (KIIs) will be purposively drawn from job centre managers and frontline staff responsible for registration, counselling, vacancy collection, job matching, referrals, data management and reporting; MoLS officials at federal and regional level; social partners; private sector representatives who post vacancies or recruit through job centres; and selected stakeholders engaged in migration and employment service delivery. Focus group discussions (FGDs) will be purposively convened with jobseekers disaggregated by women, youth and persons with disabilities to capture first-hand accounts of service accessibility, rather than drawn at random from a jobseeker registry. This logic is appropriate because the assessment's objective is to map institutional capacity gaps and service-delivery experience in depth at each job centre, not to produce a statistically representative estimate of client satisfaction across the jobseeker population; final respondent selection will be guided by job centre caseload data, staffing rosters, and MoLS/social partner referrals to ensure each cadre, service function and target group is represented.</w:t>
      </w:r>
    </w:p>
    <w:p>
      <w:pPr>
        <w:pStyle w:val="Heading2"/>
      </w:pPr>
      <w:r>
        <w:t>SECTION 2 — DATA ANALYSIS PLAN</w:t>
      </w:r>
    </w:p>
    <w:p>
      <w:r>
        <w:t>Quantitative data generated through the assessment — staffing ratios, caseloads per counsellor, vacancy-to-placement ratios, service usage disaggregated by women, youth and persons with disabilities, and self-rated scores from the staff skills inventory — will be entered into SPSS for cleaning, coding and descriptive analysis. Descriptive statistics (frequencies, means, cross-tabulations) will profile staffing levels against mandate requirements at each job centre across Addis Ababa, Sheger City and Oromia Region, and will identify priority training needs by comparing self-assessed skill scores against the competency levels required for each of the seven core functions: registration, counselling, vacancy collection, job matching, referrals, data management and reporting. Where sufficient observations exist across job centres, cross-tabulation will test for association between staffing/resource variables and service accessibility indicators for women, youth and persons with disabilities, without inferential generalization beyond the assessed centres, consistent with the rapid, non-probability design.</w:t>
      </w:r>
    </w:p>
    <w:p>
      <w:r>
        <w:t>Qualitative data from KIIs and FGDs will be transcribed, coded and analyzed in NVivo using a thematic framework built directly from the assessment's own domains: mandate and structure, staffing, procedures/tools/resources, staff skills and training needs, the seven core services, and accessibility for women, youth and persons with disabilities. A coding tree will be developed at inception, tested against the first transcripts, and revised before full coding to preserve consistency across analysts. Coded output will be organized by job centre and by respondent category — MoLS, social partners, private sector, job centre staff, jobseekers — to surface both centre-specific gaps and cross-cutting patterns.</w:t>
      </w:r>
    </w:p>
    <w:p>
      <w:r>
        <w:t>Triangulation will occur at the analysis-matrix stage: each quantitative finding, such as a low placement ratio or a skills gap in a specific function, will be checked against the corresponding qualitative narrative from staff and jobseeker respondents at the same job centre, and against desk-review evidence on mandate and resourcing. Convergent findings will be flagged as high-confidence gaps for direct inclusion in the prioritized, implementable capacity building plan; divergent findings will be flagged explicitly for verification and discussion during the validation workshop co-facilitated with ILO, MoLS and stakeholders, before outputs are finalized.</w:t>
      </w:r>
    </w:p>
    <w:p>
      <w:r>
        <w:br w:type="page"/>
      </w:r>
    </w:p>
    <w:p>
      <w:pPr>
        <w:pStyle w:val="Heading1"/>
      </w:pPr>
      <w:r>
        <w:t>Quality Assurance &amp; Ethical Considerations</w:t>
      </w:r>
    </w:p>
    <w:p>
      <w:pPr>
        <w:pStyle w:val="Heading2"/>
      </w:pPr>
      <w:r>
        <w:t>Section 1 — Quality Assurance Framework</w:t>
      </w:r>
    </w:p>
    <w:p>
      <w:r>
        <w:t>Quality assurance for the capacity gap assessment of job centers in Addis Ababa, Sheger City and selected areas of Oromia Region is built into each phase of the work plan rather than applied retrospectively, so that errors in tool design, data collection or interpretation are caught before they propagate into the capacity building plan.</w:t>
      </w:r>
    </w:p>
    <w:p>
      <w:r>
        <w:t xml:space="preserve">At </w:t>
      </w:r>
      <w:r>
        <w:rPr>
          <w:b/>
        </w:rPr>
        <w:t>Inception</w:t>
      </w:r>
      <w:r>
        <w:t>, the assessment framework, key informant guides, staff skills checklists and service-observation protocols will undergo internal peer review by a senior Cortech reviewer independent of the field team, checking alignment with the specified review areas — mandate, structure, staffing, procedures, tools and resources — and with the full service list of registration, counselling, vacancy collection, job matching, referrals, data management and reporting. Instruments will be piloted with one job centre before wider rollout to confirm that questions on accessibility for women, youth and persons with disabilities generate disaggregated, comparable data.</w:t>
      </w:r>
    </w:p>
    <w:p>
      <w:r>
        <w:t xml:space="preserve">During the </w:t>
      </w:r>
      <w:r>
        <w:rPr>
          <w:b/>
        </w:rPr>
        <w:t>Field Assessment phase</w:t>
      </w:r>
      <w:r>
        <w:t xml:space="preserve"> covering job centers in Addis Ababa, Sheger City and Oromia Region, the national consultant will apply a standardized site-visit checklist across all locations to ensure comparability, supported by daily field notes reviewed same-day for completeness and consistency of terminology (e.g., staffing categories, service definitions). Any discrepancy between what a job centre reports and what is observed will be flagged and cross-checked with MoLS counterparts before being recorded as a finding.</w:t>
      </w:r>
    </w:p>
    <w:p>
      <w:r>
        <w:t xml:space="preserve">In the </w:t>
      </w:r>
      <w:r>
        <w:rPr>
          <w:b/>
        </w:rPr>
        <w:t>Analysis and Report Drafting phase</w:t>
      </w:r>
      <w:r>
        <w:t>, draft findings will be triangulated across the mandate/structure review, staff skills assessment and stakeholder consultation inputs (MoLS, social partners, private sector, selected stakeholders) before being consolidated into the capacity gap assessment report and the prioritized capacity building plan, with internal quality review of whether each recommended action carries a responsible actor, timeline and estimated resource.</w:t>
      </w:r>
    </w:p>
    <w:p>
      <w:r>
        <w:t xml:space="preserve">The </w:t>
      </w:r>
      <w:r>
        <w:rPr>
          <w:b/>
        </w:rPr>
        <w:t>validation workshop</w:t>
      </w:r>
      <w:r>
        <w:t xml:space="preserve"> functions as a formal client feedback loop: draft findings and the draft plan are tested directly with ILO, MoLS and stakeholders, and all comments are logged and tracked to closure in the </w:t>
      </w:r>
      <w:r>
        <w:rPr>
          <w:b/>
        </w:rPr>
        <w:t>Finalization phase</w:t>
      </w:r>
      <w:r>
        <w:t>, where outputs are revised and a change log documenting how feedback was addressed is submitted alongside the finalized deliverables.</w:t>
      </w:r>
    </w:p>
    <w:p>
      <w:pPr>
        <w:pStyle w:val="Heading2"/>
      </w:pPr>
      <w:r>
        <w:t>Section 2 — Ethical Considerations and Safeguarding</w:t>
      </w:r>
    </w:p>
    <w:p>
      <w:r>
        <w:t>Cortech Consulting Group is ISO certified, maintains a child safeguarding policy, and is compliant with its PSEA (Protection from Sexual Exploitation and Abuse) policy; these instruments govern how the national consultant will engage jobseekers, job centre staff, MoLS officials, social partners and other stakeholders throughout the assessment. The tender documents supplied do not state a formal ethical clearance requirement; in the absence of a stated requirement, Cortech will apply its standard informed consent and do-no-harm procedures as the operative safeguard, and will confirm with ILO and MoLS whether any additional national ethical review applies before fieldwork begins in Addis Ababa, Sheger City and Oromia Region.</w:t>
      </w:r>
    </w:p>
    <w:p>
      <w:r>
        <w:t>Informed consent will be obtained verbally, in Amharic or the respondent's preferred language, from every job centre staff member, jobseeker, employer representative and stakeholder engaged in key informant interviews, staff skills assessments or service observations, with participants informed of the assessment's purpose, their right to decline or withdraw, and how their responses will feed into the capacity gap assessment report and capacity building plan. No jobseeker or staff member will be identified by name in any output; findings on staffing gaps or service weaknesses will be reported at the job centre level, not the individual level.</w:t>
      </w:r>
    </w:p>
    <w:p>
      <w:r>
        <w:t>Given the assignment's explicit focus on accessibility of services for women, youth and persons with disabilities, the consultation design will include separate or adapted formats for these groups where needed — for example conducting interviews with persons with disabilities in accessible locations within the job centre premises, and scheduling youth and women jobseeker consultations at times and in settings that support open participation — consistent with a do-no-harm approach that avoids exposing any respondent to stigma or risk through the consultation process.</w:t>
      </w:r>
    </w:p>
    <w:p>
      <w:r>
        <w:t>All data collected on job centre operations, staff performance and stakeholder input will be stored on password-protected systems accessible only to the assignment team, and shared with ILO and MoLS only in anonymized or aggregated form unless explicit consent for attribution is given by the stakeholder concerned.</w:t>
      </w:r>
    </w:p>
    <w:p>
      <w:r>
        <w:br w:type="page"/>
      </w:r>
    </w:p>
    <w:p>
      <w:pPr>
        <w:pStyle w:val="Heading1"/>
      </w:pPr>
      <w:r>
        <w:t>Risk Management</w:t>
      </w:r>
    </w:p>
    <w:p>
      <w:r>
        <w:t>Cortech has carried out institutional assessments and stakeholder-facing consultations across migrant-prone and displacement-affected areas of the East Africa region, and this experience informs the risk register below. The risks identified are specific to the operating environment of job centers in Addis Ababa, Sheger City and selected areas of Oromia Region, to the government and social partner engagement this assignment requires, and to the compressed timeline typical of a rapid capacity gap assessment.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Risk Category</w:t>
            </w:r>
          </w:p>
        </w:tc>
        <w:tc>
          <w:tcPr>
            <w:tcW w:type="dxa" w:w="1728"/>
          </w:tcPr>
          <w:p>
            <w:r>
              <w:rPr>
                <w:b/>
              </w:rPr>
            </w:r>
            <w:r>
              <w:rPr>
                <w:b/>
              </w:rPr>
              <w:t>Description</w:t>
            </w:r>
          </w:p>
        </w:tc>
        <w:tc>
          <w:tcPr>
            <w:tcW w:type="dxa" w:w="1728"/>
          </w:tcPr>
          <w:p>
            <w:r>
              <w:rPr>
                <w:b/>
              </w:rPr>
            </w:r>
            <w:r>
              <w:rPr>
                <w:b/>
              </w:rPr>
              <w:t>Likelihood</w:t>
            </w:r>
          </w:p>
        </w:tc>
        <w:tc>
          <w:tcPr>
            <w:tcW w:type="dxa" w:w="1728"/>
          </w:tcPr>
          <w:p>
            <w:r>
              <w:rPr>
                <w:b/>
              </w:rPr>
            </w:r>
            <w:r>
              <w:rPr>
                <w:b/>
              </w:rPr>
              <w:t>Impact</w:t>
            </w:r>
          </w:p>
        </w:tc>
        <w:tc>
          <w:tcPr>
            <w:tcW w:type="dxa" w:w="1728"/>
          </w:tcPr>
          <w:p>
            <w:r>
              <w:rPr>
                <w:b/>
              </w:rPr>
            </w:r>
            <w:r>
              <w:rPr>
                <w:b/>
              </w:rPr>
              <w:t>Mitigation</w:t>
            </w:r>
          </w:p>
        </w:tc>
      </w:tr>
      <w:tr>
        <w:tc>
          <w:tcPr>
            <w:tcW w:type="dxa" w:w="1728"/>
          </w:tcPr>
          <w:p>
            <w:r/>
            <w:r>
              <w:t>Field access and security</w:t>
            </w:r>
          </w:p>
        </w:tc>
        <w:tc>
          <w:tcPr>
            <w:tcW w:type="dxa" w:w="1728"/>
          </w:tcPr>
          <w:p>
            <w:r/>
            <w:r>
              <w:t>Movement between job centers in Addis Ababa, Sheger City and selected Oromia Region locations may be constrained by localized security incidents or administrative access restrictions, particularly in Oromia woredas with variable security conditions.</w:t>
            </w:r>
          </w:p>
        </w:tc>
        <w:tc>
          <w:tcPr>
            <w:tcW w:type="dxa" w:w="1728"/>
          </w:tcPr>
          <w:p>
            <w:r/>
            <w:r>
              <w:t>Medium</w:t>
            </w:r>
          </w:p>
        </w:tc>
        <w:tc>
          <w:tcPr>
            <w:tcW w:type="dxa" w:w="1728"/>
          </w:tcPr>
          <w:p>
            <w:r/>
            <w:r>
              <w:t>High</w:t>
            </w:r>
          </w:p>
        </w:tc>
        <w:tc>
          <w:tcPr>
            <w:tcW w:type="dxa" w:w="1728"/>
          </w:tcPr>
          <w:p>
            <w:r/>
            <w:r>
              <w:t>The national consultant will pre-clear field visit schedules with MoLS focal points at each job centre in advance, maintain flexible sequencing so that Addis Ababa and Sheger City visits can be brought forward if Oromia access tightens, and rely on local knowledge of the security context to select the safest travel windows and routes.</w:t>
            </w:r>
          </w:p>
        </w:tc>
      </w:tr>
      <w:tr>
        <w:tc>
          <w:tcPr>
            <w:tcW w:type="dxa" w:w="1728"/>
          </w:tcPr>
          <w:p>
            <w:r/>
            <w:r>
              <w:t>Data quality and collection</w:t>
            </w:r>
          </w:p>
        </w:tc>
        <w:tc>
          <w:tcPr>
            <w:tcW w:type="dxa" w:w="1728"/>
          </w:tcPr>
          <w:p>
            <w:r/>
            <w:r>
              <w:t>Job centre records on registration, vacancy collection, job matching, referrals and reporting may be incomplete, inconsistently coded, or maintained in non-digitized formats, limiting the reliability of the capacity gap assessment.</w:t>
            </w:r>
          </w:p>
        </w:tc>
        <w:tc>
          <w:tcPr>
            <w:tcW w:type="dxa" w:w="1728"/>
          </w:tcPr>
          <w:p>
            <w:r/>
            <w:r>
              <w:t>High</w:t>
            </w:r>
          </w:p>
        </w:tc>
        <w:tc>
          <w:tcPr>
            <w:tcW w:type="dxa" w:w="1728"/>
          </w:tcPr>
          <w:p>
            <w:r/>
            <w:r>
              <w:t>Medium</w:t>
            </w:r>
          </w:p>
        </w:tc>
        <w:tc>
          <w:tcPr>
            <w:tcW w:type="dxa" w:w="1728"/>
          </w:tcPr>
          <w:p>
            <w:r/>
            <w:r>
              <w:t>The consultant will triangulate administrative records with direct staff interviews and structured observation of service delivery, apply a standardized data extraction checklist across all job centers to ensure comparability, and flag data gaps explicitly in the assessment report rather than extrapolating from incomplete records.</w:t>
            </w:r>
          </w:p>
        </w:tc>
      </w:tr>
      <w:tr>
        <w:tc>
          <w:tcPr>
            <w:tcW w:type="dxa" w:w="1728"/>
          </w:tcPr>
          <w:p>
            <w:r/>
            <w:r>
              <w:t>Government and stakeholder engagement</w:t>
            </w:r>
          </w:p>
        </w:tc>
        <w:tc>
          <w:tcPr>
            <w:tcW w:type="dxa" w:w="1728"/>
          </w:tcPr>
          <w:p>
            <w:r/>
            <w:r>
              <w:t>MoLS and social partner representatives may have limited availability for consultation given competing priorities, delaying access to institutional documentation and staffing data needed for the mandate and structure review.</w:t>
            </w:r>
          </w:p>
        </w:tc>
        <w:tc>
          <w:tcPr>
            <w:tcW w:type="dxa" w:w="1728"/>
          </w:tcPr>
          <w:p>
            <w:r/>
            <w:r>
              <w:t>Medium</w:t>
            </w:r>
          </w:p>
        </w:tc>
        <w:tc>
          <w:tcPr>
            <w:tcW w:type="dxa" w:w="1728"/>
          </w:tcPr>
          <w:p>
            <w:r/>
            <w:r>
              <w:t>High</w:t>
            </w:r>
          </w:p>
        </w:tc>
        <w:tc>
          <w:tcPr>
            <w:tcW w:type="dxa" w:w="1728"/>
          </w:tcPr>
          <w:p>
            <w:r/>
            <w:r>
              <w:t>Engagement will be sequenced early in the assignment, with formal introductory letters routed through ILO and MoLS channels, interview windows agreed at the outset with named focal points, and a rolling consultation log maintained so gaps in stakeholder input are visible and can be closed before the validation workshop.</w:t>
            </w:r>
          </w:p>
        </w:tc>
      </w:tr>
      <w:tr>
        <w:tc>
          <w:tcPr>
            <w:tcW w:type="dxa" w:w="1728"/>
          </w:tcPr>
          <w:p>
            <w:r/>
            <w:r>
              <w:t>Community and jobseeker participation</w:t>
            </w:r>
          </w:p>
        </w:tc>
        <w:tc>
          <w:tcPr>
            <w:tcW w:type="dxa" w:w="1728"/>
          </w:tcPr>
          <w:p>
            <w:r/>
            <w:r>
              <w:t>Jobseekers and employers consulted on service accessibility, including women, youth and persons with disabilities, may be difficult to reach in sufficient numbers within job centre premises during the assessment window.</w:t>
            </w:r>
          </w:p>
        </w:tc>
        <w:tc>
          <w:tcPr>
            <w:tcW w:type="dxa" w:w="1728"/>
          </w:tcPr>
          <w:p>
            <w:r/>
            <w:r>
              <w:t>Medium</w:t>
            </w:r>
          </w:p>
        </w:tc>
        <w:tc>
          <w:tcPr>
            <w:tcW w:type="dxa" w:w="1728"/>
          </w:tcPr>
          <w:p>
            <w:r/>
            <w:r>
              <w:t>Medium</w:t>
            </w:r>
          </w:p>
        </w:tc>
        <w:tc>
          <w:tcPr>
            <w:tcW w:type="dxa" w:w="1728"/>
          </w:tcPr>
          <w:p>
            <w:r/>
            <w:r>
              <w:t>The consultant will schedule short structured intercept interviews during peak service hours at each job centre, coordinate with job centre staff to identify jobseekers and employers representing the three target groups, and use a disability-inclusive interview protocol that accommodates communication and mobility needs.</w:t>
            </w:r>
          </w:p>
        </w:tc>
      </w:tr>
      <w:tr>
        <w:tc>
          <w:tcPr>
            <w:tcW w:type="dxa" w:w="1728"/>
          </w:tcPr>
          <w:p>
            <w:r/>
            <w:r>
              <w:t>Accessibility assessment design</w:t>
            </w:r>
          </w:p>
        </w:tc>
        <w:tc>
          <w:tcPr>
            <w:tcW w:type="dxa" w:w="1728"/>
          </w:tcPr>
          <w:p>
            <w:r/>
            <w:r>
              <w:t>Accessibility barriers for women, youth and persons with disabilities may be under-reported if the assessment relies solely on staff perspectives rather than direct user experience.</w:t>
            </w:r>
          </w:p>
        </w:tc>
        <w:tc>
          <w:tcPr>
            <w:tcW w:type="dxa" w:w="1728"/>
          </w:tcPr>
          <w:p>
            <w:r/>
            <w:r>
              <w:t>Medium</w:t>
            </w:r>
          </w:p>
        </w:tc>
        <w:tc>
          <w:tcPr>
            <w:tcW w:type="dxa" w:w="1728"/>
          </w:tcPr>
          <w:p>
            <w:r/>
            <w:r>
              <w:t>High</w:t>
            </w:r>
          </w:p>
        </w:tc>
        <w:tc>
          <w:tcPr>
            <w:tcW w:type="dxa" w:w="1728"/>
          </w:tcPr>
          <w:p>
            <w:r/>
            <w:r>
              <w:t>A distinct accessibility assessment lens will be applied at each job centre, combining staff interviews with direct observation of physical premises, service counters and referral pathways, and short consultations with jobseekers from each target group present on-site.</w:t>
            </w:r>
          </w:p>
        </w:tc>
      </w:tr>
      <w:tr>
        <w:tc>
          <w:tcPr>
            <w:tcW w:type="dxa" w:w="1728"/>
          </w:tcPr>
          <w:p>
            <w:r/>
            <w:r>
              <w:t>Timeline, sequencing and approval gates</w:t>
            </w:r>
          </w:p>
        </w:tc>
        <w:tc>
          <w:tcPr>
            <w:tcW w:type="dxa" w:w="1728"/>
          </w:tcPr>
          <w:p>
            <w:r/>
            <w:r>
              <w:t>The rapid assessment format compresses fieldwork, analysis, drafting and validation into a short window, and delays in MoLS or ILO review of the draft capacity gap assessment report or capacity building plan could compress the time available for the validation workshop.</w:t>
            </w:r>
          </w:p>
        </w:tc>
        <w:tc>
          <w:tcPr>
            <w:tcW w:type="dxa" w:w="1728"/>
          </w:tcPr>
          <w:p>
            <w:r/>
            <w:r>
              <w:t>High</w:t>
            </w:r>
          </w:p>
        </w:tc>
        <w:tc>
          <w:tcPr>
            <w:tcW w:type="dxa" w:w="1728"/>
          </w:tcPr>
          <w:p>
            <w:r/>
            <w:r>
              <w:t>High</w:t>
            </w:r>
          </w:p>
        </w:tc>
        <w:tc>
          <w:tcPr>
            <w:tcW w:type="dxa" w:w="1728"/>
          </w:tcPr>
          <w:p>
            <w:r/>
            <w:r>
              <w:t>The workplan will build in fixed review checkpoints with ILO and MoLS immediately after the draft report and draft capacity building plan are submitted, with review turnaround agreed at inception, so that the validation workshop date is protected and not pushed by upstream delays.</w:t>
            </w:r>
          </w:p>
        </w:tc>
      </w:tr>
      <w:tr>
        <w:tc>
          <w:tcPr>
            <w:tcW w:type="dxa" w:w="1728"/>
          </w:tcPr>
          <w:p>
            <w:r/>
            <w:r>
              <w:t>Team availability</w:t>
            </w:r>
          </w:p>
        </w:tc>
        <w:tc>
          <w:tcPr>
            <w:tcW w:type="dxa" w:w="1728"/>
          </w:tcPr>
          <w:p>
            <w:r/>
            <w:r>
              <w:t>As an individual consultant engagement, the assignment depends on the continuous availability of a single national consultant; illness, competing commitments or platform-registration delays on EXCOLL could interrupt continuity.</w:t>
            </w:r>
          </w:p>
        </w:tc>
        <w:tc>
          <w:tcPr>
            <w:tcW w:type="dxa" w:w="1728"/>
          </w:tcPr>
          <w:p>
            <w:r/>
            <w:r>
              <w:t>Low</w:t>
            </w:r>
          </w:p>
        </w:tc>
        <w:tc>
          <w:tcPr>
            <w:tcW w:type="dxa" w:w="1728"/>
          </w:tcPr>
          <w:p>
            <w:r/>
            <w:r>
              <w:t>High</w:t>
            </w:r>
          </w:p>
        </w:tc>
        <w:tc>
          <w:tcPr>
            <w:tcW w:type="dxa" w:w="1728"/>
          </w:tcPr>
          <w:p>
            <w:r/>
            <w:r>
              <w:t>The consultant will confirm EXCOLL Basic registration and platform access ahead of the assignment start date, maintain a documented handover of field notes and drafts at each phase, and agree a short buffer period with ILO in the workplan to absorb minor schedule disruptions without affecting the validation workshop date.</w:t>
            </w:r>
          </w:p>
        </w:tc>
      </w:tr>
      <w:tr>
        <w:tc>
          <w:tcPr>
            <w:tcW w:type="dxa" w:w="1728"/>
          </w:tcPr>
          <w:p>
            <w:r/>
            <w:r>
              <w:t>Coordination across three distinct locations</w:t>
            </w:r>
          </w:p>
        </w:tc>
        <w:tc>
          <w:tcPr>
            <w:tcW w:type="dxa" w:w="1728"/>
          </w:tcPr>
          <w:p>
            <w:r/>
            <w:r>
              <w:t>Managing consistent methodology and data comparability across job centers in Addis Ababa, Sheger City and Oromia Region, each with different staffing levels and institutional maturity, risks uneven assessment depth.</w:t>
            </w:r>
          </w:p>
        </w:tc>
        <w:tc>
          <w:tcPr>
            <w:tcW w:type="dxa" w:w="1728"/>
          </w:tcPr>
          <w:p>
            <w:r/>
            <w:r>
              <w:t>Medium</w:t>
            </w:r>
          </w:p>
        </w:tc>
        <w:tc>
          <w:tcPr>
            <w:tcW w:type="dxa" w:w="1728"/>
          </w:tcPr>
          <w:p>
            <w:r/>
            <w:r>
              <w:t>Medium</w:t>
            </w:r>
          </w:p>
        </w:tc>
        <w:tc>
          <w:tcPr>
            <w:tcW w:type="dxa" w:w="1728"/>
          </w:tcPr>
          <w:p>
            <w:r/>
            <w:r>
              <w:t>A single structured assessment instrument, covering mandate, structure, staffing, procedures, tools, resources, staff skills and the full service list, will be applied uniformly across all job centers visited, with site-specific notes appended rather than substituted for the core comparable dataset.</w:t>
            </w:r>
          </w:p>
        </w:tc>
      </w:tr>
    </w:tbl>
    <w:p>
      <w:r>
        <w:t>Risk management on this assignment is treated as a continuous, phase-linked discipline rather than a static register completed at inception. Each risk above is tied to a specific point in the sequence — access clearance before fieldwork, data triangulation during collection, review checkpoints before the validation workshop — so that mitigation is exercised at the moment it is needed rather than retrospectively. The consultant will maintain a running risk log throughout the assignment, updated at each phase transition, and will flag any material change in access, stakeholder availability or data completeness to ILO and MoLS promptly so that adjustments to sequencing can be agreed jointly rather than absorbed silently into the final deliverables.</w:t>
      </w:r>
    </w:p>
    <w:p>
      <w:r>
        <w:br w:type="page"/>
      </w:r>
    </w:p>
    <w:p>
      <w:pPr>
        <w:pStyle w:val="Heading1"/>
      </w:pPr>
      <w:r>
        <w:t>Proposed Team &amp; Core Experts</w:t>
      </w:r>
    </w:p>
    <w:p>
      <w:pPr>
        <w:pStyle w:val="Heading2"/>
      </w:pPr>
      <w:r>
        <w:t>Proposed Team Composition</w:t>
      </w:r>
    </w:p>
    <w:p>
      <w:r>
        <w:t>The assignment is structured by ILO as a call for an individual national consultant engaged as an External Collaborator, and Cortech's nomination reflects that structure directly: a single named lead consultant carries technical and delivery responsibility for the full scope of work, backed by the firm's institutional quality-assurance and methodological oversight rather than a layered project team. Measured against the personnel bar the tender implies — a national consultant with demonstrated command of institutional capacity assessment, familiarity with Ethiopia's employment services architecture and MoLS structures, and the ability to design and facilitate stakeholder consultation and a validation workshop — the nominated consultant, Ahmed Adan Hassan, meets each of these requirements individually, while Cortech's regional office structure provides the technical backstopping needed to keep the assessment, the capacity building plan and the workshop outputs to a consistent methodological standard.</w:t>
      </w:r>
    </w:p>
    <w:p>
      <w:r>
        <w:rPr>
          <w:b/>
        </w:rPr>
        <w:t>Ahmed Adan Hassan — National Consultant (Lead)</w:t>
      </w:r>
      <w:r>
        <w:t xml:space="preserve"> Ahmed Adan Hassan is nominated as the sole External Collaborator for this assignment, consistent with the tender's individual-consultant modality. He brings direct exposure to institutional and service-delivery assessments of the kind this assignment requires: reviewing an operating unit's mandate, structure, staffing, procedures and resource base, and translating findings into a prioritized set of actions rather than a descriptive inventory. His working method is anchored in structured key-informant interviews, document and procedure review, and facilitated group sessions with front-line staff and service users — the same combination of instruments needed to examine job centre registration, counselling, vacancy collection, job matching, referrals, data management and reporting as a linked service chain rather than as isolated functions. He is experienced in applying a gender and disability lens as a distinct line of enquiry within an institutional review, questioning not only whether a service exists but whether women, youth and persons with disabilities can access it on comparable terms — a distinction the ToR draws explicitly and which a generic capacity review would miss. He has convened and co-facilitated validation sessions with government counterparts and technical agencies to test draft findings before finalization, and is positioned to do the same with MoLS, ILO and the social partners once draft findings from Addis Ababa, Sheger City and the selected areas of Oromia Region are consolidated. On the specific requirement that the lead consultant be a national with firsthand grounding in the Ethiopian institutional and labour-market context, Ahmed Adan Hassan satisfies this directly through his standing as an Ethiopia-based member of Cortech's regional consultant network, engaged specifically for assignments requiring resident knowledge of national government systems and local stakeholder relationships.</w:t>
      </w:r>
    </w:p>
    <w:p>
      <w:r>
        <w:rPr>
          <w:b/>
        </w:rPr>
        <w:t>Quality assurance and backstopping</w:t>
      </w:r>
      <w:r>
        <w:t xml:space="preserve"> No gap requiring external recruitment has been identified against the roles specified in the tender: the assignment calls for one national consultant, and that role is filled. Cortech will nonetheless attach institutional backstopping to the assignment at no additional personnel line — a senior MEL/capacity-building reviewer from Cortech's Nairobi office will quality-assure the capacity gap assessment report and the capacity building plan before each is submitted to ILO and MoLS, drawing on the firm's experience structuring institutional assessments and training-needs analyses for public-sector and humanitarian counterparts. This backstopping function does not alter the individual-consultant nature of the contracting arrangement; it ensures the deliverables meet Cortech's internal review standard before the consultant submits them.</w:t>
      </w:r>
    </w:p>
    <w:p>
      <w:r>
        <w:rPr>
          <w:b/>
        </w:rPr>
        <w:t>Availability and commitment</w:t>
      </w:r>
      <w:r>
        <w:t xml:space="preserve"> Ahmed Adan Hassan has confirmed availability for the full duration of the assignment period, including the fieldwork phase across Addis Ababa, Sheger City and the selected areas of Oromia Region, the stakeholder consultation round with MoLS, social partners and the private sector, and the co-facilitated validation workshop and subsequent finalization of outputs. No concurrent commitments have been flagged that would constrain his ability to deliver the capacity gap assessment report and the capacity building plan within the timeframe the ILO specifies once the detailed schedule is confirmed through the ILO e-Sourcing Platform.</w:t>
      </w:r>
    </w:p>
    <w:p>
      <w:r>
        <w:br w:type="page"/>
      </w:r>
    </w:p>
    <w:p>
      <w:pPr>
        <w:pStyle w:val="Heading1"/>
      </w:pPr>
      <w:r>
        <w:t>Work Plan &amp; Timeline</w:t>
      </w:r>
    </w:p>
    <w:p>
      <w:pPr>
        <w:pStyle w:val="Heading2"/>
      </w:pPr>
      <w:r>
        <w:t>Work Plan Narrative</w:t>
      </w:r>
    </w:p>
    <w:p>
      <w:r>
        <w:t>The Terms of Reference do not fix a contract start date, end date, or total duration for the assignment itself — only the proposal submission deadline of 31-Aug-2026, 16:00 (GMT 2.00), on the ILO e-Sourcing Platform (EXCOLL), reference rfx_9919_ROAF. Cortech's national consultant has therefore built the work plan around a ten-week implementation window measured from the date of contract signing rather than fixed calendar dates, so that the sequence, dependencies, and approval gates remain valid regardless of the actual mobilization date confirmed by ILO ROAF. All week numbers below are relative to Week 0 = contract signing; exact calendar dates will be substituted in the Inception Report once the mobilization date is confirmed.</w:t>
      </w:r>
    </w:p>
    <w:p>
      <w:r>
        <w:t>The plan follows a rapid capacity gap assessment logic consistent with the "rapid" character specified in the ToR: front-loaded desk review and stakeholder mapping, concentrated fieldwork across job centers in Addis Ababa, Sheger City and selected areas of Oromia Region, immediate analysis and drafting, a single validation workshop co-facilitated with ILO and MoLS, and a short finalization window. Sequential dependencies exist between phases (fieldwork cannot start before instruments are cleared; the validation workshop cannot occur before a complete draft report and draft capacity building plan exist), while certain activities within phases run in parallel to compress the timeline without compromising rigor.</w:t>
      </w:r>
    </w:p>
    <w:p>
      <w:r>
        <w:rPr>
          <w:b/>
        </w:rPr>
        <w:t>Phase 1: Inception and Instrument Design (Week 1–2).</w:t>
      </w:r>
      <w:r>
        <w:t xml:space="preserve"> Activities: courtesy and scoping meetings with ILO ROAF and MoLS; review of existing job centre documentation, mandates and staffing records; finalization of the assessment framework covering mandate, structure, staffing, procedures, tools and resources; design of data collection instruments for staff skills/training-needs assessment and for the service review (registration, counselling, vacancy collection, job matching, referrals, data management and reporting); design of an accessibility checklist disaggregated for women, youth and persons with disabilities; stakeholder mapping of social partners and private sector actors. Output: Inception Report with confirmed methodology, instruments, and site list, submitted for ILO/MoLS clearance — the approval gate for Phase 2.</w:t>
      </w:r>
    </w:p>
    <w:p>
      <w:r>
        <w:rPr>
          <w:b/>
        </w:rPr>
        <w:t>Phase 2: Field Data Collection (Week 3–5).</w:t>
      </w:r>
      <w:r>
        <w:t xml:space="preserve"> Activities run largely in parallel across the three geographies once clearance is received: site visits and structured interviews at job centers in Addis Ababa, Sheger City and selected woredas of Oromia Region; staff skills and training-needs data collection; observation of jobseeker/employer service delivery; key informant interviews with MoLS, social partners and private sector stakeholders on practical coordination gaps; accessibility audits against the women/youth/persons-with-disabilities checklist. Output: complete field dataset, interview transcripts, and site-level observation notes.</w:t>
      </w:r>
    </w:p>
    <w:p>
      <w:r>
        <w:rPr>
          <w:b/>
        </w:rPr>
        <w:t>Phase 3: Analysis and Draft Reporting (Week 6–7).</w:t>
      </w:r>
      <w:r>
        <w:t xml:space="preserve"> Sequential to fieldwork. Activities: synthesis of institutional and service-delivery findings; triangulation of staff-skills gaps against priority training needs; drafting of the capacity gap assessment report; concurrent drafting of the prioritized capacity building plan, naming responsible actors, timelines and estimated resources for each priority action. Output: Draft Capacity Gap Assessment Report and Draft Capacity Building Plan, submitted to ILO and MoLS for review — the approval gate for Phase 4.</w:t>
      </w:r>
    </w:p>
    <w:p>
      <w:r>
        <w:rPr>
          <w:b/>
        </w:rPr>
        <w:t>Phase 4: Validation Workshop (Week 8).</w:t>
      </w:r>
      <w:r>
        <w:t xml:space="preserve"> Activities: co-facilitation, alongside ILO and MoLS, of a validation workshop presenting draft findings and the draft capacity building plan to MoLS, social partners, private sector representatives and selected stakeholders; structured collection of feedback on prioritization, feasibility, and responsible-actor assignments. Output: Validation Workshop proceedings and consolidated feedback log.</w:t>
      </w:r>
    </w:p>
    <w:p>
      <w:r>
        <w:rPr>
          <w:b/>
        </w:rPr>
        <w:t>Phase 5: Finalization (Week 9–10).</w:t>
      </w:r>
      <w:r>
        <w:t xml:space="preserve"> Sequential to the workshop. Activities: revision of the capacity gap assessment report and capacity building plan to incorporate ILO, MoLS and stakeholder feedback; final quality check against the original service list (registration, counselling, vacancy collection, job matching, referrals, data management and reporting) to confirm no item has been dropped. Output: Finalized Capacity Gap Assessment Report and Finalized, prioritized, implementable Capacity Building Plan submitted to ILO ROAF and MoLS.</w:t>
      </w:r>
    </w:p>
    <w:p>
      <w:pPr>
        <w:pStyle w:val="Heading2"/>
      </w:pPr>
      <w:r>
        <w:t>Gantt Chart</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r>
            <w:r>
              <w:rPr>
                <w:b/>
              </w:rPr>
              <w:t>Activity / Output</w:t>
            </w:r>
          </w:p>
        </w:tc>
        <w:tc>
          <w:tcPr>
            <w:tcW w:type="dxa" w:w="785"/>
          </w:tcPr>
          <w:p>
            <w:r>
              <w:rPr>
                <w:b/>
              </w:rPr>
            </w:r>
            <w:r>
              <w:rPr>
                <w:b/>
              </w:rPr>
              <w:t>Wk 1</w:t>
            </w:r>
          </w:p>
        </w:tc>
        <w:tc>
          <w:tcPr>
            <w:tcW w:type="dxa" w:w="785"/>
          </w:tcPr>
          <w:p>
            <w:r>
              <w:rPr>
                <w:b/>
              </w:rPr>
            </w:r>
            <w:r>
              <w:rPr>
                <w:b/>
              </w:rPr>
              <w:t>Wk 2</w:t>
            </w:r>
          </w:p>
        </w:tc>
        <w:tc>
          <w:tcPr>
            <w:tcW w:type="dxa" w:w="785"/>
          </w:tcPr>
          <w:p>
            <w:r>
              <w:rPr>
                <w:b/>
              </w:rPr>
            </w:r>
            <w:r>
              <w:rPr>
                <w:b/>
              </w:rPr>
              <w:t>Wk 3</w:t>
            </w:r>
          </w:p>
        </w:tc>
        <w:tc>
          <w:tcPr>
            <w:tcW w:type="dxa" w:w="785"/>
          </w:tcPr>
          <w:p>
            <w:r>
              <w:rPr>
                <w:b/>
              </w:rPr>
            </w:r>
            <w:r>
              <w:rPr>
                <w:b/>
              </w:rPr>
              <w:t>Wk 4</w:t>
            </w:r>
          </w:p>
        </w:tc>
        <w:tc>
          <w:tcPr>
            <w:tcW w:type="dxa" w:w="785"/>
          </w:tcPr>
          <w:p>
            <w:r>
              <w:rPr>
                <w:b/>
              </w:rPr>
            </w:r>
            <w:r>
              <w:rPr>
                <w:b/>
              </w:rPr>
              <w:t>Wk 5</w:t>
            </w:r>
          </w:p>
        </w:tc>
        <w:tc>
          <w:tcPr>
            <w:tcW w:type="dxa" w:w="785"/>
          </w:tcPr>
          <w:p>
            <w:r>
              <w:rPr>
                <w:b/>
              </w:rPr>
            </w:r>
            <w:r>
              <w:rPr>
                <w:b/>
              </w:rPr>
              <w:t>Wk 6</w:t>
            </w:r>
          </w:p>
        </w:tc>
        <w:tc>
          <w:tcPr>
            <w:tcW w:type="dxa" w:w="785"/>
          </w:tcPr>
          <w:p>
            <w:r>
              <w:rPr>
                <w:b/>
              </w:rPr>
            </w:r>
            <w:r>
              <w:rPr>
                <w:b/>
              </w:rPr>
              <w:t>Wk 7</w:t>
            </w:r>
          </w:p>
        </w:tc>
        <w:tc>
          <w:tcPr>
            <w:tcW w:type="dxa" w:w="785"/>
          </w:tcPr>
          <w:p>
            <w:r>
              <w:rPr>
                <w:b/>
              </w:rPr>
            </w:r>
            <w:r>
              <w:rPr>
                <w:b/>
              </w:rPr>
              <w:t>Wk 8</w:t>
            </w:r>
          </w:p>
        </w:tc>
        <w:tc>
          <w:tcPr>
            <w:tcW w:type="dxa" w:w="785"/>
          </w:tcPr>
          <w:p>
            <w:r>
              <w:rPr>
                <w:b/>
              </w:rPr>
            </w:r>
            <w:r>
              <w:rPr>
                <w:b/>
              </w:rPr>
              <w:t>Wk 9</w:t>
            </w:r>
          </w:p>
        </w:tc>
        <w:tc>
          <w:tcPr>
            <w:tcW w:type="dxa" w:w="785"/>
          </w:tcPr>
          <w:p>
            <w:r>
              <w:rPr>
                <w:b/>
              </w:rPr>
            </w:r>
            <w:r>
              <w:rPr>
                <w:b/>
              </w:rPr>
              <w:t>Wk 10</w:t>
            </w:r>
          </w:p>
        </w:tc>
      </w:tr>
      <w:tr>
        <w:tc>
          <w:tcPr>
            <w:tcW w:type="dxa" w:w="785"/>
          </w:tcPr>
          <w:p>
            <w:r/>
            <w:r>
              <w:t>Scoping meetings with ILO ROAF &amp; MoLS</w:t>
            </w:r>
          </w:p>
        </w:tc>
        <w:tc>
          <w:tcPr>
            <w:tcW w:type="dxa" w:w="785"/>
          </w:tcPr>
          <w:p>
            <w:r/>
            <w:r>
              <w:t>X</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t>Desk review of job centre documentation</w:t>
            </w:r>
          </w:p>
        </w:tc>
        <w:tc>
          <w:tcPr>
            <w:tcW w:type="dxa" w:w="785"/>
          </w:tcPr>
          <w:p>
            <w:r/>
            <w:r>
              <w:t>X</w:t>
            </w:r>
          </w:p>
        </w:tc>
        <w:tc>
          <w:tcPr>
            <w:tcW w:type="dxa" w:w="785"/>
          </w:tcPr>
          <w:p>
            <w:r/>
            <w:r>
              <w:t>X</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t>Assessment framework &amp; instrument design</w:t>
            </w:r>
          </w:p>
        </w:tc>
        <w:tc>
          <w:tcPr>
            <w:tcW w:type="dxa" w:w="785"/>
          </w:tcPr>
          <w:p>
            <w:r/>
            <w:r>
              <w:t>X</w:t>
            </w:r>
          </w:p>
        </w:tc>
        <w:tc>
          <w:tcPr>
            <w:tcW w:type="dxa" w:w="785"/>
          </w:tcPr>
          <w:p>
            <w:r/>
            <w:r>
              <w:t>X</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t>Stakeholder mapping (MoLS, social partners, private sector)</w:t>
            </w:r>
          </w:p>
        </w:tc>
        <w:tc>
          <w:tcPr>
            <w:tcW w:type="dxa" w:w="785"/>
          </w:tcPr>
          <w:p>
            <w:r/>
          </w:p>
        </w:tc>
        <w:tc>
          <w:tcPr>
            <w:tcW w:type="dxa" w:w="785"/>
          </w:tcPr>
          <w:p>
            <w:r/>
            <w:r>
              <w:t>X</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t>Inception Report (approval gate)</w:t>
            </w:r>
          </w:p>
        </w:tc>
        <w:tc>
          <w:tcPr>
            <w:tcW w:type="dxa" w:w="785"/>
          </w:tcPr>
          <w:p>
            <w:r/>
          </w:p>
        </w:tc>
        <w:tc>
          <w:tcPr>
            <w:tcW w:type="dxa" w:w="785"/>
          </w:tcPr>
          <w:p>
            <w:r/>
            <w:r>
              <w:t>X</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t>Fieldwork — Addis Ababa job centers</w:t>
            </w:r>
          </w:p>
        </w:tc>
        <w:tc>
          <w:tcPr>
            <w:tcW w:type="dxa" w:w="785"/>
          </w:tcPr>
          <w:p>
            <w:r/>
          </w:p>
        </w:tc>
        <w:tc>
          <w:tcPr>
            <w:tcW w:type="dxa" w:w="785"/>
          </w:tcPr>
          <w:p>
            <w:r/>
          </w:p>
        </w:tc>
        <w:tc>
          <w:tcPr>
            <w:tcW w:type="dxa" w:w="785"/>
          </w:tcPr>
          <w:p>
            <w:r/>
            <w:r>
              <w:t>X</w:t>
            </w:r>
          </w:p>
        </w:tc>
        <w:tc>
          <w:tcPr>
            <w:tcW w:type="dxa" w:w="785"/>
          </w:tcPr>
          <w:p>
            <w:r/>
            <w:r>
              <w:t>X</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t>Fieldwork — Sheger City job centers</w:t>
            </w:r>
          </w:p>
        </w:tc>
        <w:tc>
          <w:tcPr>
            <w:tcW w:type="dxa" w:w="785"/>
          </w:tcPr>
          <w:p>
            <w:r/>
          </w:p>
        </w:tc>
        <w:tc>
          <w:tcPr>
            <w:tcW w:type="dxa" w:w="785"/>
          </w:tcPr>
          <w:p>
            <w:r/>
          </w:p>
        </w:tc>
        <w:tc>
          <w:tcPr>
            <w:tcW w:type="dxa" w:w="785"/>
          </w:tcPr>
          <w:p>
            <w:r/>
            <w:r>
              <w:t>X</w:t>
            </w:r>
          </w:p>
        </w:tc>
        <w:tc>
          <w:tcPr>
            <w:tcW w:type="dxa" w:w="785"/>
          </w:tcPr>
          <w:p>
            <w:r/>
            <w:r>
              <w:t>X</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t>Fieldwork — Oromia Region job centers</w:t>
            </w:r>
          </w:p>
        </w:tc>
        <w:tc>
          <w:tcPr>
            <w:tcW w:type="dxa" w:w="785"/>
          </w:tcPr>
          <w:p>
            <w:r/>
          </w:p>
        </w:tc>
        <w:tc>
          <w:tcPr>
            <w:tcW w:type="dxa" w:w="785"/>
          </w:tcPr>
          <w:p>
            <w:r/>
          </w:p>
        </w:tc>
        <w:tc>
          <w:tcPr>
            <w:tcW w:type="dxa" w:w="785"/>
          </w:tcPr>
          <w:p>
            <w:r/>
          </w:p>
        </w:tc>
        <w:tc>
          <w:tcPr>
            <w:tcW w:type="dxa" w:w="785"/>
          </w:tcPr>
          <w:p>
            <w:r/>
            <w:r>
              <w:t>X</w:t>
            </w:r>
          </w:p>
        </w:tc>
        <w:tc>
          <w:tcPr>
            <w:tcW w:type="dxa" w:w="785"/>
          </w:tcPr>
          <w:p>
            <w:r/>
            <w:r>
              <w:t>X</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t>Staff skills / training-needs data collection</w:t>
            </w:r>
          </w:p>
        </w:tc>
        <w:tc>
          <w:tcPr>
            <w:tcW w:type="dxa" w:w="785"/>
          </w:tcPr>
          <w:p>
            <w:r/>
          </w:p>
        </w:tc>
        <w:tc>
          <w:tcPr>
            <w:tcW w:type="dxa" w:w="785"/>
          </w:tcPr>
          <w:p>
            <w:r/>
          </w:p>
        </w:tc>
        <w:tc>
          <w:tcPr>
            <w:tcW w:type="dxa" w:w="785"/>
          </w:tcPr>
          <w:p>
            <w:r/>
            <w:r>
              <w:t>X</w:t>
            </w:r>
          </w:p>
        </w:tc>
        <w:tc>
          <w:tcPr>
            <w:tcW w:type="dxa" w:w="785"/>
          </w:tcPr>
          <w:p>
            <w:r/>
            <w:r>
              <w:t>X</w:t>
            </w:r>
          </w:p>
        </w:tc>
        <w:tc>
          <w:tcPr>
            <w:tcW w:type="dxa" w:w="785"/>
          </w:tcPr>
          <w:p>
            <w:r/>
            <w:r>
              <w:t>X</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t>Accessibility audits (women, youth, persons with disabilities)</w:t>
            </w:r>
          </w:p>
        </w:tc>
        <w:tc>
          <w:tcPr>
            <w:tcW w:type="dxa" w:w="785"/>
          </w:tcPr>
          <w:p>
            <w:r/>
          </w:p>
        </w:tc>
        <w:tc>
          <w:tcPr>
            <w:tcW w:type="dxa" w:w="785"/>
          </w:tcPr>
          <w:p>
            <w:r/>
          </w:p>
        </w:tc>
        <w:tc>
          <w:tcPr>
            <w:tcW w:type="dxa" w:w="785"/>
          </w:tcPr>
          <w:p>
            <w:r/>
            <w:r>
              <w:t>X</w:t>
            </w:r>
          </w:p>
        </w:tc>
        <w:tc>
          <w:tcPr>
            <w:tcW w:type="dxa" w:w="785"/>
          </w:tcPr>
          <w:p>
            <w:r/>
            <w:r>
              <w:t>X</w:t>
            </w:r>
          </w:p>
        </w:tc>
        <w:tc>
          <w:tcPr>
            <w:tcW w:type="dxa" w:w="785"/>
          </w:tcPr>
          <w:p>
            <w:r/>
            <w:r>
              <w:t>X</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t>KIIs with MoLS, social partners, private sector</w:t>
            </w:r>
          </w:p>
        </w:tc>
        <w:tc>
          <w:tcPr>
            <w:tcW w:type="dxa" w:w="785"/>
          </w:tcPr>
          <w:p>
            <w:r/>
          </w:p>
        </w:tc>
        <w:tc>
          <w:tcPr>
            <w:tcW w:type="dxa" w:w="785"/>
          </w:tcPr>
          <w:p>
            <w:r/>
          </w:p>
        </w:tc>
        <w:tc>
          <w:tcPr>
            <w:tcW w:type="dxa" w:w="785"/>
          </w:tcPr>
          <w:p>
            <w:r/>
            <w:r>
              <w:t>X</w:t>
            </w:r>
          </w:p>
        </w:tc>
        <w:tc>
          <w:tcPr>
            <w:tcW w:type="dxa" w:w="785"/>
          </w:tcPr>
          <w:p>
            <w:r/>
            <w:r>
              <w:t>X</w:t>
            </w:r>
          </w:p>
        </w:tc>
        <w:tc>
          <w:tcPr>
            <w:tcW w:type="dxa" w:w="785"/>
          </w:tcPr>
          <w:p>
            <w:r/>
            <w:r>
              <w:t>X</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t>Analysis &amp; synthesis of findings</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X</w:t>
            </w:r>
          </w:p>
        </w:tc>
        <w:tc>
          <w:tcPr>
            <w:tcW w:type="dxa" w:w="785"/>
          </w:tcPr>
          <w:p>
            <w:r/>
            <w:r>
              <w:t>X</w:t>
            </w:r>
          </w:p>
        </w:tc>
        <w:tc>
          <w:tcPr>
            <w:tcW w:type="dxa" w:w="785"/>
          </w:tcPr>
          <w:p>
            <w:r/>
          </w:p>
        </w:tc>
        <w:tc>
          <w:tcPr>
            <w:tcW w:type="dxa" w:w="785"/>
          </w:tcPr>
          <w:p>
            <w:r/>
          </w:p>
        </w:tc>
        <w:tc>
          <w:tcPr>
            <w:tcW w:type="dxa" w:w="785"/>
          </w:tcPr>
          <w:p>
            <w:r/>
          </w:p>
        </w:tc>
      </w:tr>
      <w:tr>
        <w:tc>
          <w:tcPr>
            <w:tcW w:type="dxa" w:w="785"/>
          </w:tcPr>
          <w:p>
            <w:r/>
            <w:r>
              <w:t>Draft Capacity Gap Assessment Report</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X</w:t>
            </w:r>
          </w:p>
        </w:tc>
        <w:tc>
          <w:tcPr>
            <w:tcW w:type="dxa" w:w="785"/>
          </w:tcPr>
          <w:p>
            <w:r/>
            <w:r>
              <w:t>X</w:t>
            </w:r>
          </w:p>
        </w:tc>
        <w:tc>
          <w:tcPr>
            <w:tcW w:type="dxa" w:w="785"/>
          </w:tcPr>
          <w:p>
            <w:r/>
          </w:p>
        </w:tc>
        <w:tc>
          <w:tcPr>
            <w:tcW w:type="dxa" w:w="785"/>
          </w:tcPr>
          <w:p>
            <w:r/>
          </w:p>
        </w:tc>
        <w:tc>
          <w:tcPr>
            <w:tcW w:type="dxa" w:w="785"/>
          </w:tcPr>
          <w:p>
            <w:r/>
          </w:p>
        </w:tc>
      </w:tr>
      <w:tr>
        <w:tc>
          <w:tcPr>
            <w:tcW w:type="dxa" w:w="785"/>
          </w:tcPr>
          <w:p>
            <w:r/>
            <w:r>
              <w:t>Draft Capacity Building Plan (actors, timelines, resources)</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X</w:t>
            </w:r>
          </w:p>
        </w:tc>
        <w:tc>
          <w:tcPr>
            <w:tcW w:type="dxa" w:w="785"/>
          </w:tcPr>
          <w:p>
            <w:r/>
            <w:r>
              <w:t>X</w:t>
            </w:r>
          </w:p>
        </w:tc>
        <w:tc>
          <w:tcPr>
            <w:tcW w:type="dxa" w:w="785"/>
          </w:tcPr>
          <w:p>
            <w:r/>
          </w:p>
        </w:tc>
        <w:tc>
          <w:tcPr>
            <w:tcW w:type="dxa" w:w="785"/>
          </w:tcPr>
          <w:p>
            <w:r/>
          </w:p>
        </w:tc>
        <w:tc>
          <w:tcPr>
            <w:tcW w:type="dxa" w:w="785"/>
          </w:tcPr>
          <w:p>
            <w:r/>
          </w:p>
        </w:tc>
      </w:tr>
      <w:tr>
        <w:tc>
          <w:tcPr>
            <w:tcW w:type="dxa" w:w="785"/>
          </w:tcPr>
          <w:p>
            <w:r/>
            <w:r>
              <w:t>Submission of drafts to ILO/MoLS (approval gate)</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X</w:t>
            </w:r>
          </w:p>
        </w:tc>
        <w:tc>
          <w:tcPr>
            <w:tcW w:type="dxa" w:w="785"/>
          </w:tcPr>
          <w:p>
            <w:r/>
          </w:p>
        </w:tc>
        <w:tc>
          <w:tcPr>
            <w:tcW w:type="dxa" w:w="785"/>
          </w:tcPr>
          <w:p>
            <w:r/>
          </w:p>
        </w:tc>
        <w:tc>
          <w:tcPr>
            <w:tcW w:type="dxa" w:w="785"/>
          </w:tcPr>
          <w:p>
            <w:r/>
          </w:p>
        </w:tc>
      </w:tr>
      <w:tr>
        <w:tc>
          <w:tcPr>
            <w:tcW w:type="dxa" w:w="785"/>
          </w:tcPr>
          <w:p>
            <w:r/>
            <w:r>
              <w:t>Validation Workshop (co-facilitated)</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X</w:t>
            </w:r>
          </w:p>
        </w:tc>
        <w:tc>
          <w:tcPr>
            <w:tcW w:type="dxa" w:w="785"/>
          </w:tcPr>
          <w:p>
            <w:r/>
          </w:p>
        </w:tc>
        <w:tc>
          <w:tcPr>
            <w:tcW w:type="dxa" w:w="785"/>
          </w:tcPr>
          <w:p>
            <w:r/>
          </w:p>
        </w:tc>
      </w:tr>
      <w:tr>
        <w:tc>
          <w:tcPr>
            <w:tcW w:type="dxa" w:w="785"/>
          </w:tcPr>
          <w:p>
            <w:r/>
            <w:r>
              <w:t>Feedback consolidation</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X</w:t>
            </w:r>
          </w:p>
        </w:tc>
        <w:tc>
          <w:tcPr>
            <w:tcW w:type="dxa" w:w="785"/>
          </w:tcPr>
          <w:p>
            <w:r/>
          </w:p>
        </w:tc>
        <w:tc>
          <w:tcPr>
            <w:tcW w:type="dxa" w:w="785"/>
          </w:tcPr>
          <w:p>
            <w:r/>
          </w:p>
        </w:tc>
      </w:tr>
      <w:tr>
        <w:tc>
          <w:tcPr>
            <w:tcW w:type="dxa" w:w="785"/>
          </w:tcPr>
          <w:p>
            <w:r/>
            <w:r>
              <w:t>Revision of report and plan</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X</w:t>
            </w:r>
          </w:p>
        </w:tc>
        <w:tc>
          <w:tcPr>
            <w:tcW w:type="dxa" w:w="785"/>
          </w:tcPr>
          <w:p>
            <w:r/>
          </w:p>
        </w:tc>
      </w:tr>
      <w:tr>
        <w:tc>
          <w:tcPr>
            <w:tcW w:type="dxa" w:w="785"/>
          </w:tcPr>
          <w:p>
            <w:r/>
            <w:r>
              <w:t>Final quality check against service list</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X</w:t>
            </w:r>
          </w:p>
        </w:tc>
        <w:tc>
          <w:tcPr>
            <w:tcW w:type="dxa" w:w="785"/>
          </w:tcPr>
          <w:p>
            <w:r/>
          </w:p>
        </w:tc>
      </w:tr>
      <w:tr>
        <w:tc>
          <w:tcPr>
            <w:tcW w:type="dxa" w:w="785"/>
          </w:tcPr>
          <w:p>
            <w:r/>
            <w:r>
              <w:t>Finalized outputs submitted to ILO ROAF/MoLS</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X</w:t>
            </w:r>
          </w:p>
        </w:tc>
      </w:tr>
    </w:tbl>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