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Consultancy to Develop Learning Paper 2 for SPREAD- Integrating Peacebuilding, Livelihoods, Climate Resilience and Disaster Risk Reduction</w:t>
      </w:r>
    </w:p>
    <w:p>
      <w:pPr>
        <w:jc w:val="center"/>
      </w:pPr>
      <w:r>
        <w:t>Client: DanChurchAid Kenya</w:t>
        <w:br/>
      </w:r>
      <w:r>
        <w:t>Submitted by: Cortech Consulting Group</w:t>
        <w:br/>
      </w:r>
      <w:r>
        <w:t>Date: 14 September 2026</w:t>
      </w:r>
    </w:p>
    <w:p>
      <w:r>
        <w:br w:type="page"/>
      </w:r>
    </w:p>
    <w:p>
      <w:r>
        <w:fldChar w:fldCharType="begin"/>
        <w:instrText xml:space="preserve">TOC \o "1-1" \h \z \u</w:instrText>
        <w:fldChar w:fldCharType="separate"/>
        <w:fldChar w:fldCharType="end"/>
      </w:r>
    </w:p>
    <w:p>
      <w:r>
        <w:br w:type="page"/>
      </w:r>
    </w:p>
    <w:p>
      <w:pPr>
        <w:pStyle w:val="Heading1"/>
      </w:pPr>
      <w:r>
        <w:t>Technical proposal summarizing previous related experience, understanding of the TOR, key research questions, methodology and tools to be used</w:t>
      </w:r>
    </w:p>
    <w:p>
      <w:r>
        <w:t>METHODOLOGY</w:t>
      </w:r>
    </w:p>
    <w:p>
      <w:pPr>
        <w:pStyle w:val="ListNumber"/>
      </w:pPr>
      <w:r>
        <w:t>Overall Approach</w:t>
      </w:r>
    </w:p>
    <w:p>
      <w:r>
        <w:t>Cortech Consulting Group proposes a learning-focused, mixed-methods design that treats "integration" as the central unit of analysis, not a background descriptor. SPREAD is now in its third year of implementation and moving toward its concluding phase; the assignment is therefore not a standard evaluation of outputs but a structured process of extracting operational meaning from three years of programme experience across Turkana/Kenya, South Omo/Ethiopia and Eastern Equatoria/South Sudan, the Karamoja Cluster cross-border zone. The methodology is designed to answer directly what the Terms of Reference itself asks: what integration has meant operationally in SPREAD's design and inception, when it has added value beyond the sum of Peacebuilding, Livelihoods, Climate Resilience and Disaster Risk Reduction (DRR) delivered in parallel, what trade-offs this has produced, and what this implies for future funding and programming models. The design combines document-based reconstruction of SPREAD's integration logic with field-based testing of that logic against lived community experience. It builds explicitly on SPREAD's existing Outcome Harvesting practice rather than introducing a parallel evaluative framework, and it is structured around community case studies that will deliberately include both stronger and weaker examples of integration, as required by the ToR, so that the paper can explain contextual variation rather than assert a single success narrative. The methodology is anchored on four analytical moves that map directly to the six proposed key learning questions: (i) establishing a shared operational definition of integration through desk review and stakeholder engagement; (ii) mapping sequencing patterns, including whether peace preceded livelihood investment, whether economic cooperation opened space for dialogue, or whether natural-resource agreements preceded irrigation or agricultural investment; (iii) surfacing challenges and trade-offs, including the relationship between livelihoods diversification and reduced pressure on natural resources; and (iv) assessing how communities relate to SPREAD-introduced structures, Community Action Groups (CAGs), Village Savings and Loan Associations (VSLAs), micro-grants and early warning systems, alongside pre-existing structures such as market committees, peace committees and savings groups. 2. Phase-by-Phase Breakdown</w:t>
      </w:r>
    </w:p>
    <w:p>
      <w:r>
        <w:t>Phase 1, Inception (weeks 1 to 2, targeting the 13 October 2026 milestone). This review will produce a working operational definition of integration and a first map of sequencing hypotheses to be tested in the field. In parallel, the consultant will develop case-study selection criteria, KII and FGD guides, and a community case-study protocol in consultation with SPREAD technical and MEAL staff, satisfying Expected Task 2 of the ToR. All instruments will be piloted in KoboToolbox before use. Phase 2, Field Data Collection (October, through 31 October 2026). Data collection will be coordinated across the three countries through the national partner teams, TUPADO in Kenya, ICPDO and ROG in South Sudan, and ECC in Ethiopia, using harmonised Kobo tools to preserve cross-country comparability. Edwin Aldrin Adenya, supported by locally recruited research assistants trained by the Lead Consultant, will support enumeration and FGD/KII facilitation in line with the ToR's administrative provision that the consultant recruit and train research assistants directly. Phase 3, Analysis and Quality Review (early to mid-November 2026). Qualitative data (KII and FGD transcripts, case-study narratives) will be coded in NVivo against a codebook built around the four analytical moves above. Quantitative and ranking-exercise data will be cleaned and analysed in SPSS, disaggregated by sex, age and disability. A dedicated review session with the SPREAD team, satisfying Expected Task 4, will be held to deepen understanding of emerging findings before drafting begins. Phase 4, Reporting and Validation (21 November to 15 December 2026). A draft learning paper and draft policy briefs will be prepared and discussed with the Consortium Management Unit (CMU) and relevant thematic leads, followed by a single cross-border validation workshop bringing together Consortium members, IGAD and other stakeholders, and a final revision cycle incorporating validation feedback. 3. Method by Deliverable</w:t>
      </w:r>
    </w:p>
    <w:p>
      <w:r>
        <w:t>Inception Report (13 October 2026). Instrument: structured desk review matrix plus draft KII/FGD guides and case-study protocol. Respondents: SPREAD CMU and thematic leads (consultation only, no primary data). Output: inception report covering desk review findings, methodology, case-study selection criteria, data collection tools, work plan and ethical/risk mitigation measures, presented at an inception briefing. Field Data Collection. Instruments: KIIs with traditional leaders, local and national authorities, and private-sector actors; FGDs with CAG and VSLA members, farmers and farmer groups, fisherfolk, and women- and youth-led CSOs; participatory ranking exercises with mixed and women/youth-led markets. Sampling will span all three countries and cover peacebuilding and resilience structures, livestock, fishing, farming and formal and informal cross-border trade (ICBT). Output: cleaned Kobo datasets and case-study narrative files per country. Draft and Final Learning Paper. Instrument: triangulated analysis across NVivo-coded qualitative data, SPSS-analysed ranking and disaggregated data, and the Phase 1 desk review, structured around the six key learning questions. Output: draft learning paper (21 November 2026) and final learning paper with SMART, evidence-based recommendations on integration versus coordination (15 December 2026). Policy Briefs. Two distinct products, as specified in the ToR: a concise general policy brief on integration for donors, IGAD and governments, and a separate 4 to 8 page brief targeted at EU, Danish and IGAD policymakers on how the integrated approach contributes to human security and stability. Instrument: synthesis of validated findings into audience-specific recommendations. Output: draft versions (21 November 2026), finalised after the validation workshop (15 December 2026). Cross-Border Validation Workshop. Instrument: single facilitated workshop with structured feedback capture. Respondents: Consortium members (TUPADO, ICPDO, ROG, ECC), IGAD and other stakeholders. Output: validated findings feeding the final report, by 3 December 2026. Case-Study Files, Executive Summary, PowerPoint and Learning Session. Instruments: anonymised data export, 2 to 4 page executive summary drafting, and a facilitated presentation. Output: all delivered by 15 December 2026, closing with a facilitated results presentation and learning session with DCA and Consortium partners. 4. Quantitative outputs will be cross-checked in SPSS against the sampling frame to confirm coverage across all three countries and all named livelihood sectors before analysis proceeds. Qualitative coding in NVivo will follow a shared codebook applied consistently across country teams to preserve comparability, with a second coder cross-check on a sample of transcripts. Findings will be triangulated against the SPREAD baseline (2024) and MTR (2025) to identify convergence and divergence over time, and any methodological limitations, including access constraints in South Sudan and Ethiopia, will be stated transparently in the final report rather than concealed. 5. Ethical Considerations</w:t>
      </w:r>
    </w:p>
    <w:p>
      <w:r>
        <w:t>Fieldwork will follow conflict-sensitive and GESI-sensitive protocols appropriate to cross-border, pastoralist and conflict-affected settings. Informed consent will be obtained from all KII and FGD participants, with particular attention to power dynamics between traditional leaders, local authorities and community members. Data will be disaggregated by sex, age and disability throughout, and case-study files and raw data will be anonymised before annexing to the final report. In accordance with Article 6 of the General Terms and Conditions for Service Contracts, no findings, project particulars or draft outputs will be published or publicly disclosed without DCA's prior written consent, and the consultant will operate under DCA's confidentiality and approval protocols throughout the assignment.</w:t>
      </w:r>
    </w:p>
    <w:p>
      <w:r>
        <w:br w:type="page"/>
      </w:r>
    </w:p>
    <w:p>
      <w:pPr>
        <w:pStyle w:val="Heading1"/>
      </w:pPr>
      <w:r>
        <w:t>Work-plan indicating the activity schedule</w:t>
      </w:r>
    </w:p>
    <w:p>
      <w:pPr>
        <w:pStyle w:val="Heading2"/>
      </w:pPr>
      <w:r>
        <w:t>Narrative</w:t>
      </w:r>
    </w:p>
    <w:p>
      <w:r>
        <w:t>Cortech Consulting Group will deliver the SPREAD Learning Paper 2 assignment over the 12-week period specified in the Terms of Reference, from on-boarding on 29 September 2026 through submission of the final learning paper and policy briefs on 15 December 2026. The work plan is sequenced around the fixed dates the Terms of Reference set: inception report and tools approved by 13 October 2026, data collection to 31 October 2026, draft report to DCA by 21 November 2026, cross-border validation workshop by 3 December 2026, and final report and policy briefs by 15 December 2026. Lead Consultant Mugove Kwashirai Chakurira will hold overall responsibility for methodology, analysis and reporting, reporting to the Project Consortium Manager with technical oversight from the SPREAD thematic leads and MEAL team. Research Assistant Edwin Aldrin Adenya will support field enumeration and, per the administrative provisions of the Terms of Reference, the consultant will recruit and train additional local research assistants for Turkana/Kenya, South Omo/Ethiopia and Eastern Equatoria/South Sudan, coordinated through TUPADO (Kenya), ICPDO and ROG (South Sudan) and ECC (Ethiopia) using harmonised tools to ensure cross-country comparability.</w:t>
      </w:r>
    </w:p>
    <w:p>
      <w:pPr>
        <w:pStyle w:val="Heading2"/>
      </w:pPr>
      <w:r>
        <w:t>Phase Breakdown</w:t>
      </w:r>
    </w:p>
    <w:p>
      <w:r>
        <w:rPr>
          <w:b/>
        </w:rPr>
        <w:t>Phase 1: Inception (Week 1-2, 29 September to 13 October 2026).</w:t>
      </w:r>
      <w:r>
        <w:t xml:space="preserve"> Desk review of the SPREAD baseline report (2024), Mid-Term Review (2025), Year 3/MTR reflection workshop outputs, DCA's Conflict Prevention and Social Cohesion Action Guides, the Social Cohesion Index tool, and DCA's resilience, climate adaptation, DRR and Market Systems Development guidance. Development of case-study selection criteria, KII/FGD guides and the community case-study protocol in consultation with SPREAD technical and MEAL staff. Output: inception report covering desk review findings, methodology, sampling, tools, work plan and ethical/risk mitigation measures, presented at an inception briefing with the Consortium Management Unit (CMU) and thematic leads. </w:t>
      </w:r>
      <w:r>
        <w:rPr>
          <w:b/>
        </w:rPr>
        <w:t>Phase 2: Field Data Collection (Week 3-5, 14 to 31 October 2026).</w:t>
      </w:r>
      <w:r>
        <w:t xml:space="preserve"> Direct engagement with pastoralists/agro-pastoralists, fisherfolk, women- and youth-led CSOs, traditional leaders, local and national authorities, Community Action Group (CAG) and Village Savings and Loan Association (VSLA) members across all three countries, sequenced through TUPADO, ICPDO/ROG and ECC. Output: completed KIIs, FGDs, participatory ranking exercises and community case studies covering livestock, fishing, farming and informal cross-border trade (ICBT), disaggregated by sex, age and disability. </w:t>
      </w:r>
      <w:r>
        <w:rPr>
          <w:b/>
        </w:rPr>
        <w:t>Phase 3: Analysis and Draft Reporting (Week 6-8, 1 to 21 November 2026).</w:t>
      </w:r>
      <w:r>
        <w:t xml:space="preserve"> Data cleaning, triangulation against SPREAD baseline and MTR findings, and a review session with the SPREAD team to deepen understanding of findings. Output: draft learning paper and draft policy briefs (general integration brief and the human security/stability brief) submitted to DCA by 21 November 2026. </w:t>
      </w:r>
      <w:r>
        <w:rPr>
          <w:b/>
        </w:rPr>
        <w:t>Phase 4: Validation (Week 9, 22 November to 3 December 2026).</w:t>
      </w:r>
      <w:r>
        <w:t xml:space="preserve"> Preparation and circulation of validation materials, followed by the single cross-border validation workshop with Consortium members, IGAD and other stakeholders. Output: validation workshop proceedings and feedback log. </w:t>
      </w:r>
      <w:r>
        <w:rPr>
          <w:b/>
        </w:rPr>
        <w:t>Phase 5: Finalization and Dissemination (Week 10-12, 4 to 15 December 2026).</w:t>
      </w:r>
      <w:r>
        <w:t xml:space="preserve"> Incorporation of validation feedback into the final learning paper, both policy briefs, executive management summary, summary PowerPoint, and anonymised case-study files and cleaned raw data. Output: final deliverables submitted by 15 December 2026, followed by the facilitated results presentation and learning session with DCA and consortium partners.</w:t>
      </w:r>
    </w:p>
    <w:p>
      <w:pPr>
        <w:pStyle w:val="Heading2"/>
      </w:pPr>
      <w:r>
        <w:t>Parallel vs Sequential Activities</w:t>
      </w:r>
    </w:p>
    <w:p>
      <w:r>
        <w:t>Inception, data collection, drafting and validation are sequential and gated: data collection begins only once the inception report and tools are approved (13 October), and validation begins only once the draft report is submitted (21 November). Within Phase 2, data collection in Kenya, Ethiopia and South Sudan runs in parallel through the three national partner teams to meet the 31 October deadline. Within Phase 5, drafting of the two policy briefs, the executive summary and the PowerPoint proceeds in parallel once validation feedback is received, converging on the single 15 December submission.</w:t>
      </w:r>
    </w:p>
    <w:p>
      <w:pPr>
        <w:pStyle w:val="Heading2"/>
      </w:pPr>
      <w:r>
        <w:t>Gantt Chart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r>
            <w:r>
              <w:rPr>
                <w:b/>
              </w:rPr>
              <w:t>Activity</w:t>
            </w:r>
          </w:p>
        </w:tc>
        <w:tc>
          <w:tcPr>
            <w:tcW w:type="dxa" w:w="785"/>
          </w:tcPr>
          <w:p>
            <w:r>
              <w:rPr>
                <w:b/>
              </w:rPr>
            </w:r>
            <w:r>
              <w:rPr>
                <w:b/>
              </w:rPr>
              <w:t>Wk1 (29Sep-5Oct)</w:t>
            </w:r>
          </w:p>
        </w:tc>
        <w:tc>
          <w:tcPr>
            <w:tcW w:type="dxa" w:w="785"/>
          </w:tcPr>
          <w:p>
            <w:r>
              <w:rPr>
                <w:b/>
              </w:rPr>
            </w:r>
            <w:r>
              <w:rPr>
                <w:b/>
              </w:rPr>
              <w:t>Wk2 (6-13Oct)</w:t>
            </w:r>
          </w:p>
        </w:tc>
        <w:tc>
          <w:tcPr>
            <w:tcW w:type="dxa" w:w="785"/>
          </w:tcPr>
          <w:p>
            <w:r>
              <w:rPr>
                <w:b/>
              </w:rPr>
            </w:r>
            <w:r>
              <w:rPr>
                <w:b/>
              </w:rPr>
              <w:t>Wk3 (14-20Oct)</w:t>
            </w:r>
          </w:p>
        </w:tc>
        <w:tc>
          <w:tcPr>
            <w:tcW w:type="dxa" w:w="785"/>
          </w:tcPr>
          <w:p>
            <w:r>
              <w:rPr>
                <w:b/>
              </w:rPr>
            </w:r>
            <w:r>
              <w:rPr>
                <w:b/>
              </w:rPr>
              <w:t>Wk4 (21-27Oct)</w:t>
            </w:r>
          </w:p>
        </w:tc>
        <w:tc>
          <w:tcPr>
            <w:tcW w:type="dxa" w:w="785"/>
          </w:tcPr>
          <w:p>
            <w:r>
              <w:rPr>
                <w:b/>
              </w:rPr>
            </w:r>
            <w:r>
              <w:rPr>
                <w:b/>
              </w:rPr>
              <w:t>Wk5 (28-31Oct)</w:t>
            </w:r>
          </w:p>
        </w:tc>
        <w:tc>
          <w:tcPr>
            <w:tcW w:type="dxa" w:w="785"/>
          </w:tcPr>
          <w:p>
            <w:r>
              <w:rPr>
                <w:b/>
              </w:rPr>
            </w:r>
            <w:r>
              <w:rPr>
                <w:b/>
              </w:rPr>
              <w:t>Wk6-7 (1-14Nov)</w:t>
            </w:r>
          </w:p>
        </w:tc>
        <w:tc>
          <w:tcPr>
            <w:tcW w:type="dxa" w:w="785"/>
          </w:tcPr>
          <w:p>
            <w:r>
              <w:rPr>
                <w:b/>
              </w:rPr>
            </w:r>
            <w:r>
              <w:rPr>
                <w:b/>
              </w:rPr>
              <w:t>Wk8 (15-21Nov)</w:t>
            </w:r>
          </w:p>
        </w:tc>
        <w:tc>
          <w:tcPr>
            <w:tcW w:type="dxa" w:w="785"/>
          </w:tcPr>
          <w:p>
            <w:r>
              <w:rPr>
                <w:b/>
              </w:rPr>
            </w:r>
            <w:r>
              <w:rPr>
                <w:b/>
              </w:rPr>
              <w:t>Wk9 (22Nov-3Dec)</w:t>
            </w:r>
          </w:p>
        </w:tc>
        <w:tc>
          <w:tcPr>
            <w:tcW w:type="dxa" w:w="785"/>
          </w:tcPr>
          <w:p>
            <w:r>
              <w:rPr>
                <w:b/>
              </w:rPr>
            </w:r>
            <w:r>
              <w:rPr>
                <w:b/>
              </w:rPr>
              <w:t>Wk10-11 (4-11Dec)</w:t>
            </w:r>
          </w:p>
        </w:tc>
        <w:tc>
          <w:tcPr>
            <w:tcW w:type="dxa" w:w="785"/>
          </w:tcPr>
          <w:p>
            <w:r>
              <w:rPr>
                <w:b/>
              </w:rPr>
            </w:r>
            <w:r>
              <w:rPr>
                <w:b/>
              </w:rPr>
              <w:t>Wk12 (12-15Dec)</w:t>
            </w:r>
          </w:p>
        </w:tc>
      </w:tr>
      <w:tr>
        <w:tc>
          <w:tcPr>
            <w:tcW w:type="dxa" w:w="785"/>
          </w:tcPr>
          <w:p>
            <w:r/>
            <w:r>
              <w:t>Desk review (baseline, MTR, reflection outputs)</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Tool/protocol development (KII/FGD, case-study criteria)</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Inception report finalised and approved</w:t>
            </w:r>
          </w:p>
        </w:tc>
        <w:tc>
          <w:tcPr>
            <w:tcW w:type="dxa" w:w="785"/>
          </w:tcPr>
          <w:p>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Inception briefing with CMU/thematic leads</w:t>
            </w:r>
          </w:p>
        </w:tc>
        <w:tc>
          <w:tcPr>
            <w:tcW w:type="dxa" w:w="785"/>
          </w:tcPr>
          <w:p>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Field data collection, Kenya (TUPADO)</w:t>
            </w:r>
          </w:p>
        </w:tc>
        <w:tc>
          <w:tcPr>
            <w:tcW w:type="dxa" w:w="785"/>
          </w:tcPr>
          <w:p>
            <w:r/>
          </w:p>
        </w:tc>
        <w:tc>
          <w:tcPr>
            <w:tcW w:type="dxa" w:w="785"/>
          </w:tcPr>
          <w:p>
            <w:r/>
          </w:p>
        </w:tc>
        <w:tc>
          <w:tcPr>
            <w:tcW w:type="dxa" w:w="785"/>
          </w:tcPr>
          <w:p>
            <w:r/>
            <w:r>
              <w:t>X</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Field data collection, Ethiopia (ECC)</w:t>
            </w:r>
          </w:p>
        </w:tc>
        <w:tc>
          <w:tcPr>
            <w:tcW w:type="dxa" w:w="785"/>
          </w:tcPr>
          <w:p>
            <w:r/>
          </w:p>
        </w:tc>
        <w:tc>
          <w:tcPr>
            <w:tcW w:type="dxa" w:w="785"/>
          </w:tcPr>
          <w:p>
            <w:r/>
          </w:p>
        </w:tc>
        <w:tc>
          <w:tcPr>
            <w:tcW w:type="dxa" w:w="785"/>
          </w:tcPr>
          <w:p>
            <w:r/>
            <w:r>
              <w:t>X</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Field data collection, South Sudan (ICPDO/ROG)</w:t>
            </w:r>
          </w:p>
        </w:tc>
        <w:tc>
          <w:tcPr>
            <w:tcW w:type="dxa" w:w="785"/>
          </w:tcPr>
          <w:p>
            <w:r/>
          </w:p>
        </w:tc>
        <w:tc>
          <w:tcPr>
            <w:tcW w:type="dxa" w:w="785"/>
          </w:tcPr>
          <w:p>
            <w:r/>
          </w:p>
        </w:tc>
        <w:tc>
          <w:tcPr>
            <w:tcW w:type="dxa" w:w="785"/>
          </w:tcPr>
          <w:p>
            <w:r/>
            <w:r>
              <w:t>X</w:t>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c>
          <w:tcPr>
            <w:tcW w:type="dxa" w:w="785"/>
          </w:tcPr>
          <w:p>
            <w:r/>
          </w:p>
        </w:tc>
        <w:tc>
          <w:tcPr>
            <w:tcW w:type="dxa" w:w="785"/>
          </w:tcPr>
          <w:p>
            <w:r/>
          </w:p>
        </w:tc>
      </w:tr>
      <w:tr>
        <w:tc>
          <w:tcPr>
            <w:tcW w:type="dxa" w:w="785"/>
          </w:tcPr>
          <w:p>
            <w:r/>
            <w:r>
              <w:t>Data cleaning, triangulation and analysis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r>
      <w:tr>
        <w:tc>
          <w:tcPr>
            <w:tcW w:type="dxa" w:w="785"/>
          </w:tcPr>
          <w:p>
            <w:r/>
            <w:r>
              <w:t>SPREAD team review session on findings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c>
          <w:tcPr>
            <w:tcW w:type="dxa" w:w="785"/>
          </w:tcPr>
          <w:p>
            <w:r/>
          </w:p>
        </w:tc>
      </w:tr>
      <w:tr>
        <w:tc>
          <w:tcPr>
            <w:tcW w:type="dxa" w:w="785"/>
          </w:tcPr>
          <w:p>
            <w:r/>
            <w:r>
              <w:t>Draft learning paper and draft policy briefs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c>
          <w:tcPr>
            <w:tcW w:type="dxa" w:w="785"/>
          </w:tcPr>
          <w:p>
            <w:r/>
          </w:p>
        </w:tc>
        <w:tc>
          <w:tcPr>
            <w:tcW w:type="dxa" w:w="785"/>
          </w:tcPr>
          <w:p>
            <w:r/>
          </w:p>
        </w:tc>
        <w:tc>
          <w:tcPr>
            <w:tcW w:type="dxa" w:w="785"/>
          </w:tcPr>
          <w:p>
            <w:r/>
          </w:p>
        </w:tc>
      </w:tr>
      <w:tr>
        <w:tc>
          <w:tcPr>
            <w:tcW w:type="dxa" w:w="785"/>
          </w:tcPr>
          <w:p>
            <w:r/>
            <w:r>
              <w:t>Draft report submitted to DCA (21 Nov)</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c>
          <w:tcPr>
            <w:tcW w:type="dxa" w:w="785"/>
          </w:tcPr>
          <w:p>
            <w:r/>
          </w:p>
        </w:tc>
      </w:tr>
      <w:tr>
        <w:tc>
          <w:tcPr>
            <w:tcW w:type="dxa" w:w="785"/>
          </w:tcPr>
          <w:p>
            <w:r/>
            <w:r>
              <w:t>Validation preparation and materials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r>
      <w:tr>
        <w:tc>
          <w:tcPr>
            <w:tcW w:type="dxa" w:w="785"/>
          </w:tcPr>
          <w:p>
            <w:r/>
            <w:r>
              <w:t>Cross-border validation workshop</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p>
        </w:tc>
        <w:tc>
          <w:tcPr>
            <w:tcW w:type="dxa" w:w="785"/>
          </w:tcPr>
          <w:p>
            <w:r/>
          </w:p>
        </w:tc>
      </w:tr>
      <w:tr>
        <w:tc>
          <w:tcPr>
            <w:tcW w:type="dxa" w:w="785"/>
          </w:tcPr>
          <w:p>
            <w:r/>
            <w:r>
              <w:t>Revision of learning paper and policy briefs</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r>
      <w:tr>
        <w:tc>
          <w:tcPr>
            <w:tcW w:type="dxa" w:w="785"/>
          </w:tcPr>
          <w:p>
            <w:r/>
            <w:r>
              <w:t>Executive summary, PowerPoint, data files finalised</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c>
          <w:tcPr>
            <w:tcW w:type="dxa" w:w="785"/>
          </w:tcPr>
          <w:p>
            <w:r/>
            <w:r>
              <w:t>X</w:t>
            </w:r>
          </w:p>
        </w:tc>
      </w:tr>
      <w:tr>
        <w:tc>
          <w:tcPr>
            <w:tcW w:type="dxa" w:w="785"/>
          </w:tcPr>
          <w:p>
            <w:r/>
            <w:r>
              <w:t>Final report and policy briefs submitted (15 Dec)</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r>
      <w:tr>
        <w:tc>
          <w:tcPr>
            <w:tcW w:type="dxa" w:w="785"/>
          </w:tcPr>
          <w:p>
            <w:r/>
            <w:r>
              <w:t>Facilitated results presentation and learning session</w:t>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p>
        </w:tc>
        <w:tc>
          <w:tcPr>
            <w:tcW w:type="dxa" w:w="785"/>
          </w:tcPr>
          <w:p>
            <w:r/>
            <w:r>
              <w:t>X</w:t>
            </w:r>
          </w:p>
        </w:tc>
      </w:tr>
    </w:tbl>
    <w:p>
      <w:r>
        <w:br w:type="page"/>
      </w:r>
    </w:p>
    <w:p>
      <w:pPr>
        <w:pStyle w:val="Heading1"/>
      </w:pPr>
      <w:r>
        <w:t>CV highlighting the Candidate's experience in the specific field of the Services and experience in the country/region where the Services are to be performed</w:t>
      </w:r>
    </w:p>
    <w:p>
      <w:r>
        <w:t>TEAM COMPOSITION</w:t>
      </w:r>
    </w:p>
    <w:p>
      <w:r>
        <w:t>The technical evaluation weights academic qualifications of key experts at 10 points, organisational specialised knowledge and experience at 10 points, references of similar assignments at 10 points, methodology and sampling adequacy at 20 points, and sequence and realism of planning at 15 points. Against this bar, Cortech proposes a lean two-tier structure consistent with the scale of a 12-week learning assignment: a single Lead Consultant/Researcher carrying technical and analytical responsibility from inception to final report, supported by locally recruited research assistants and enumerators mobilised across Turkana, South Omo and Eastern Equatoria as the fieldwork phase requires. This structure mirrors the ToR's own expectation that the consultant "will recruit and train any required research assistants/enumerators" rather than field a large standing team, and it keeps decision-making and quality control concentrated in a single accountable lead who will interface directly with the SPREAD Consortium Management Unit (CMU), thematic leads and MEAL team throughout. Mugove Kwashirai Chakurira is proposed as Lead Consultant/Researcher for this assignment. [INSUFFICIENT EVIDENCE] is entered here for specific degree, publication record and prior contract history, as no CV or qualifications record for this expert has been supplied in the evidence available to this proposal; a full CV, meeting the ToR's stated preference for a PhD in a relevant field and its stated minimum of a relevant postgraduate qualification, will be appended to the technical proposal as required under section A.5 and the Application Process instructions. On this assignment, Chakurira will lead the desk review of the SPREAD baseline (2024), the Mid-Term Review (2025) and Year 3/MTR reflection workshop outputs; develop the case-study selection criteria, KII/FGD guides and community case-study protocol in consultation with SPREAD technical and MEAL staff; direct data collection across Turkana/Kenya, South Omo/Ethiopia and Eastern Equatoria/South Sudan in coordination with TUPADO, ICPDO, ROG and ECC; lead analysis and the review session with the SPREAD team; draft the learning paper and both policy briefs; and facilitate the cross-border validation workshop and the results presentation and learning session with DCA and Consortium partners. This role directly addresses the criterion on academic qualifications of key experts and anchors the criterion on organisational and regional specialised knowledge, since the Lead Consultant is the single point of technical accountability for demonstrating, in the learning paper itself, what integration has meant operationally across the three SPREAD border regions. Edwin Aldrin Adenya is proposed to support the Lead Consultant in the recruitment, training and field supervision of research assistants and enumerators for the data collection phase. [INSUFFICIENT EVIDENCE] is entered here for specific prior assignment history and qualifications record, as no CV has been supplied in the evidence available to this proposal; a supporting profile will be appended to the technical proposal in line with section A.5 requirements. On this assignment, Adenya's role will be to assist in training locally recruited enumerators in the harmonised KoboToolbox-based data collection tools before deployment, support supervision of Key Informant Interviews (KIIs) and Focus Group Discussions (FGDs) with Community Action Group (CAG) members, Village Savings and Loan Association (VSLA) members, traditional leaders, market committees and cross-border traders, and support the data cleaning and quality-check process ahead of the review session with the SPREAD team. This role addresses the ToR's administrative and logistical expectation that the consultant will "recruit and train any required research assistants/enumerators" and directly supports the methodology and sampling criterion by ensuring that data collection across all three countries and across livestock, fishing, farming and informal cross-border trade (ICBT) sectors is executed to a consistent field standard. No further gaps in role coverage have been identified against the team requirements stated in the ToR; the two-tier structure of Lead Consultant and locally recruited research assistants matches the personnel profile the ToR itself anticipates for this scale and duration of assignment. Country-based field enumerators for Kenya (Turkana), Ethiopia (South Omo) and South Sudan (Eastern Equatoria) will be recruited locally under Adenya's field coordination, working through the national partner teams, TUPADO in Kenya, ICPDO and ROG in South Sudan, and ECC in Ethiopia, to ensure local language capacity, community access and harmonised tool deployment as required under the ToR's cross-border coordination mechanism. Both named team members have confirmed availability for the full assignment period. Against the ToR's timeline, on-boarding by 29 September 2026, inception report and tools approved by 13 October 2026, data collection through 31 October 2026, draft report by 21 November 2026, validation workshop by 3 December 2026 and final report and policy briefs by 15 December 2026, the Lead Consultant will be committed full-time from contract signature through final submission, with the research assistant coordination role concentrated in the tool-training and field data collection window of October 2026. This commitment profile is designed to meet the 12-week assignment period and the 30-day contract implementation provisions set out in the draft Service Contract without competing demands on the named personnel during the stated delivery windows.</w:t>
      </w:r>
    </w:p>
    <w:p>
      <w:r>
        <w:br w:type="page"/>
      </w:r>
    </w:p>
    <w:p>
      <w:pPr>
        <w:pStyle w:val="Heading1"/>
      </w:pPr>
      <w:r>
        <w:t>Contacts of three organisations with whom you have been contracted to carry out similar assignments</w:t>
      </w:r>
    </w:p>
    <w:p>
      <w:r>
        <w:t>ORGANISATIONAL PROFILE</w:t>
      </w:r>
    </w:p>
    <w:p>
      <w:r>
        <w:t>Cortech Consulting Group is an independent development consulting firm established in 2015, with registered offices in Nairobi, Kenya; Mogadishu, Somalia; and London, United Kingdom. The firm is a registered company in Kenya, licensed to operate in Somalia, and registered in the United Kingdom, and holds ISO certification alongside a child safeguarding policy and PSEA compliance, meeting the standard donor and INGO due-diligence requirements applicable to this consultancy. Cortech's primary geographic focus covers Somalia, Kenya and Ethiopia, with secondary presence in Sudan, South Sudan, Uganda, Tanzania, Malawi and Djibouti. This footprint gives the firm an operational base in Kenya and established secondary presence relevant to South Sudan, and positions the firm to resource the Ethiopia (South Omo) and South Sudan (Eastern Equatoria) sites of this assignment through the cross-border coordination mechanism the Terms of Reference itself specifies, working with TUPADO (Kenya), ICPDO and ROG (South Sudan), and ECC (Ethiopia). Cortech's core thematic areas, Monitoring, Evaluation and Learning; Research, Assessment and Documentation; Community Engagement and Participatory Research; Urban Resilience and Climate Adaptation; Refugee/Displacement and Protection Programming; and Livelihoods and Economic Inclusion, map directly onto the four components SPREAD integrates: Peacebuilding, Livelihoods, Climate Resilience and Disaster Risk Reduction. The firm's 2024 consultancy for CEWARN under the IGAD Secretariat, developing a regional strategy framework for integrating climate security into national peace and security policies across Kenya, Ethiopia, Sudan, South Sudan and Uganda, is direct prior experience translating field-level climate-security and peacebuilding evidence into policy-facing frameworks for the same IGAD audience this Learning Paper's policy briefs must reach, together with EU and Danish policymakers. Cortech's methodological toolkit, KoboToolbox for digital field data collection across geographically dispersed sites, NVivo for qualitative case-study coding, SPSS for quantitative triangulation, and QGIS for spatial analysis of trade routes and natural-resource use, supports the mixed-methods, multi-country sampling this assignment requires. The firm's client portfolio includes UNHCR, UNICEF, IOM, the World Bank, DANIDA, the Government of Ireland and the European Union, evidencing sustained engagement with the donor and UN-agency audiences the SPREAD policy briefs are intended to inform.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Consultancy to Develop a CEWARN Regional Strategy Framework for Integrating Climate Security into National Peace and Security Policies</w:t>
            </w:r>
          </w:p>
        </w:tc>
        <w:tc>
          <w:tcPr>
            <w:tcW w:type="dxa" w:w="1440"/>
          </w:tcPr>
          <w:p>
            <w:r/>
            <w:r>
              <w:t>Conflict Early Warning and Response Mechanism (CEWARN), IGAD Secretariat</w:t>
            </w:r>
          </w:p>
        </w:tc>
        <w:tc>
          <w:tcPr>
            <w:tcW w:type="dxa" w:w="1440"/>
          </w:tcPr>
          <w:p>
            <w:r/>
            <w:r>
              <w:t>Kenya, Ethiopia, Sudan, South Sudan, Uganda</w:t>
            </w:r>
          </w:p>
        </w:tc>
        <w:tc>
          <w:tcPr>
            <w:tcW w:type="dxa" w:w="1440"/>
          </w:tcPr>
          <w:p>
            <w:r/>
            <w:r>
              <w:t>2024</w:t>
            </w:r>
          </w:p>
        </w:tc>
        <w:tc>
          <w:tcPr>
            <w:tcW w:type="dxa" w:w="1440"/>
          </w:tcPr>
          <w:p>
            <w:r/>
            <w:r>
              <w:t>Regional policy framework translating climate-security evidence into institutionalised national and local governance mechanisms across five IGAD member states, delivered through multi-stakeholder facilitation with IGAD technical departments.</w:t>
            </w:r>
          </w:p>
        </w:tc>
        <w:tc>
          <w:tcPr>
            <w:tcW w:type="dxa" w:w="1440"/>
          </w:tcPr>
          <w:p>
            <w:r/>
          </w:p>
        </w:tc>
      </w:tr>
    </w:tbl>
    <w:p>
      <w:r>
        <w:t>| Demonstrates the organisation's specialised knowledge and experience in the assignment's own selected region (10 points), and direct prior experience producing policy-facing recommendations for the same IGAD, EU and government audiences named in the ToR for the human security and stability policy brief.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Research and Learning for the Pathway to Prosperity Project</w:t>
            </w:r>
          </w:p>
        </w:tc>
        <w:tc>
          <w:tcPr>
            <w:tcW w:type="dxa" w:w="1728"/>
          </w:tcPr>
          <w:p>
            <w:r>
              <w:rPr>
                <w:b/>
              </w:rPr>
            </w:r>
            <w:r>
              <w:rPr>
                <w:b/>
              </w:rPr>
              <w:t>Danish Refugee Council</w:t>
            </w:r>
          </w:p>
        </w:tc>
        <w:tc>
          <w:tcPr>
            <w:tcW w:type="dxa" w:w="1728"/>
          </w:tcPr>
          <w:p>
            <w:r>
              <w:rPr>
                <w:b/>
              </w:rPr>
            </w:r>
            <w:r>
              <w:rPr>
                <w:b/>
              </w:rPr>
              <w:t>Turkana West, Kenya</w:t>
            </w:r>
          </w:p>
        </w:tc>
        <w:tc>
          <w:tcPr>
            <w:tcW w:type="dxa" w:w="1728"/>
          </w:tcPr>
          <w:p>
            <w:r>
              <w:rPr>
                <w:b/>
              </w:rPr>
            </w:r>
            <w:r>
              <w:rPr>
                <w:b/>
              </w:rPr>
              <w:t>2025</w:t>
            </w:r>
          </w:p>
        </w:tc>
        <w:tc>
          <w:tcPr>
            <w:tcW w:type="dxa" w:w="1728"/>
          </w:tcPr>
          <w:p>
            <w:r>
              <w:rPr>
                <w:b/>
              </w:rPr>
            </w:r>
            <w:r>
              <w:rPr>
                <w:b/>
              </w:rPr>
              <w:t>Research and learning assignment evaluating livelihoods, food security and resilience interventions in Turkana West, using OECD/DAC-aligned methodology, multi-stakeholder engagement and participatory validation with pastoralist communities.</w:t>
            </w:r>
          </w:p>
        </w:tc>
      </w:tr>
    </w:tbl>
    <w:p>
      <w:r>
        <w:t>| Covers the same Turkana, Kenya site and the same pastoralist/agro-pastoralist target group named in this ToR, evidencing prior fieldwork logistics and stakeholder access in the exact Kenyan segment of the Karamoja Cluster.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Endline Evaluation of "Promoting the Resilience and Peaceful Co-existence of Communities Affected by the Climate Crisis"</w:t>
            </w:r>
          </w:p>
        </w:tc>
        <w:tc>
          <w:tcPr>
            <w:tcW w:type="dxa" w:w="1728"/>
          </w:tcPr>
          <w:p>
            <w:r>
              <w:rPr>
                <w:b/>
              </w:rPr>
            </w:r>
            <w:r>
              <w:rPr>
                <w:b/>
              </w:rPr>
              <w:t>Lutheran World Federation</w:t>
            </w:r>
          </w:p>
        </w:tc>
        <w:tc>
          <w:tcPr>
            <w:tcW w:type="dxa" w:w="1728"/>
          </w:tcPr>
          <w:p>
            <w:r>
              <w:rPr>
                <w:b/>
              </w:rPr>
            </w:r>
            <w:r>
              <w:rPr>
                <w:b/>
              </w:rPr>
              <w:t>Somalia, Horn of Africa</w:t>
            </w:r>
          </w:p>
        </w:tc>
        <w:tc>
          <w:tcPr>
            <w:tcW w:type="dxa" w:w="1728"/>
          </w:tcPr>
          <w:p>
            <w:r>
              <w:rPr>
                <w:b/>
              </w:rPr>
            </w:r>
            <w:r>
              <w:rPr>
                <w:b/>
              </w:rPr>
              <w:t>2026</w:t>
            </w:r>
          </w:p>
        </w:tc>
        <w:tc>
          <w:tcPr>
            <w:tcW w:type="dxa" w:w="1728"/>
          </w:tcPr>
          <w:p>
            <w:r>
              <w:rPr>
                <w:b/>
              </w:rPr>
            </w:r>
            <w:r>
              <w:rPr>
                <w:b/>
              </w:rPr>
              <w:t>Endline evaluation of a multi-sectoral humanitarian-development-peace nexus project, applying systems-thinking to treat education, livelihoods, WASH and peacebuilding as interconnected rather than siloed, capturing intended and unintended outcomes.</w:t>
            </w:r>
          </w:p>
        </w:tc>
      </w:tr>
    </w:tbl>
    <w:p>
      <w:r>
        <w:t>| Directly evidences capacity to document how components of an integrated programme add value beyond the sum of their parts, the core analytical task this Learning Paper requires for Peacebuilding, Livelihoods, Climate Resilience and DRR.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End-Term Evaluation of the Resilience, Health and Rights Project</w:t>
            </w:r>
          </w:p>
        </w:tc>
        <w:tc>
          <w:tcPr>
            <w:tcW w:type="dxa" w:w="1728"/>
          </w:tcPr>
          <w:p>
            <w:r>
              <w:rPr>
                <w:b/>
              </w:rPr>
            </w:r>
            <w:r>
              <w:rPr>
                <w:b/>
              </w:rPr>
              <w:t>Kenya Red Cross Society (KRCS)</w:t>
            </w:r>
          </w:p>
        </w:tc>
        <w:tc>
          <w:tcPr>
            <w:tcW w:type="dxa" w:w="1728"/>
          </w:tcPr>
          <w:p>
            <w:r>
              <w:rPr>
                <w:b/>
              </w:rPr>
            </w:r>
            <w:r>
              <w:rPr>
                <w:b/>
              </w:rPr>
              <w:t>Kenya (five arid and semi-arid counties, including Dadaab and Kalobeyei)</w:t>
            </w:r>
          </w:p>
        </w:tc>
        <w:tc>
          <w:tcPr>
            <w:tcW w:type="dxa" w:w="1728"/>
          </w:tcPr>
          <w:p>
            <w:r>
              <w:rPr>
                <w:b/>
              </w:rPr>
            </w:r>
            <w:r>
              <w:rPr>
                <w:b/>
              </w:rPr>
              <w:t>2025</w:t>
            </w:r>
          </w:p>
        </w:tc>
        <w:tc>
          <w:tcPr>
            <w:tcW w:type="dxa" w:w="1728"/>
          </w:tcPr>
          <w:p>
            <w:r>
              <w:rPr>
                <w:b/>
              </w:rPr>
            </w:r>
            <w:r>
              <w:rPr>
                <w:b/>
              </w:rPr>
              <w:t>Multi-sectoral end-term evaluation across five ASAL counties serving displaced and host communities, with a team structured across statistics, gender/protection, livelihoods and MEL specialists and a sequenced 30-day field-to-report workplan.</w:t>
            </w:r>
          </w:p>
        </w:tc>
      </w:tr>
    </w:tbl>
    <w:p>
      <w:r>
        <w:t>| Demonstrates prior delivery of a comparably sequenced, multi-specialist workplan in pastoralist/ASAL, displacement-affected settings, evidencing the realistic sequencing this ToR's planning criterion requires.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Institutional Consultancy to Undertake Assessment of Out of School Children (OOSC) and Adolescents in Dadaab, Kakuma and Kalobeyei Settlement Areas</w:t>
            </w:r>
          </w:p>
        </w:tc>
        <w:tc>
          <w:tcPr>
            <w:tcW w:type="dxa" w:w="1728"/>
          </w:tcPr>
          <w:p>
            <w:r>
              <w:rPr>
                <w:b/>
              </w:rPr>
            </w:r>
            <w:r>
              <w:rPr>
                <w:b/>
              </w:rPr>
              <w:t>UNICEF</w:t>
            </w:r>
          </w:p>
        </w:tc>
        <w:tc>
          <w:tcPr>
            <w:tcW w:type="dxa" w:w="1728"/>
          </w:tcPr>
          <w:p>
            <w:r>
              <w:rPr>
                <w:b/>
              </w:rPr>
            </w:r>
            <w:r>
              <w:rPr>
                <w:b/>
              </w:rPr>
              <w:t>Kenya</w:t>
            </w:r>
          </w:p>
        </w:tc>
        <w:tc>
          <w:tcPr>
            <w:tcW w:type="dxa" w:w="1728"/>
          </w:tcPr>
          <w:p>
            <w:r>
              <w:rPr>
                <w:b/>
              </w:rPr>
            </w:r>
            <w:r>
              <w:rPr>
                <w:b/>
              </w:rPr>
              <w:t>2024</w:t>
            </w:r>
          </w:p>
        </w:tc>
        <w:tc>
          <w:tcPr>
            <w:tcW w:type="dxa" w:w="1728"/>
          </w:tcPr>
          <w:p>
            <w:r>
              <w:rPr>
                <w:b/>
              </w:rPr>
            </w:r>
            <w:r>
              <w:rPr>
                <w:b/>
              </w:rPr>
              <w:t>120-day mixed-methods assessment across three refugee settlement areas, delivered through a team of one Team Leader, five M&amp;E specialists, five education experts and 30 enumerators, with data quality protocols for security-constrained field sites.</w:t>
            </w:r>
          </w:p>
        </w:tc>
      </w:tr>
    </w:tbl>
    <w:p>
      <w:r>
        <w:t>| Evidences capacity to coordinate mixed-methods field data collection with a sizeable enumerator team across multiple dispersed sites within compressed timelines, directly relevant to this ToR's three-country data collection window.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Integrated Development Solutions for IDPs and Host Communities in Jubaland, Somalia</w:t>
            </w:r>
          </w:p>
        </w:tc>
        <w:tc>
          <w:tcPr>
            <w:tcW w:type="dxa" w:w="1728"/>
          </w:tcPr>
          <w:p>
            <w:r>
              <w:rPr>
                <w:b/>
              </w:rPr>
            </w:r>
            <w:r>
              <w:rPr>
                <w:b/>
              </w:rPr>
              <w:t>UNDP-Somalia</w:t>
            </w:r>
          </w:p>
        </w:tc>
        <w:tc>
          <w:tcPr>
            <w:tcW w:type="dxa" w:w="1728"/>
          </w:tcPr>
          <w:p>
            <w:r>
              <w:rPr>
                <w:b/>
              </w:rPr>
            </w:r>
            <w:r>
              <w:rPr>
                <w:b/>
              </w:rPr>
              <w:t>Somalia</w:t>
            </w:r>
          </w:p>
        </w:tc>
        <w:tc>
          <w:tcPr>
            <w:tcW w:type="dxa" w:w="1728"/>
          </w:tcPr>
          <w:p>
            <w:r>
              <w:rPr>
                <w:b/>
              </w:rPr>
            </w:r>
            <w:r>
              <w:rPr>
                <w:b/>
              </w:rPr>
              <w:t>2025</w:t>
            </w:r>
          </w:p>
        </w:tc>
        <w:tc>
          <w:tcPr>
            <w:tcW w:type="dxa" w:w="1728"/>
          </w:tcPr>
          <w:p>
            <w:r>
              <w:rPr>
                <w:b/>
              </w:rPr>
            </w:r>
            <w:r>
              <w:rPr>
                <w:b/>
              </w:rPr>
              <w:t>Twelve-month integrated development programme sequenced across inception, institutional strengthening, economic recovery, security/protection and MEL phases, with explicit gender targets and a phased community-based sustainability and handover framework.</w:t>
            </w:r>
          </w:p>
        </w:tc>
      </w:tr>
    </w:tbl>
    <w:p>
      <w:r>
        <w:t>| Demonstrates prior design and delivery of sequenced, integrated (rather than siloed) programming for conflict-affected and displaced communities, evidencing understanding of when and how integration across sectors is structured to add value. |</w:t>
      </w:r>
    </w:p>
    <w:p>
      <w:r>
        <w:br w:type="page"/>
      </w:r>
    </w:p>
    <w:p>
      <w:pPr>
        <w:pStyle w:val="Heading1"/>
      </w:pPr>
      <w:r>
        <w:t>Links to at least 3 previous related assignments</w:t>
      </w:r>
    </w:p>
    <w:p>
      <w:r>
        <w:t>Links to at least 3 previous related assignments</w:t>
      </w:r>
    </w:p>
    <w:p>
      <w:r>
        <w:t>Cortech Consulting Group is unable to provide open, published web links to the assignments cited below. Full copies of the inception reports, learning products, evaluation reports and policy outputs listed below, redacted where required by the original client, will be provided to DanChurchAid Kenya on request as part of due diligence, together with the named referee contacts. The four assignments below are presented in order of relevance to the SPREAD Learning Paper 2 assignment. 1. Consultancy to Develop a CEWARN Regional Strategy Framework for Integrating Climate Security into National Peace and Security Policies Client: Conflict Early Warning and Response Mechanism (CEWARN), IGAD Secretariat Year: 2024 Geography: Kenya, Ethiopia, Sudan, South Sudan, Uganda Status: Won and delivered Relevance to this assignment: This assignment required Cortech to work directly with an IGAD-level policy audience, the same secondary policy audience named in the SPREAD ToR, to translate operational and community-level evidence on climate-security linkages into a regional framework that individual IGAD Member States could adopt into national peace and security policy. The assignment spanned the same cross-border logic that SPREAD's Karamoja Cluster geography demands, requiring harmonisation of evidence across multiple national systems and stakeholder groups (government, security actors, and community-level structures) into a single coherent policy product. Cortech's experience translating field-level climate-security evidence into policy language for an IGAD audience is the direct precedent for producing the SPREAD policy brief on human security and stability intended for EU, Danish and IGAD readers. Access note: Full framework document and CEWARN/IGAD contact available on request; not publicly hosted due to IGAD Secretariat confidentiality requirements. 2. The assignment required capturing both intended and unintended outcomes of programme integration and distinguishing where sectoral combination added value from where it did not, directly comparable to the SPREAD learning question on which components genuinely need to be integrated and which can simply be coordinated. Access note: Evaluation report and LWF/ASF Consortium contact available on request. 3. Research and Learning for the Pathway to Prosperity Project Client: Danish Refugee Council (DRC) Year: 2025 Geography: Turkana West, Kenya Status: Submitted Relevance to this assignment: This research and learning assignment was delivered in Turkana West, one of the three named SPREAD field sites, and evaluated livelihoods, food security and resilience interventions among pastoralist and agro-pastoralist populations using OECD/DAC-anchored methodology and utilisation-focused learning design. It demonstrates Cortech's direct familiarity with the Turkana operating environment, its livelihoods structures, and the multi-stakeholder engagement approach (community members, local authorities, implementing partners) required for the SPREAD case-study methodology across CAGs, VSLAs and market committees. Access note: Learning report and DRC contact available on request. 4. End-Term Evaluation of the Resilience, Health and Rights Project Client: Kenya Red Cross Society (KRCS) Year: 2025 Geography: Five arid and semi-arid counties, Kenya, including refugee-hosting areas of Dadaab and Kalobeyei Status: Won and delivered Relevance to this assignment: This end-term evaluation covered an integrated resilience, health and protection programme serving displaced and host communities in arid and semi-arid counties, requiring the same humanitarian-development nexus framing, multi-sectoral technical depth (livelihoods, gender/protection, statistics, MEL specialists) and community-level engagement with pastoralist populations that the SPREAD assignment requires across Turkana, South Omo and Eastern Equatoria. The 30-day sequenced workplan and embedded quality-assurance mechanisms used on this assignment are the direct precedent for the sequencing discipline required to deliver SPREAD Learning Paper 2 within its 12-week timeframe. Access note: Evaluation report and KRCS contact available on request.</w:t>
      </w:r>
    </w:p>
    <w:p>
      <w:r>
        <w:br w:type="page"/>
      </w:r>
    </w:p>
    <w:p>
      <w:pPr>
        <w:pStyle w:val="Heading1"/>
      </w:pPr>
      <w:r>
        <w:t>Mandatory forms and annexes</w:t>
      </w:r>
    </w:p>
    <w:p>
      <w:r>
        <w:t>Mandatory forms and annexes</w:t>
      </w:r>
    </w:p>
    <w:p>
      <w:r>
        <w:t>This section lists every form, annex, template, and declaration that the Request for Proposal (Reference DCA/NBI/10/09/2026-2) and its Terms of Reference (Annex 1) require Cortech Consulting Group to submit for the Consultancy to Develop Learning Paper 2 for SPREAD, Integrating Peacebuilding, Livelihoods, Climate Resilience and Disaster Risk Reduction, across Turkana/Kenya, South Omo/Ethiopia and Eastern Equatoria/South Sudan. For each item, Cortech states what will be attached to the submission package and what remains a wet-ink or client-facing action that cannot be completed inside this draft. 1. Proposal Submission Form (Annex 2), duly completed and signed by the Candidate, together with an itemized financial proposal. Requirement as stated in Section A.5 of the Instructions and repeated in Annex 2: "My financial proposal for my services is as follows... CANDIDATE OR COMPANY INFORMATION... REFERENCES... The proposal is valid for a period of 90 days after the closing date... Signature and stamp... Date and signed by... The Candidate."</w:t>
      </w:r>
    </w:p>
    <w:p>
      <w:r>
        <w:t>Cortech will attach the completed Annex 2 template populated with the company legal name, registered address, licence/tax identification number, director's name, phone, email and website drawn from Cortech Consulting Group's Kenya registration, Somalia operating licence and United Kingdom registration. The references table within Annex 2 will list assignments drawn from Cortech's track record relevant to integrated peacebuilding, livelihoods, climate resilience and DRR programming in cross-border, fragile contexts, consistent with the scored criterion "Reference of the similar assignments/work undertaken and contact details" (10 points). The itemized financial proposal referenced in Annex 2 and in Article A.6 of the Instructions will be prepared and submitted as a separate financial envelope, in accordance with the RFP's own separation of technical and financial evaluation stages under Section A.10; no monetary figures, daily rates, or cost estimates are included in this technical document. [HUMAN ACTION REQUIRED]: wet-ink signature and company stamp of the authorised signatory on Annex 2, and insertion of the current company registration and licence numbers as held on file, prior to submission. 2. Itemized financial proposal, including consultancy fees and daily rate. Requirement as stated in the Application Process section of Annex 1: "Financial proposal providing cost estimates and consultancy fees/ as well as an indication of your daily rate and availability (Maximum 1 page)."</w:t>
      </w:r>
    </w:p>
    <w:p>
      <w:r>
        <w:t>This requirement is acknowledged here for completeness of the mandatory forms list. In line with the no-financial-information rule governing this technical submission, the itemized financial proposal, daily rate and availability statement will be prepared and delivered as a standalone one-page annex within the overall submission envelope, separate from this technical proposal, so that the technical evaluation under Section A.10 (weighted at 80 percent) proceeds independently of price. [HUMAN ACTION REQUIRED]: preparation and signature of the standalone financial proposal document, to be attached alongside, not within, this technical proposal. 3. CV of the lead researcher, as part of the technical proposal. Requirement as stated in Section A.5(b) of the Instructions: "CV highlighting the Candidate's experience in the specific field of the Services and his/her specific experience in the country/region where the Services are to be performed. This will be part of the technical proposal."</w:t>
      </w:r>
    </w:p>
    <w:p>
      <w:r>
        <w:t>Cortech will attach the CV of the proposed Lead Consultant/Researcher, Mugove Kwashirai Chakurira, formatted to highlight experience relevant to integrated peacebuilding, livelihoods, climate resilience and DRR research in cross-border, conflict-affected contexts including Turkana, South Omo and Eastern Equatoria. [INSUFFICIENT EVIDENCE] is recorded here for the specific academic qualifications, publication record and prior assignment history required to satisfy the scored criterion "Candidate's relevant academic qualifications for key experts" (10 points); the CV document itself, once finalised by the expert, will carry this detail. [HUMAN ACTION REQUIRED]: signed and dated CV of Mugove Kwashirai Chakurira, formatted to Cortech's standard CV template and attached as a discrete annex. 4. Suitability statement or cover letter, including CV(s) of lead researcher(s) (maximum 3 pages). [HUMAN ACTION REQUIRED]: wet-ink signature of the authorised representative of Cortech Consulting Group on the cover letter. 5. Contacts of three organisations with whom Cortech has been contracted to carry out similar assignments. Requirement as stated in the Application Process section of Annex 1, item 5: "Contacts of three organisations with whom you have been contracted to carry out similar assignments."</w:t>
      </w:r>
    </w:p>
    <w:p>
      <w:r>
        <w:t>Cortech will identify three referee organisations from assignments comparable to this Learning Paper in subject matter or geography, including learning and research assignments for the Danish Refugee Council (Research and Learning for the Pathway to Prosperity Project, Turkana West, Kenya, 2025), Kenya Red Cross Society (End-Term Evaluation of the Resilience, Health and Rights Project, 2025), and CEWARN/IGAD Secretariat (Consultancy to Develop a CEWARN Regional Strategy Framework for Integrating Climate Security into National Peace and Security Policies, spanning Kenya, Ethiopia, Sudan, South Sudan and Uganda, 2024). [HUMAN ACTION REQUIRED]: confirmation of current referee contact details (name, phone/email) from Danish Refugee Council, Kenya Red Cross Society and CEWARN/IGAD Secretariat, or substitute referees as agreed internally, prior to finalising Annex 2. 6. Links to at least three previous related assignments. [HUMAN ACTION REQUIRED]: confirmation and insertion of accessible links, or client-approved summaries in lieu of links, for the three cited assignments, prior to submission. 7. General Terms and Conditions for Service Contracts, Version 3, 2020 (Annex 3), acceptance. Requirement as stated in Annex 2: "Accept, without restrictions, all the provisions in the Request for Proposal including the General Terms and Conditions for Service Contracts - Ver3 2020 and the draft Service Contract including all annexes."</w:t>
      </w:r>
    </w:p>
    <w:p>
      <w:r>
        <w:t>Cortech will attach a signed statement of acceptance within the completed Annex 2, confirming acceptance without restriction of the General Terms and Conditions for Service Contracts, Version 3, 2020, including the provisions on eligibility (Article 33), conflict of interest (Article 7), confidentiality (Article 6), and intellectual property (Article 17). [HUMAN ACTION REQUIRED]: wet-ink signature confirming this acceptance on Annex 2. 8. Code of Conduct for Contractors (Annex 4), compliance certification. Requirement as stated in Annex 2: "Certify and attest compliance with the Code of Conduct for Contractors."</w:t>
      </w:r>
    </w:p>
    <w:p>
      <w:r>
        <w:t>Cortech will attach a signed certification of compliance with the Code of Conduct for Contractors, consistent with Cortech's existing child safeguarding policy and PSEA policy compliance as held on file. [HUMAN ACTION REQUIRED]: wet-ink signature on the compliance certification within Annex 2. 9. Eligibility and anti-terrorism attestations under Article 33 of the General Terms and Conditions. Requirement as stated in Annex 2: "Certify and attest compliance with eligibility criteria of article 33 of the General Terms and Conditions for Service - Ver3 2020... Certify that I/we do not support terrorists or terrorism activities, and do not condone the use of terrorism."</w:t>
      </w:r>
    </w:p>
    <w:p>
      <w:r>
        <w:t>Cortech will attach the signed attestation within Annex 2 confirming that Cortech Consulting Group is not bankrupt or being wound up, has no unpaid tax or social security obligations, has not been convicted of professional misconduct, fraud or corruption, has not been found in serious breach of a prior contract with a Contracting Authority or the European Union, and is not involved in or supportive of terrorism or sanctioned entities. [HUMAN ACTION REQUIRED]: wet-ink signature and date on the eligibility attestation section of Annex 2, by the authorised signatory of Cortech Consulting Group.</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