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4213D"/>
          <w:sz w:val="32"/>
        </w:rPr>
        <w:t>CORTECH CONSULTING GROUP</w:t>
      </w:r>
    </w:p>
    <w:p>
      <w:pPr>
        <w:jc w:val="center"/>
      </w:pPr>
      <w:r>
        <w:rPr>
          <w:i/>
        </w:rPr>
        <w:t>Technical Proposal</w:t>
      </w:r>
    </w:p>
    <w:p/>
    <w:p>
      <w:pPr>
        <w:jc w:val="center"/>
      </w:pPr>
      <w:r>
        <w:rPr>
          <w:b/>
          <w:sz w:val="28"/>
        </w:rPr>
        <w:t>Consultancy to Develop Learning Paper 2 for SPREAD- Integrating Peacebuilding, Livelihoods, Climate Resilience and Disaster Risk Reduction</w:t>
      </w:r>
    </w:p>
    <w:p>
      <w:pPr>
        <w:jc w:val="center"/>
      </w:pPr>
      <w:r>
        <w:t>Client: Dan Church Aid (DCA) Kenya</w:t>
        <w:br/>
      </w:r>
      <w:r>
        <w:t>Submitted by: Cortech Consulting Group</w:t>
        <w:br/>
      </w:r>
      <w:r>
        <w:t>Date: 14 September 2026</w:t>
      </w:r>
    </w:p>
    <w:p>
      <w:r>
        <w:br w:type="page"/>
      </w:r>
    </w:p>
    <w:p>
      <w:r>
        <w:fldChar w:fldCharType="begin"/>
        <w:instrText xml:space="preserve">TOC \o "1-1" \h \z \u</w:instrText>
        <w:fldChar w:fldCharType="separate"/>
        <w:fldChar w:fldCharType="end"/>
      </w:r>
    </w:p>
    <w:p>
      <w:r>
        <w:br w:type="page"/>
      </w:r>
    </w:p>
    <w:p>
      <w:pPr>
        <w:pStyle w:val="Heading1"/>
      </w:pPr>
      <w:r>
        <w:t>Cover Letter / Letter of Interest</w:t>
      </w:r>
    </w:p>
    <w:p>
      <w:r>
        <w:t>Koech Bryan Contracting Authority Contact Person DanChurchAid Kenya Email: kecotenders@dca.dk</w:t>
      </w:r>
    </w:p>
    <w:p>
      <w:r>
        <w:t>Reference No.: DCA/NBI/10/09/2026-2 Date: 24 September 2026</w:t>
      </w:r>
    </w:p>
    <w:p>
      <w:r>
        <w:t>Subject: Consultancy to Develop Learning Paper 2 for SPREAD- Integrating Peacebuilding, Livelihoods, Climate Resilience and Disaster Risk Reduction</w:t>
      </w:r>
    </w:p>
    <w:p>
      <w:r>
        <w:t>Dear Mr. Bryan,</w:t>
      </w:r>
    </w:p>
    <w:p>
      <w:r>
        <w:t>Cortech Consulting Group submits this technical proposal in response to Request for Proposal reference DCA/NBI/10/09/2026-2 for the consultancy to develop Learning Paper 2 under the SPREAD programme (Strengthening Integrated Peace, Resilience and Disaster Risk Reduction for Cross-border Communities) across South Omo/Ethiopia, Turkana/Kenya and Eastern Equatoria/South Sudan. We understand the assignment to require an evidence-based examination of what "integration" has meant operationally across SPREAD's four thematic pillars of peacebuilding, livelihoods, climate resilience and DRR, drawing on community case studies of stronger and weaker integration among pastoralists/agro-pastoralists, fisherfolk, farmers and farmer groups, formal and informal cross-border traders, women- and youth-led CSOs, traditional leaders, local and national authorities, and members of Community Action Groups (CAGs) and Village Savings and Loan Associations (VSLAs). The outputs, a learning paper and two distinct policy briefs, are to inform the European Union, Denmark, IGAD, national governments, and DCA's consortium partners TUPADO, ICPDO, ROG and ECC on which components of integrated programming warrant integration and which can be coordinated separately. Cortech's relevant track record includes the Research and Learning assignment for the Pathway to Prosperity Programme in Turkana West, Kenya, for the Danish Refugee Council (2025), which combined quantitative surveys with KIIs, FGDs and case studies in a fragile pastoralist economy directly adjacent to this assignment's geography. Our consultancy for CEWARN and the IGAD Secretariat (2024) to develop a Regional Strategy Framework integrating climate security into national peace and security policies spanned Kenya, Ethiopia, Sudan, South Sudan and Uganda, and demonstrates our capacity for multi-country policy translation for IGAD and government audiences of the kind this assignment requires. Our endline evaluation of the climate resilience and peacebuilding project for Lutheran World Federation in Somalia (2026) applied systems-thinking across education, livelihoods, WASH and peacebuilding as interconnected rather than siloed interventions, the same integration logic this learning paper must document for SPREAD. The proposed Lead Consultant/Researcher, Mugove Kwashirai Chakurira, is available for the full assignment period and will lead the desk review, case-study design, learning paper and both policy briefs. Field data collection will be supported by Research Assistant/Enumerator Edwin Aldrin Adenya, consistent with the Terms of Reference requirement that the consultant recruit and train enumerators for community-level engagement. Cortech confirms compliance with the submission requirements of Section A.5 and the Application Process of Annex 1, including the suitability statement, technical proposal, work-plan and financial proposal within the stipulated page limits, the Proposal Submission Form (Annex 2), and certification of compliance with the Code of Conduct for Contractors (Annex 5) and eligibility under Article 33 of the General Terms and Conditions. We remain available to DanChurchAid Kenya for any clarification required prior to the closing date of 24 September 2026, 17:00 hours EAT.</w:t>
      </w:r>
    </w:p>
    <w:p>
      <w:r>
        <w:br w:type="page"/>
      </w:r>
    </w:p>
    <w:p>
      <w:pPr>
        <w:pStyle w:val="Heading1"/>
      </w:pPr>
      <w:r>
        <w:t>Executive Summary</w:t>
      </w:r>
    </w:p>
    <w:p>
      <w:r>
        <w:t>Executive Summary</w:t>
      </w:r>
    </w:p>
    <w:p>
      <w:r>
        <w:t>Dan Church Aid Kenya is commissioning this consultancy to develop Learning Paper 2 for SPREAD, Strengthening Integrated Peace, Resilience and Disaster Risk Reduction for Cross-border Communities, implemented with TUPADO in Turkana/Kenya, ICPDO and ROG in Eastern Equatoria/South Sudan, and ECC in South Omo/Ethiopia. As SPREAD moves into its concluding phase after two years of implementation across the Karamoja Cluster, DCA needs an evidence base that establishes what "integration" has actually meant in practice, where combining peacebuilding, livelihoods, climate resilience and DRR interventions produced value beyond the sum of its parts, and where it did not. The assignment requires documentation of Community Action Groups, Village Savings and Loan Associations, community-based disaster risk reduction structures and observatory platforms alongside pre-existing market committees, peace committees and savings groups, drawing on direct engagement with pastoralists, agro-pastoralists, fisherfolk, farmers and farmer groups, formal and informal cross-border traders, women- and youth-led CSOs, traditional leaders and local and national authorities across all three countries. Cortech Consulting Group proposes to deliver the learning paper, the inception report, and the two distinct policy briefs specified in the Terms of Reference within the stated twelve-week window, addressing directly the criterion on which the Contracting Authority places the greatest weight: whether the Terms of Reference have been addressed in sufficient detail, at 20 of 100 points. Cortech's proposed approach treats the SPREAD assignment as a comparative learning exercise, not a standard evaluation. The design pairs deliberately selected stronger and weaker examples of integration across South Omo, Turkana and Eastern Equatoria, using the case-study method the ToR requires to explain why integrated programming worked better in some locations than others and to capture community preferences directly from CAG and VSLA members, traditional leaders and local authorities. Data collection is coordinated through the national partner teams, TUPADO, ICPDO, ROG and ECC, using harmonised KII and FGD tools rather than three separate national studies, so that findings are triangulated and comparable across borders and converge on a single cross-border validation workshop rather than dispersed national events. Sampling is built explicitly around the categories the ToR names: peacebuilding and resilience structures, livestock, fishing, farming, and formal and informal cross-border trade, spanning both women/youth-led and mixed markets, disaggregated by sex, age and disability. This design responds directly to the 20-point criterion on methodology and sampling adequacy and produces the two required policy briefs as distinct products from the outset, one on integration versus coordination for donors, IGAD and governments, the other on human security and regional stability for EU and Danish policymakers. The proposed team is led by Mugove Kwashirai Chakurira as Lead Consultant/Researcher, confirmed available for the full assignment period, responsible for the inception report, the learning paper, and both policy briefs. Edwin Aldrin Adenya is proposed as Research Assistant/Enumerator, positioned against the ToR's requirement that the consultant recruit and train research assistants for field-level KIIs, FGDs and community case-study data collection, and confirmed available across the fieldwork window. This gives the assignment full internal role coverage against the two personnel categories the ToR specifies, lead researcher and field-level research assistance, without reliance on personnel not yet confirmed. Cortech's relevant institutional experience includes the Research and Learning assignment for the Pathway to Prosperity Programme in Turkana West for the Danish Refugee Council (2025), which combined quantitative surveys with KIIs, FGDs and case studies under OECD-DAC-aligned learning objectives; the endline evaluation of the multi-sectoral peacebuilding and climate resilience project for the Lutheran World Federation in Somalia (2026), which applied a systems-thinking, nexus-oriented methodology treating peacebuilding and livelihoods as interconnected rather than siloed; and the CEWARN Regional Strategy Framework consultancy for the IGAD Secretariat (2024) across Kenya, Ethiopia, Sudan, South Sudan and Uganda, which produced policy-facing outputs on climate security integration for regional and national audiences. Delivery is sequenced against the dates DCA has fixed: inception report and tools by 13 October 2026, field data collection complete by 31 October, draft learning paper and both draft policy briefs to the Consortium Management Unit by 21 November, the single cross-border validation workshop on 3 December, and final learning paper, both final policy briefs, case-study files, the executive management summary and the summary presentation by 15 December 2026. Quality is controlled through CMU review at each draft stage and validation-workshop feedback incorporated before finalisation. Costs, daily rates and financial terms are addressed exclusively in the separate financial proposal submitted under Annex 2.</w:t>
      </w:r>
    </w:p>
    <w:p>
      <w:r>
        <w:br w:type="page"/>
      </w:r>
    </w:p>
    <w:p>
      <w:pPr>
        <w:pStyle w:val="Heading1"/>
      </w:pPr>
      <w:r>
        <w:t>Organisational Profile &amp; Track Record</w:t>
      </w:r>
    </w:p>
    <w:p>
      <w:r>
        <w:t>ORGANISATIONAL PROFILE</w:t>
      </w:r>
    </w:p>
    <w:p>
      <w:r>
        <w:t>Cortech Consulting Group has operated as an independent research, evaluation and learning consultancy since 2015, with registered offices in Nairobi, Kenya; a licensed presence in Mogadishu, Somalia; and a registered company in London, United Kingdom. The firm is ISO certified and operates under child safeguarding and PSEA policies that align with DanChurchAid's own Code of Conduct for Contractors. Registration or licensing status specific to South Sudan for this assignment is [INSUFFICIENT EVIDENCE] and would be confirmed and documented ahead of contract signature, alongside the firm's existing Kenya registration and Somalia operating licence, to satisfy the ToR requirement that the consultant be "registered and/or able to operate in Kenya, Ethiopia and South Sudan."</w:t>
      </w:r>
    </w:p>
    <w:p>
      <w:r>
        <w:t>Cortech's primary geographic focus is Somalia, Kenya and Ethiopia, with secondary reach into Sudan, South Sudan, Uganda, Tanzania, Malawi and Djibouti. This footprint places two of the three SPREAD border regions, Turkana in Kenya and, by secondary presence, the wider Ethiopian operating environment, within the firm's established area of work, and gives the firm direct exposure to the same cross-border, pastoralist and agro-pastoralist dynamics that characterise South Omo, Turkana and Eastern Equatoria. Core thematic areas relevant to this consultancy, Livelihoods and Economic Inclusion, Climate Resilience and Climate Adaptation, Community Engagement and Participatory Research, and Policy Analysis and Advocacy, correspond directly to the four pillars this assignment is commissioned to examine: peacebuilding, livelihoods, climate resilience and DRR. What distinguishes Cortech in this assignment is not sector breadth alone but a demonstrated pattern of translating multi-sector programme experience into policy-facing outputs for regional bodies, evidenced by prior work developed for the IGAD Secretariat, the same institution named as a primary audience for the SPREAD policy briefs. The firm's data-collection practice is built around KoboToolbox for digital field instruments, NVivo for qualitative case-study analysis, and SPSS for quantitative triangulation, tools suited to a mixed-methods design spanning livestock, fishing, farming and formal and informal cross-border trade across three countries within a compressed timeframe. Combined with a bilingual team (English, Somali, Swahili) and rapid mobilisation capacity built for fragile and conflict-affected operating environments, this positions Cortech to meet the ToR's requirement for "specialised knowledge and experience in the field of assignment and selected region" without reliance on generic sector claims. RELATED PREVIOUS ASSIGNMENTS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Project</w:t>
            </w:r>
          </w:p>
        </w:tc>
        <w:tc>
          <w:tcPr>
            <w:tcW w:type="dxa" w:w="1440"/>
          </w:tcPr>
          <w:p>
            <w:r>
              <w:rPr>
                <w:b/>
              </w:rPr>
            </w:r>
            <w:r>
              <w:rPr>
                <w:b/>
              </w:rPr>
              <w:t>Client</w:t>
            </w:r>
          </w:p>
        </w:tc>
        <w:tc>
          <w:tcPr>
            <w:tcW w:type="dxa" w:w="1440"/>
          </w:tcPr>
          <w:p>
            <w:r>
              <w:rPr>
                <w:b/>
              </w:rPr>
            </w:r>
            <w:r>
              <w:rPr>
                <w:b/>
              </w:rPr>
              <w:t>Country</w:t>
            </w:r>
          </w:p>
        </w:tc>
        <w:tc>
          <w:tcPr>
            <w:tcW w:type="dxa" w:w="1440"/>
          </w:tcPr>
          <w:p>
            <w:r>
              <w:rPr>
                <w:b/>
              </w:rPr>
            </w:r>
            <w:r>
              <w:rPr>
                <w:b/>
              </w:rPr>
              <w:t>Year</w:t>
            </w:r>
          </w:p>
        </w:tc>
        <w:tc>
          <w:tcPr>
            <w:tcW w:type="dxa" w:w="1440"/>
          </w:tcPr>
          <w:p>
            <w:r>
              <w:rPr>
                <w:b/>
              </w:rPr>
            </w:r>
            <w:r>
              <w:rPr>
                <w:b/>
              </w:rPr>
              <w:t>Scope delivered</w:t>
            </w:r>
          </w:p>
        </w:tc>
        <w:tc>
          <w:tcPr>
            <w:tcW w:type="dxa" w:w="1440"/>
          </w:tcPr>
          <w:p>
            <w:r>
              <w:rPr>
                <w:b/>
              </w:rPr>
            </w:r>
            <w:r>
              <w:rPr>
                <w:b/>
              </w:rPr>
              <w:t>Relevance to this assignment</w:t>
            </w:r>
          </w:p>
        </w:tc>
      </w:tr>
      <w:tr>
        <w:tc>
          <w:tcPr>
            <w:tcW w:type="dxa" w:w="1440"/>
          </w:tcPr>
          <w:p>
            <w:r/>
            <w:r>
              <w:t>Research and Learning for the Pathway to Prosperity Project</w:t>
            </w:r>
          </w:p>
        </w:tc>
        <w:tc>
          <w:tcPr>
            <w:tcW w:type="dxa" w:w="1440"/>
          </w:tcPr>
          <w:p>
            <w:r/>
            <w:r>
              <w:t>Danish Refugee Council</w:t>
            </w:r>
          </w:p>
        </w:tc>
        <w:tc>
          <w:tcPr>
            <w:tcW w:type="dxa" w:w="1440"/>
          </w:tcPr>
          <w:p>
            <w:r/>
            <w:r>
              <w:t>Kenya (Turkana West)</w:t>
            </w:r>
          </w:p>
        </w:tc>
        <w:tc>
          <w:tcPr>
            <w:tcW w:type="dxa" w:w="1440"/>
          </w:tcPr>
          <w:p>
            <w:r/>
            <w:r>
              <w:t>2025</w:t>
            </w:r>
          </w:p>
        </w:tc>
        <w:tc>
          <w:tcPr>
            <w:tcW w:type="dxa" w:w="1440"/>
          </w:tcPr>
          <w:p>
            <w:r/>
            <w:r>
              <w:t>Multi-method research and learning assignment combining quantitative surveys with KIIs, FGDs and case studies, aligned to OECD/DAC criteria and delivered under a documented quality assurance framework including daily data audits.</w:t>
            </w:r>
          </w:p>
        </w:tc>
        <w:tc>
          <w:tcPr>
            <w:tcW w:type="dxa" w:w="1440"/>
          </w:tcPr>
          <w:p>
            <w:r/>
          </w:p>
        </w:tc>
      </w:tr>
    </w:tbl>
    <w:p>
      <w:r>
        <w:t>| Delivered in Turkana West, the Kenyan pole of the SPREAD geography, and evidences the mixed-methods learning research and evidence-for-policy-decision approach the ToR requires, directly supporting the "organisation's specialised knowledge and experience...in the selected region" criterion. |</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Consultancy to Develop a CEWARN Regional Strategy Framework for Integrating Climate Security into National Peace and Security Policies</w:t>
            </w:r>
          </w:p>
        </w:tc>
        <w:tc>
          <w:tcPr>
            <w:tcW w:type="dxa" w:w="1728"/>
          </w:tcPr>
          <w:p>
            <w:r>
              <w:rPr>
                <w:b/>
              </w:rPr>
            </w:r>
            <w:r>
              <w:rPr>
                <w:b/>
              </w:rPr>
              <w:t>CEWARN, IGAD Secretariat</w:t>
            </w:r>
          </w:p>
        </w:tc>
        <w:tc>
          <w:tcPr>
            <w:tcW w:type="dxa" w:w="1728"/>
          </w:tcPr>
          <w:p>
            <w:r>
              <w:rPr>
                <w:b/>
              </w:rPr>
            </w:r>
            <w:r>
              <w:rPr>
                <w:b/>
              </w:rPr>
              <w:t>Kenya, Ethiopia, Sudan, South Sudan, Uganda</w:t>
            </w:r>
          </w:p>
        </w:tc>
        <w:tc>
          <w:tcPr>
            <w:tcW w:type="dxa" w:w="1728"/>
          </w:tcPr>
          <w:p>
            <w:r>
              <w:rPr>
                <w:b/>
              </w:rPr>
            </w:r>
            <w:r>
              <w:rPr>
                <w:b/>
              </w:rPr>
              <w:t>2024</w:t>
            </w:r>
          </w:p>
        </w:tc>
        <w:tc>
          <w:tcPr>
            <w:tcW w:type="dxa" w:w="1728"/>
          </w:tcPr>
          <w:p>
            <w:r>
              <w:rPr>
                <w:b/>
              </w:rPr>
            </w:r>
            <w:r>
              <w:rPr>
                <w:b/>
              </w:rPr>
              <w:t>Multi-country policy consultancy translating climate-security evidence into institutionalised national and local peace and security governance frameworks, delivered through multi-stakeholder facilitation directly with IGAD.</w:t>
            </w:r>
          </w:p>
        </w:tc>
      </w:tr>
    </w:tbl>
    <w:p>
      <w:r>
        <w:t>| Establishes a working relationship with IGAD, the named policy audience for the SPREAD human security and regional stability brief, and evidences policy-brief development across the same multi-country Horn of Africa geography, including Ethiopia and South Sudan. |</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Endline Evaluation of "Promoting the Resilience and Peaceful Co-existence of Communities Affected by the Climate Crisis"</w:t>
            </w:r>
          </w:p>
        </w:tc>
        <w:tc>
          <w:tcPr>
            <w:tcW w:type="dxa" w:w="1728"/>
          </w:tcPr>
          <w:p>
            <w:r>
              <w:rPr>
                <w:b/>
              </w:rPr>
            </w:r>
            <w:r>
              <w:rPr>
                <w:b/>
              </w:rPr>
              <w:t>Lutheran World Federation (LWF)</w:t>
            </w:r>
          </w:p>
        </w:tc>
        <w:tc>
          <w:tcPr>
            <w:tcW w:type="dxa" w:w="1728"/>
          </w:tcPr>
          <w:p>
            <w:r>
              <w:rPr>
                <w:b/>
              </w:rPr>
            </w:r>
            <w:r>
              <w:rPr>
                <w:b/>
              </w:rPr>
              <w:t>Somalia, Horn of Africa</w:t>
            </w:r>
          </w:p>
        </w:tc>
        <w:tc>
          <w:tcPr>
            <w:tcW w:type="dxa" w:w="1728"/>
          </w:tcPr>
          <w:p>
            <w:r>
              <w:rPr>
                <w:b/>
              </w:rPr>
            </w:r>
            <w:r>
              <w:rPr>
                <w:b/>
              </w:rPr>
              <w:t>2026</w:t>
            </w:r>
          </w:p>
        </w:tc>
        <w:tc>
          <w:tcPr>
            <w:tcW w:type="dxa" w:w="1728"/>
          </w:tcPr>
          <w:p>
            <w:r>
              <w:rPr>
                <w:b/>
              </w:rPr>
            </w:r>
            <w:r>
              <w:rPr>
                <w:b/>
              </w:rPr>
              <w:t>Endline evaluation of a multi-sectoral humanitarian-development-peace nexus project spanning education, livelihoods, WASH and peacebuilding, using a systems-thinking methodology assessing interconnection rather than siloed sector performance, led by a team with over 22 years of collective evaluation leadership.</w:t>
            </w:r>
          </w:p>
        </w:tc>
      </w:tr>
    </w:tbl>
    <w:p>
      <w:r>
        <w:t>| Demonstrates the HDP nexus analytical lens required to determine whether SPREAD's peacebuilding, livelihoods, climate resilience and DRR components created value "beyond the sum of its parts," the central question of this learning paper. |</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Institutional Consultancy to Undertake Assessment of Out of School Children (OOSC) and Adolescents in Dadaab, Kakuma and Kalobeyei Settlement Areas</w:t>
            </w:r>
          </w:p>
        </w:tc>
        <w:tc>
          <w:tcPr>
            <w:tcW w:type="dxa" w:w="1728"/>
          </w:tcPr>
          <w:p>
            <w:r>
              <w:rPr>
                <w:b/>
              </w:rPr>
            </w:r>
            <w:r>
              <w:rPr>
                <w:b/>
              </w:rPr>
              <w:t>UNICEF</w:t>
            </w:r>
          </w:p>
        </w:tc>
        <w:tc>
          <w:tcPr>
            <w:tcW w:type="dxa" w:w="1728"/>
          </w:tcPr>
          <w:p>
            <w:r>
              <w:rPr>
                <w:b/>
              </w:rPr>
            </w:r>
            <w:r>
              <w:rPr>
                <w:b/>
              </w:rPr>
              <w:t>Kenya</w:t>
            </w:r>
          </w:p>
        </w:tc>
        <w:tc>
          <w:tcPr>
            <w:tcW w:type="dxa" w:w="1728"/>
          </w:tcPr>
          <w:p>
            <w:r>
              <w:rPr>
                <w:b/>
              </w:rPr>
            </w:r>
            <w:r>
              <w:rPr>
                <w:b/>
              </w:rPr>
              <w:t>2024</w:t>
            </w:r>
          </w:p>
        </w:tc>
        <w:tc>
          <w:tcPr>
            <w:tcW w:type="dxa" w:w="1728"/>
          </w:tcPr>
          <w:p>
            <w:r>
              <w:rPr>
                <w:b/>
              </w:rPr>
            </w:r>
            <w:r>
              <w:rPr>
                <w:b/>
              </w:rPr>
              <w:t>Mixed-methods assessment across three refugee settlement locations using KoboCollect digital data collection, a structured team hierarchy of team leads, M&amp;E specialists and field enumerators, and stakeholder validation workshops to confirm findings.</w:t>
            </w:r>
          </w:p>
        </w:tc>
      </w:tr>
    </w:tbl>
    <w:p>
      <w:r>
        <w:t>| Evidences the multi-site field coordination and validation-workshop model this assignment requires for its single cross-border validation workshop, and the digital data-collection protocols proposed for SPREAD's community case studies. |</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Documentation of Best Practices and Lessons Learnt under the Green Skills for Sustainable Employment Opportunities Intervention</w:t>
            </w:r>
          </w:p>
        </w:tc>
        <w:tc>
          <w:tcPr>
            <w:tcW w:type="dxa" w:w="1728"/>
          </w:tcPr>
          <w:p>
            <w:r>
              <w:rPr>
                <w:b/>
              </w:rPr>
            </w:r>
            <w:r>
              <w:rPr>
                <w:b/>
              </w:rPr>
              <w:t>GREDO</w:t>
            </w:r>
          </w:p>
        </w:tc>
        <w:tc>
          <w:tcPr>
            <w:tcW w:type="dxa" w:w="1728"/>
          </w:tcPr>
          <w:p>
            <w:r>
              <w:rPr>
                <w:b/>
              </w:rPr>
            </w:r>
            <w:r>
              <w:rPr>
                <w:b/>
              </w:rPr>
              <w:t>Somalia (Baidoa)</w:t>
            </w:r>
          </w:p>
        </w:tc>
        <w:tc>
          <w:tcPr>
            <w:tcW w:type="dxa" w:w="1728"/>
          </w:tcPr>
          <w:p>
            <w:r>
              <w:rPr>
                <w:b/>
              </w:rPr>
            </w:r>
            <w:r>
              <w:rPr>
                <w:b/>
              </w:rPr>
              <w:t>2025</w:t>
            </w:r>
          </w:p>
        </w:tc>
        <w:tc>
          <w:tcPr>
            <w:tcW w:type="dxa" w:w="1728"/>
          </w:tcPr>
          <w:p>
            <w:r>
              <w:rPr>
                <w:b/>
              </w:rPr>
            </w:r>
            <w:r>
              <w:rPr>
                <w:b/>
              </w:rPr>
              <w:t>Mixed-methods lessons-learned documentation of a DANIDA-funded climate-resilient livelihoods and youth employability project, combining SPSS and NVivo analysis with a four-phase work plan and clearly defined team roles.</w:t>
            </w:r>
          </w:p>
        </w:tc>
      </w:tr>
    </w:tbl>
    <w:p>
      <w:r>
        <w:t>| Confirms delivery of the same output category the ToR requires, a learning document rather than a standard evaluation, translating livelihoods and climate-resilience programme experience into documented lessons, the core purpose of the SPREAD learning paper. |</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Consultancy for School Safety and Learning Continuity, Climate Smart Education Systems Initiative (CSESI)</w:t>
            </w:r>
          </w:p>
        </w:tc>
        <w:tc>
          <w:tcPr>
            <w:tcW w:type="dxa" w:w="1728"/>
          </w:tcPr>
          <w:p>
            <w:r>
              <w:rPr>
                <w:b/>
              </w:rPr>
            </w:r>
            <w:r>
              <w:rPr>
                <w:b/>
              </w:rPr>
              <w:t>Save the Children Somalia Country Office / Federal Ministry of Education, Culture and Higher Education</w:t>
            </w:r>
          </w:p>
        </w:tc>
        <w:tc>
          <w:tcPr>
            <w:tcW w:type="dxa" w:w="1728"/>
          </w:tcPr>
          <w:p>
            <w:r>
              <w:rPr>
                <w:b/>
              </w:rPr>
            </w:r>
            <w:r>
              <w:rPr>
                <w:b/>
              </w:rPr>
              <w:t>Somalia</w:t>
            </w:r>
          </w:p>
        </w:tc>
        <w:tc>
          <w:tcPr>
            <w:tcW w:type="dxa" w:w="1728"/>
          </w:tcPr>
          <w:p>
            <w:r>
              <w:rPr>
                <w:b/>
              </w:rPr>
            </w:r>
            <w:r>
              <w:rPr>
                <w:b/>
              </w:rPr>
              <w:t>2026</w:t>
            </w:r>
          </w:p>
        </w:tc>
        <w:tc>
          <w:tcPr>
            <w:tcW w:type="dxa" w:w="1728"/>
          </w:tcPr>
          <w:p>
            <w:r>
              <w:rPr>
                <w:b/>
              </w:rPr>
            </w:r>
            <w:r>
              <w:rPr>
                <w:b/>
              </w:rPr>
              <w:t>Participatory, government-aligned methodology referencing the Sendai Framework for disaster risk reduction, institutionalising tools within existing national systems rather than as standalone products, with cross-cutting equity, gender and disability inclusion.</w:t>
            </w:r>
          </w:p>
        </w:tc>
      </w:tr>
    </w:tbl>
    <w:p>
      <w:r>
        <w:t>| Evidences direct DRR-framework literacy and a locally led, systems-institutionalisation approach consistent with the SPREAD requirement to assess how CAGs, VSLAs and CMDRR interact with pre-existing market committees, peace committees and savings groups rather than operating in parallel. |</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Integrated Development Solutions for IDPs and Host Communities in Jubaland</w:t>
            </w:r>
          </w:p>
        </w:tc>
        <w:tc>
          <w:tcPr>
            <w:tcW w:type="dxa" w:w="1728"/>
          </w:tcPr>
          <w:p>
            <w:r>
              <w:rPr>
                <w:b/>
              </w:rPr>
            </w:r>
            <w:r>
              <w:rPr>
                <w:b/>
              </w:rPr>
              <w:t>UNDP-Somalia</w:t>
            </w:r>
          </w:p>
        </w:tc>
        <w:tc>
          <w:tcPr>
            <w:tcW w:type="dxa" w:w="1728"/>
          </w:tcPr>
          <w:p>
            <w:r>
              <w:rPr>
                <w:b/>
              </w:rPr>
            </w:r>
            <w:r>
              <w:rPr>
                <w:b/>
              </w:rPr>
              <w:t>Somalia</w:t>
            </w:r>
          </w:p>
        </w:tc>
        <w:tc>
          <w:tcPr>
            <w:tcW w:type="dxa" w:w="1728"/>
          </w:tcPr>
          <w:p>
            <w:r>
              <w:rPr>
                <w:b/>
              </w:rPr>
            </w:r>
            <w:r>
              <w:rPr>
                <w:b/>
              </w:rPr>
              <w:t>2025</w:t>
            </w:r>
          </w:p>
        </w:tc>
        <w:tc>
          <w:tcPr>
            <w:tcW w:type="dxa" w:w="1728"/>
          </w:tcPr>
          <w:p>
            <w:r>
              <w:rPr>
                <w:b/>
              </w:rPr>
            </w:r>
            <w:r>
              <w:rPr>
                <w:b/>
              </w:rPr>
              <w:t>Twelve-month integrated programme design across five sequential phases (inception, institutional strengthening, economic recovery, security/protection, MEL) with explicit gender participation targets and a phased community-based sustainability and handover framework.</w:t>
            </w:r>
          </w:p>
        </w:tc>
      </w:tr>
    </w:tbl>
    <w:p>
      <w:r>
        <w:t>| Demonstrates prior experience designing and sequencing genuinely integrated, multi-sector programming rather than parallel siloed delivery, the same integration-versus-coordination logic this learning paper is commissioned to evidence for SPREAD. |</w:t>
      </w:r>
    </w:p>
    <w:p>
      <w:r>
        <w:br w:type="page"/>
      </w:r>
    </w:p>
    <w:p>
      <w:pPr>
        <w:pStyle w:val="Heading1"/>
      </w:pPr>
      <w:r>
        <w:t>Introduction, Background &amp; Conceptual Framework</w:t>
      </w:r>
    </w:p>
    <w:p>
      <w:pPr>
        <w:pStyle w:val="ListNumber"/>
      </w:pPr>
      <w:r>
        <w:t>INTRODUCTION AND BACKGROUND</w:t>
      </w:r>
    </w:p>
    <w:p>
      <w:r>
        <w:t>5.1 Context and Strategic Importance</w:t>
      </w:r>
    </w:p>
    <w:p>
      <w:r>
        <w:t>The countries of Kenya, South Sudan and Ethiopia share border regions marked by complex socio-economic, political and environmental challenges, and DCA, together with TUPADO (Kenya), ROG and ICPDO (South Sudan) and ECC (Ethiopia), is implementing the European Union-funded SPREAD programme (Strengthening Integrated Peace, Resilience and Disaster Risk Reduction for Cross-border Communities) across South Omo/Ethiopia, Turkana/Kenya and Eastern Equatoria/South Sudan, collectively the Karamoja Cluster. Now 42 months into implementation and in Year 3, SPREAD has combined peacebuilding, livelihoods, climate resilience and DRR interventions "rather than delivering them as parallel, siloed activities," introducing Community Action Groups (CAGs), Village Savings and Loan Associations (VSLAs), micro-grants and early warning systems alongside pre-existing market committees and savings groups. As the programme moves toward its concluding phase, DCA is commissioning a series of learning papers to critically examine specific thematic areas of SPREAD's work, and this assignment, Learning Paper 2, is the vehicle for documenting what integration has meant operationally and where it has added value beyond the sum of its parts. 5.2 Purpose and Objectives</w:t>
      </w:r>
    </w:p>
    <w:p>
      <w:r>
        <w:t>The purpose of the assignment is to establish a shared, evidence-based understanding of what integration means and delivers in the SPREAD context and to translate this into actionable guidance for donors, IGAD and governments. The six stated objectives run from establishing a shared operational definition of integration and documenting sequencing and coordination between components, through examining trade-offs between livelihoods and climate resilience/adaptation, using community case studies of stronger and weaker integration, assessing how communities relate to SPREAD-introduced structures alongside pre-existing ones, and producing a learning paper and policy brief with recommendations on what should be integrated, at what level, and what can simply be coordinated. The sixth objective extends this into a dedicated policy brief on how the integrated peace-resilience approach contributes to local and regional stability and human security, targeted first at the EU and Danish policy audiences. 5.3 Our Interpretation of the Assignment</w:t>
      </w:r>
    </w:p>
    <w:p>
      <w:r>
        <w:t>Cortech reads this assignment as a diagnostic and evidentiary exercise, not a standard programme evaluation: DCA is not asking whether SPREAD delivered its outputs but whether combining peacebuilding, livelihoods, climate resilience and DRR in one design produced value that separate, coordinated delivery would not have achieved, and where that value did not materialise. This requires a method built to trace contribution after the fact, comparing sites of stronger and weaker integration rather than measuring a single programme logic against its own targets. One constraint the documents imply but do not state explicitly is that because the consultant reports to the Project Consortium Manager with technical oversight from thematic leads who designed the interventions under review, the learning paper's requirement to document "weaker examples of integration" places the assignment in the position of assessing choices made by the same consortium managing it day to day; the case-study protocol and validation workshop design must therefore be structured to protect the credibility of critical findings, for instance by triangulating community testimony independently of thematic-lead framing before it reaches the draft learning paper. A second implied constraint is timing: with inception approval due 13 October 2026 and data collection required to close by 31 October across three countries, research assistants in Turkana, South Omo and Eastern Equatoria must be identified and briefed during the inception period itself, since recruitment, training and fielding cannot be sequenced as separate stages within the gap available. 5.4 Key Evaluation Questions</w:t>
      </w:r>
    </w:p>
    <w:p>
      <w:r>
        <w:t>The proposed key learning questions to be finalised jointly with the consultant, and which this technical proposal addresses directly under the ToR sufficiency criterion, are: what does integration mean operationally in the SPREAD context and which sequencing approaches (peace preceding livelihood investment, economic cooperation opening space for dialogue, or natural-resource agreements preceding irrigation or agricultural investment) work best in which contexts; what challenges and trade-offs arise from integrating peace and resilience at community level and how this relates to reducing pressure on natural resources through diversified income opportunities; drawing on community case studies of stronger and weaker integration, why integrated programming worked better in some locations than others and what community members, leaders and local authorities identify as their preferences for greater integration; how SPREAD structures (CMDRR, CAGs, observatory platforms) have been perceived by communities and government and how they complement pre-existing market committees, peace committees and savings groups; which components of integrated peace, livelihoods, climate resilience and DRR programming genuinely need to be integrated, at what level, and which can simply be coordinated, and what this implies for future funding models including anticipatory action; and how the SPREAD integrated peace-resilience approach is positively contributing to stability and human security locally and regionally. 5.5 Deliverables</w:t>
      </w:r>
    </w:p>
    <w:p>
      <w:r>
        <w:t>Cortech's work plan is built to produce the full named deliverable set on the dates DCA has specified: an inception report (desk review findings, methodology, case-study selection criteria, data collection tools, work plan and ethical/risk mitigation measures) and inception briefing with the SPREAD CMU and thematic leads; a draft learning paper and draft policy brief; a cross-border validation workshop; a final learning paper with SMART, evidence-based recommendations on integration versus coordination; a final concise policy brief on integration; a 4-8 page policy brief targeted at policymakers and donors, including the EU, Denmark, IGAD and other governments, on the relationship between integrated peace/resilience programming, human security and stability; case-study files and cleaned raw data, anonymised where required, annexed to the final report; an executive management summary of 2-4 pages and a summary PowerPoint presentation; and a facilitated results presentation and learning session with DCA and consortium partners. 5.6 Understanding of Success</w:t>
      </w:r>
    </w:p>
    <w:p>
      <w:r>
        <w:t>Success on this assignment is measured by whether the final learning paper and both policy briefs give DCA, TUPADO, ICPDO, ROG, ECC, the EU, Denmark, IGAD and national governments a defensible, evidence-based answer to a decision they must make now, as SPREAD approaches its concluding phase: which components of peacebuilding, livelihoods, climate resilience and DRR genuinely require integration, at what organisational and geographic level, and which can be coordinated separately, and what this means for future funding models including anticipatory action. It is not sufficient to describe SPREAD's activities; the outputs must demonstrate, through paired stronger and weaker community case studies validated at a single cross-border workshop, where integration created value beyond the sum of its parts, so that the recommendations are usable rather than descriptive. Conceptual Framework</w:t>
      </w:r>
    </w:p>
    <w:p>
      <w:r>
        <w:t>Cortech's analytical lens for this assignment combines three complementary layers, each chosen because it answers a distinct part of what DCA is asking rather than because it is a default evaluation tool. The first layer is Outcome Harvesting, which SPREAD already uses as its own reflection practice and which the ToR explicitly asks the consultant to build on. Outcome Harvesting does not begin from a predefined results chain; it identifies outcomes that have already occurred in the community, whether attributable to CAGs, VSLAs, CMDRRs, observatory platforms, market committees, peace committees or savings groups, and works backward to establish what combination of factors, including the sequencing of peacebuilding, livelihoods, climate resilience and DRR activity, actually produced them. This fits the assignment's core question directly, because the question is not whether SPREAD's logframe was achieved but whether integration itself was a causal ingredient. The second layer draws on OECD DAC evaluation criteria, applied selectively to the two dimensions the ToR is actually testing: coherence, to assess whether peacebuilding, livelihoods, climate resilience and DRR components reinforced or worked against each other at the same sites, and effectiveness, to assess whether the combined package produced outcomes that would not have occurred through parallel, uncoordinated delivery. Using DAC criteria this way keeps the analysis auditable and comparable across South Omo, Turkana and Eastern Equatoria without importing the full battery of criteria the assignment does not require. The third layer is a contribution-tracing structure applied specifically to the stronger-versus-weaker case-study design: for each paired site, the team will document the sequencing that occurred, the structures involved, and the community-reported outcome, then test alternative explanations (external factors, pre-existing structures acting alone, security context) before attributing added value to integration. This structure is what allows the learning paper to move from description to the SMART, evidence-based recommendations on integration versus coordination that DCA has specified as the final deliverable, and it is applied consistently across all three countries through the harmonised tools coordinated with TUPADO, ICPDO, ROG and ECC.</w:t>
      </w:r>
    </w:p>
    <w:p>
      <w:r>
        <w:br w:type="page"/>
      </w:r>
    </w:p>
    <w:p>
      <w:pPr>
        <w:pStyle w:val="Heading1"/>
      </w:pPr>
      <w:r>
        <w:t>Technical Methodology</w:t>
      </w:r>
    </w:p>
    <w:p>
      <w:r>
        <w:t>METHODOLOGY</w:t>
      </w:r>
    </w:p>
    <w:p>
      <w:pPr>
        <w:pStyle w:val="ListNumber"/>
      </w:pPr>
      <w:r>
        <w:t>Overall Approach</w:t>
      </w:r>
    </w:p>
    <w:p>
      <w:r>
        <w:t>Cortech Consulting Group's approach to Learning Paper 2 for SPREAD treats "integration" as an empirical question, not an assumption. The Terms of Reference are explicit that SPREAD was designed to combine peacebuilding, livelihoods, climate resilience and Disaster Risk Reduction (DRR) interventions "rather than delivering them as parallel, siloed activities," through structures such as Community Action Groups (CAGs), Village Savings and Loan Associations (VSLAs), micro-grants and early warning systems, layered onto pre-existing market committees and savings groups. Our methodology is built to establish, with community-level evidence from South Omo/Ethiopia, Turkana/Kenya and Eastern Equatoria/South Sudan, where this integration has added value beyond the sum of its parts, where it has not, and what this implies for future programming and financing models, including anticipatory action. The design is a mixed-methods, comparative case-study approach combining Key Informant Interviews (KIIs), Focus Group Discussions (FGDs) and participatory ranking exercises, built explicitly on SPREAD's existing Outcome Harvesting practice rather than introducing a parallel evaluative framework. This is a learning assignment, not a programme evaluation: the unit of analysis throughout is the interaction between peacebuilding, livelihoods, climate resilience and DRR components at community level, and the central comparative device is the pairing of stronger and weaker integration sites within and across the three countries. Data collection will be coordinated through the national partner teams, TUPADO (Kenya), ICPDO and ROG (South Sudan), and ECC (Ethiopia), using harmonised tools designed centrally by the Cortech team to guarantee comparability, rather than run as three independent national studies. All primary data will be captured on KoboToolbox for real-time monitoring of coverage across sites, disaggregated by sex, age and disability, and triangulated against the SPREAD baseline (2024), the Mid-Term Review (2025) and Year 3/MTR reflection workshop outputs. 2. Phase-by-Phase Breakdown</w:t>
      </w:r>
    </w:p>
    <w:p>
      <w:r>
        <w:t>Phase 1, Inception (29 September to 13 October 2026). This review will inform an operational working definition of "integration" for validation with the Consortium Management Unit (CMU), refined case-study selection criteria (deliberately pairing stronger and weaker integration sites), KII/FGD guides, a community case-study protocol, sampling frame and ethical/risk mitigation measures. Output: Inception Report, submitted 13 October 2026, followed by an Inception Briefing with SPREAD CMU and thematic leads. Phase 2, Field Data Collection (14 to 31 October 2026). Research assistants and enumerators, recruited and trained in-country by the consultant team and coordinated through TUPADO, ICPDO/ROG and ECC, will administer the harmonised KII/FGD guides using KoboToolbox on tablets, with offline capability for connectivity gaps typical of the Karamoja Cluster. Edwin Aldrin Adenya is positioned to support field coordination and quality assurance of enumerator outputs. Sampling will cover peacebuilding and resilience structures, livestock keepers, fisherfolk, farmers and farmer groups, and formal and informal cross-border traders (ICBT), spanning all three countries and including both women/youth-led and mixed markets, with case studies deliberately selected to include both stronger and weaker examples of integration. Phase 3, Analysis and Quality Check (1 to 21 November 2026). Qualitative transcripts will be coded in NVivo against a codebook structured around the six learning questions (operational meaning of integration and sequencing; challenges and trade-offs including natural-resource pressure; drivers of stronger versus weaker integration; community perceptions of CAGs/VSLAs/CMDRR alongside pre-existing structures; integration versus coordination implications for funding models; contribution to human security and regional stability). Any quantitative or ranking data will be processed in SPSS to produce descriptive comparisons across sites and disaggregation groups. A review session with the SPREAD team will deepen understanding of emerging findings before drafting. Phase 4, Reporting and Validation (21 November to 15 December 2026). The draft learning paper and both draft policy briefs will be shared with the CMU and relevant thematic leads for comment, followed by a single cross-border validation workshop on 3 December 2026 bringing together Consortium members, IGAD and other stakeholders from all three countries. Feedback will be incorporated into final deliverables submitted by 15 December 2026. 3. Method by Deliverable</w:t>
      </w:r>
    </w:p>
    <w:p>
      <w:r>
        <w:t>Inception Report (13 October 2026): instrument is the desk review matrix and stakeholder mapping; respondents are SPREAD CMU, thematic leads and MEAL staff consulted through a joint tool-review session; output is a finalised methodology, case-study selection criteria, data-collection tools and work plan. Draft and Final Learning Paper (21 November and 15 December 2026): instruments are the harmonised KII/FGD guides and participatory ranking exercise administered to CAG and VSLA members, traditional leaders, local/national authorities, pastoralists/agro-pastoralists, fisherfolk and farmer groups; output is a document with SMART, evidence-based recommendations on which components require integration, at what level, and which can be coordinated. Draft and Final Policy Brief, integration generally (21 November and 15 December 2026): drawn from the learning paper's cross-cutting findings, targeted at donors, IGAD and governments, 4 to 8 pages, focused on integration-versus-coordination recommendations for future funding models. Draft and Final Policy Brief, human security and stability (21 November and 15 December 2026): a distinct analytical thread tracing how locally led integrated peace-resilience programming contributes to conflict prevention and regional stability, framed first for EU and Danish policymakers and adaptable for wider public audiences. Cross-border Validation Workshop (3 December 2026): single event, facilitated by the Lead Consultant, using participatory validation exercises with Consortium members and IGAD to test draft findings and recommendations before finalisation. Case-study files, cleaned raw data, executive summary, PowerPoint and facilitated learning session (15 December 2026): anonymised datasets and case narratives annexed to the final report; a 2 to 4 page executive summary and summary presentation delivered to DCA and consortium partners in a facilitated learning session. 4. Data Quality Assurance</w:t>
      </w:r>
    </w:p>
    <w:p>
      <w:r>
        <w:t>Quality assurance operates at three points: tool piloting in one site per country before full rollout, with revisions agreed with the CMU; daily data checks on KoboToolbox submissions for completeness and consistency during fieldwork, flagged to national partner teams for same-week correction; and triangulation of every finding against at least two independent sources (community respondents, SPREAD monitoring data, and baseline/MTR evidence) before inclusion in the learning paper. 5. Ethical Considerations</w:t>
      </w:r>
    </w:p>
    <w:p>
      <w:r>
        <w:t>Fieldwork across three fragile, conflict-affected countries requires informed consent protocols in local languages, anonymisation of case-study data, and conflict-sensitive facilitation that avoids raising expectations of further programming. Research assistants will be trained on GESI-sensitive interviewing, safe referral pathways, and do-no-harm principles before deployment, with security and access arrangements coordinated through TUPADO, ICPDO, ROG and ECC as the parties with established community relationships in South Omo, Turkana and Eastern Equatoria.</w:t>
      </w:r>
    </w:p>
    <w:p>
      <w:r>
        <w:br w:type="page"/>
      </w:r>
    </w:p>
    <w:p>
      <w:pPr>
        <w:pStyle w:val="Heading1"/>
      </w:pPr>
      <w:r>
        <w:t>Sampling Strategy &amp; Data Analysis Plan</w:t>
      </w:r>
    </w:p>
    <w:p>
      <w:r>
        <w:t>Sampling and Selection Logic</w:t>
      </w:r>
    </w:p>
    <w:p>
      <w:r>
        <w:t>This assignment does not call for a probability sample. The Terms of Reference request community case studies, stronger and weaker examples of integration, and direct engagement with community members, leaders and local authorities rather than population-representative estimates, so Cortech will apply purposive selection throughout. Case-study sites in South Omo, Turkana and Eastern Equatoria will be selected jointly with TUPADO, ICPDO, ROG and ECC against explicit criteria set out in the inception report, including strength of observed integration (drawing on the 2025 Mid-Term Review and reflection workshop outputs), presence of CAGs, VSLAs and CMDRR structures, and coverage of livestock, fishing, farming and formal/informal cross-border trade (ICBT) livelihoods. Within each site, KII and FGD participants will be purposively drawn to represent CAG and VSLA members, traditional leaders, local/national authorities, market committee members, women- and youth-led CSOs, and both women/youth-led and mixed markets, with quota-based attention to sex, age and disability so that disaggregation is possible at the analysis stage rather than assumed at the sampling stage. This logic privileges information richness and contrast between stronger and weaker integration cases over statistical generalisability, consistent with a learning paper rather than a population-based evaluation. SECTION 2. DATA ANALYSIS PLAN</w:t>
      </w:r>
    </w:p>
    <w:p>
      <w:r>
        <w:t>Quantitative inputs generated through the assignment, principally participatory ranking exercise scores and any structured indicators drawn from CAG, VSLA and market committee records, will be cleaned, coded and entered into SPSS. Analysis will be primarily descriptive, using frequencies and cross-tabulations to compare ranking patterns across South Omo, Turkana and Eastern Equatoria and across stronger versus weaker integration case-study sites, disaggregated by sex, age and disability as specified in the ToR. Where sample sizes and data structure allow, Cortech will apply non-parametric tests (for example chi-square comparisons) to assess whether differences in perceived integration value between sites are more than incidental, always reporting these results with appropriate caution given the case-study, non-probability design. Qualitative data from KIIs, FGDs and Outcome Harvesting-informed reflection sessions will be transcribed, cleaned and coded in NVivo using a coding framework built directly from the six proposed learning questions and the six assignment objectives, with dedicated nodes for CAG, VSLA, CMDRR and observatory-platform experience, sequencing choices, and trade-offs between livelihoods and climate resilience/adaptation. Thematic analysis will proceed by first-cycle descriptive coding, followed by pattern coding to surface convergence and divergence between stronger and weaker integration cases and across the three consortium partner geographies. Triangulation will bring the two strands together at the case-study level: ranking scores and any quantitative indicators will be read against the coded qualitative narrative for the same site to establish whether reported community preferences align with observed integration outcomes, and any divergence will be explicitly flagged and explored in the learning paper as a finding in its own right, in line with the requirement to explain limitations in the final report.</w:t>
      </w:r>
    </w:p>
    <w:p>
      <w:r>
        <w:br w:type="page"/>
      </w:r>
    </w:p>
    <w:p>
      <w:pPr>
        <w:pStyle w:val="Heading1"/>
      </w:pPr>
      <w:r>
        <w:t>Quality Assurance &amp; Ethical Considerations</w:t>
      </w:r>
    </w:p>
    <w:p>
      <w:r>
        <w:t>SECTION 1, QUALITY ASSURANCE FRAMEWORK</w:t>
      </w:r>
    </w:p>
    <w:p>
      <w:r>
        <w:t>Cortech Consulting Group applies a phase-embedded quality assurance framework built on accuracy, reliability, validity, consistency, transparency and timeliness, rather than a single verification step at the end of fieldwork. Quality control begins at Inception (through 13 October 2026): the desk review of the SPREAD baseline (2024), the Mid-Term Review (2025), Year 3/MTR reflection workshop outputs, and DCA's Conflict Prevention Action Guide, Social Cohesion Action Guide and resilience/DRR guidance will be cross-checked against the case-study selection criteria and KII/FGD guides before submission to the Consortium Management Unit (CMU) and thematic leads, ensuring tools are technically sound and programme-grounded prior to any fieldwork. Research Assistant/Enumerator Edwin Aldrin Adenya's outputs will be checked against the sampling matrix (peacebuilding/resilience structures, livestock, fishing, farming, ICBT, women/youth-led and mixed markets) to confirm coverage before analysis begins. At the Analysis and Draft Reporting stage (leading to 21 November 2026), a structured review session with the SPREAD team will validate emerging findings against the stronger/weaker case-study comparison, and internal peer review will check that the draft learning paper and both draft policy briefs are internally consistent before submission to the CMU and thematic leads. The Cross-border Validation Workshop (3 December 2026) functions as an explicit external quality gate, testing findings with Consortium members and IGAD before finalisation. Final deliverables (15 December 2026), including the learning paper, both policy briefs, case-study files, cleaned and anonymised raw data, and the executive summary, will undergo a final consistency check against the six assignment objectives and six learning questions before submission, closing the loop between the CMU's feedback and the delivered product. SECTION 2, ETHICAL CONSIDERATIONS AND SAFEGUARDING</w:t>
      </w:r>
    </w:p>
    <w:p>
      <w:r>
        <w:t>This assignment engages pastoralists/agro-pastoralists, fisherfolk, farmers and farmer groups, cross-border traders, women- and youth-led CSOs, traditional leaders, local and national authorities, and CAG and VSLA members across three fragile, conflict-affected border regions: South Omo (Ethiopia), Turkana (Kenya) and Eastern Equatoria (South Sudan). Cortech Consulting Group's ISO certification, child safeguarding policy and PSEA compliance apply directly to fieldwork with these populations, and all research assistants and enumerators recruited and trained for this assignment, including Edwin Aldrin Adenya, will sign confidentiality undertakings and receive briefing on DCA's Code of Conduct for Contractors before deployment. Given the conflict-sensitivity of questions on peacebuilding structures and natural-resource pressure, data collection will follow a do-no-harm approach: KIIs and FGDs will avoid probing on active disputes in ways that could expose respondents or CAG/VSLA members to retaliation, and interviewers will be trained to recognise and refer protection concerns rather than record them as data points. Informed consent will be obtained verbally or in writing depending on literacy levels and local context, with respondents told the purpose of the learning paper, the intended audiences (the European Union, Denmark, IGAD and governments), the voluntary nature of participation, and their right to withdraw without consequence, before any KII, FGD or participatory ranking exercise begins. Particular care will be taken with traditional leaders and local authorities, whose views on integration versus coordination may carry political sensitivity across the Kenya-Ethiopia-South Sudan border, and with women- and youth-led CSOs, where separate or single-sex facilitation will be used where appropriate to support open participation. All case-study files and raw data will be anonymised prior to annexation to the final report, consistent with the ToR's requirement for "cleaned raw data (anonymised where required)," and data will be stored and transmitted according to Cortech's data protection procedures, with access limited to the assignment team and CMU. Disaggregation by sex, age and disability will be built into the sampling frame from the inception stage, not applied retrospectively. [INSUFFICIENT EVIDENCE] on a formal external ethical clearance body specified for this assignment beyond DCA's own Code of Conduct and General Terms and Conditions; the technical proposal will note that ethical and risk mitigation measures, including any required clearance, will be finalised and documented in the Inception Report as the ToR requires.</w:t>
      </w:r>
    </w:p>
    <w:p>
      <w:r>
        <w:br w:type="page"/>
      </w:r>
    </w:p>
    <w:p>
      <w:pPr>
        <w:pStyle w:val="Heading1"/>
      </w:pPr>
      <w:r>
        <w:t>Risk Management</w:t>
      </w:r>
    </w:p>
    <w:p>
      <w:pPr>
        <w:pStyle w:val="Heading2"/>
      </w:pPr>
      <w:r>
        <w:t>Risk Management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Risk Category</w:t>
            </w:r>
          </w:p>
        </w:tc>
        <w:tc>
          <w:tcPr>
            <w:tcW w:type="dxa" w:w="1728"/>
          </w:tcPr>
          <w:p>
            <w:r>
              <w:rPr>
                <w:b/>
              </w:rPr>
            </w:r>
            <w:r>
              <w:rPr>
                <w:b/>
              </w:rPr>
              <w:t>Description</w:t>
            </w:r>
          </w:p>
        </w:tc>
        <w:tc>
          <w:tcPr>
            <w:tcW w:type="dxa" w:w="1728"/>
          </w:tcPr>
          <w:p>
            <w:r>
              <w:rPr>
                <w:b/>
              </w:rPr>
            </w:r>
            <w:r>
              <w:rPr>
                <w:b/>
              </w:rPr>
              <w:t>Likelihood</w:t>
            </w:r>
          </w:p>
        </w:tc>
        <w:tc>
          <w:tcPr>
            <w:tcW w:type="dxa" w:w="1728"/>
          </w:tcPr>
          <w:p>
            <w:r>
              <w:rPr>
                <w:b/>
              </w:rPr>
            </w:r>
            <w:r>
              <w:rPr>
                <w:b/>
              </w:rPr>
              <w:t>Impact</w:t>
            </w:r>
          </w:p>
        </w:tc>
        <w:tc>
          <w:tcPr>
            <w:tcW w:type="dxa" w:w="1728"/>
          </w:tcPr>
          <w:p>
            <w:r>
              <w:rPr>
                <w:b/>
              </w:rPr>
            </w:r>
            <w:r>
              <w:rPr>
                <w:b/>
              </w:rPr>
              <w:t>Mitigation</w:t>
            </w:r>
          </w:p>
        </w:tc>
      </w:tr>
      <w:tr>
        <w:tc>
          <w:tcPr>
            <w:tcW w:type="dxa" w:w="1728"/>
          </w:tcPr>
          <w:p>
            <w:r/>
            <w:r>
              <w:t>Field access and security</w:t>
            </w:r>
          </w:p>
        </w:tc>
        <w:tc>
          <w:tcPr>
            <w:tcW w:type="dxa" w:w="1728"/>
          </w:tcPr>
          <w:p>
            <w:r/>
            <w:r>
              <w:t>Fluid security conditions across South Omo (Ethiopia), Turkana (Kenya) and Eastern Equatoria (South Sudan), including localized inter-communal tension along the Karamoja Cluster border corridors, may restrict access to specific CAG, VSLA or market committee sites during the data collection window (through 31 October 2026).</w:t>
            </w:r>
          </w:p>
        </w:tc>
        <w:tc>
          <w:tcPr>
            <w:tcW w:type="dxa" w:w="1728"/>
          </w:tcPr>
          <w:p>
            <w:r/>
          </w:p>
        </w:tc>
        <w:tc>
          <w:tcPr>
            <w:tcW w:type="dxa" w:w="1728"/>
          </w:tcPr>
          <w:p>
            <w:r/>
          </w:p>
        </w:tc>
        <w:tc>
          <w:tcPr>
            <w:tcW w:type="dxa" w:w="1728"/>
          </w:tcPr>
          <w:p>
            <w:r/>
          </w:p>
        </w:tc>
      </w:tr>
      <w:tr>
        <w:tc>
          <w:tcPr>
            <w:tcW w:type="dxa" w:w="1728"/>
          </w:tcPr>
          <w:p>
            <w:r/>
            <w:r>
              <w:t>Medium</w:t>
            </w:r>
          </w:p>
        </w:tc>
        <w:tc>
          <w:tcPr>
            <w:tcW w:type="dxa" w:w="1728"/>
          </w:tcPr>
          <w:p>
            <w:r/>
            <w:r>
              <w:t>High</w:t>
            </w:r>
          </w:p>
        </w:tc>
        <w:tc>
          <w:tcPr>
            <w:tcW w:type="dxa" w:w="1728"/>
          </w:tcPr>
          <w:p>
            <w:r/>
            <w:r>
              <w:t>Coordinate all field movement through the national partner teams (TUPADO, ICPDO, ROG, ECC), who hold current access relationships and security intelligence in their respective operating areas; maintain a rolling site list with pre-cleared alternates in each country so that a blocked location can be substituted without disrupting the overall sampling frame; align travel windows with DCA and consortium security advisories before each field rotation.</w:t>
            </w:r>
          </w:p>
        </w:tc>
        <w:tc>
          <w:tcPr>
            <w:tcW w:type="dxa" w:w="1728"/>
          </w:tcPr>
          <w:p>
            <w:r/>
          </w:p>
        </w:tc>
        <w:tc>
          <w:tcPr>
            <w:tcW w:type="dxa" w:w="1728"/>
          </w:tcPr>
          <w:p>
            <w:r/>
          </w:p>
        </w:tc>
      </w:tr>
    </w:tbl>
    <w:p>
      <w:r>
        <w: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Cross-border data quality and comparability</w:t>
            </w:r>
          </w:p>
        </w:tc>
        <w:tc>
          <w:tcPr>
            <w:tcW w:type="dxa" w:w="2880"/>
          </w:tcPr>
          <w:p>
            <w:r>
              <w:rPr>
                <w:b/>
              </w:rPr>
            </w:r>
            <w:r>
              <w:rPr>
                <w:b/>
              </w:rPr>
              <w:t>Use of non-harmonised tools or inconsistent facilitation standards across the three national teams could produce case-study evidence that is not comparable across South Omo, Turkana and Eastern Equatoria, undermining the cross-country synthesis required for the learning paper.</w:t>
            </w:r>
          </w:p>
        </w:tc>
        <w:tc>
          <w:tcPr>
            <w:tcW w:type="dxa" w:w="2880"/>
          </w:tcPr>
          <w:p>
            <w:r>
              <w:rPr>
                <w:b/>
              </w:rPr>
            </w:r>
          </w:p>
        </w:tc>
      </w:tr>
      <w:tr>
        <w:tc>
          <w:tcPr>
            <w:tcW w:type="dxa" w:w="2880"/>
          </w:tcPr>
          <w:p>
            <w:r/>
            <w:r>
              <w:t>Medium</w:t>
            </w:r>
          </w:p>
        </w:tc>
        <w:tc>
          <w:tcPr>
            <w:tcW w:type="dxa" w:w="2880"/>
          </w:tcPr>
          <w:p>
            <w:r/>
            <w:r>
              <w:t>High</w:t>
            </w:r>
          </w:p>
        </w:tc>
        <w:tc>
          <w:tcPr>
            <w:tcW w:type="dxa" w:w="2880"/>
          </w:tcPr>
          <w:p>
            <w:r/>
            <w:r>
              <w:t>Design a single KII/FGD guide and case-study protocol centrally, translated and pre-tested with each partner team before rollout; run a joint enumerator/research-assistant briefing (virtual or in-country) prior to fieldwork to standardise probing on CAG, VSLA and CMDRR performance; apply the same coding frame in NVivo across all three country datasets before triangulation, with the Lead Consultant reviewing a sample of transcripts from each country for consistency.</w:t>
            </w:r>
          </w:p>
        </w:tc>
      </w:tr>
    </w:tbl>
    <w:p>
      <w:r>
        <w: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Government and consortium stakeholder engagement</w:t>
            </w:r>
          </w:p>
        </w:tc>
        <w:tc>
          <w:tcPr>
            <w:tcW w:type="dxa" w:w="2880"/>
          </w:tcPr>
          <w:p>
            <w:r>
              <w:rPr>
                <w:b/>
              </w:rPr>
            </w:r>
            <w:r>
              <w:rPr>
                <w:b/>
              </w:rPr>
              <w:t>Delays in obtaining sign-off from the Consortium Management Unit (CMU), thematic leads, or national/local authorities in Ethiopia, Kenya and South Sudan on the inception report, case-study selection or validation workshop dates could stall the approval gate scheduled for 13 October 2026.</w:t>
            </w:r>
          </w:p>
        </w:tc>
        <w:tc>
          <w:tcPr>
            <w:tcW w:type="dxa" w:w="2880"/>
          </w:tcPr>
          <w:p>
            <w:r>
              <w:rPr>
                <w:b/>
              </w:rPr>
            </w:r>
          </w:p>
        </w:tc>
      </w:tr>
      <w:tr>
        <w:tc>
          <w:tcPr>
            <w:tcW w:type="dxa" w:w="2880"/>
          </w:tcPr>
          <w:p>
            <w:r/>
            <w:r>
              <w:t>Medium</w:t>
            </w:r>
          </w:p>
        </w:tc>
        <w:tc>
          <w:tcPr>
            <w:tcW w:type="dxa" w:w="2880"/>
          </w:tcPr>
          <w:p>
            <w:r/>
            <w:r>
              <w:t>Medium</w:t>
            </w:r>
          </w:p>
        </w:tc>
        <w:tc>
          <w:tcPr>
            <w:tcW w:type="dxa" w:w="2880"/>
          </w:tcPr>
          <w:p>
            <w:r/>
            <w:r>
              <w:t>Submit the inception report with sufficient lead time for CMU and thematic lead review, and confirm in advance a single agreed feedback turnaround window; brief national/local authorities early, using consortium partners as the entry point, so that endorsement of the case-study sites is secured before enumerators are deployed.</w:t>
            </w:r>
          </w:p>
        </w:tc>
      </w:tr>
    </w:tbl>
    <w:p>
      <w:r>
        <w: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Community participation and trust</w:t>
            </w:r>
          </w:p>
        </w:tc>
        <w:tc>
          <w:tcPr>
            <w:tcW w:type="dxa" w:w="2880"/>
          </w:tcPr>
          <w:p>
            <w:r>
              <w:rPr>
                <w:b/>
              </w:rPr>
            </w:r>
            <w:r>
              <w:rPr>
                <w:b/>
              </w:rPr>
              <w:t>Pastoralist, agro-pastoralist, fisherfolk and cross-border trader respondents, particularly women- and youth-led CSOs and CAG/VSLA members, may be reluctant to discuss trade-offs or weaker examples of integration for fear this reflects on ongoing SPREAD support.</w:t>
            </w:r>
          </w:p>
        </w:tc>
        <w:tc>
          <w:tcPr>
            <w:tcW w:type="dxa" w:w="2880"/>
          </w:tcPr>
          <w:p>
            <w:r>
              <w:rPr>
                <w:b/>
              </w:rPr>
            </w:r>
          </w:p>
        </w:tc>
      </w:tr>
      <w:tr>
        <w:tc>
          <w:tcPr>
            <w:tcW w:type="dxa" w:w="2880"/>
          </w:tcPr>
          <w:p>
            <w:r/>
            <w:r>
              <w:t>Medium</w:t>
            </w:r>
          </w:p>
        </w:tc>
        <w:tc>
          <w:tcPr>
            <w:tcW w:type="dxa" w:w="2880"/>
          </w:tcPr>
          <w:p>
            <w:r/>
            <w:r>
              <w:t>Medium</w:t>
            </w:r>
          </w:p>
        </w:tc>
        <w:tc>
          <w:tcPr>
            <w:tcW w:type="dxa" w:w="2880"/>
          </w:tcPr>
          <w:p>
            <w:r/>
            <w:r>
              <w:t>Position the assignment clearly as an independent learning exercise, not a compliance or funding review, at the outset of every KII/FGD; use community-familiar research assistants who can conduct sessions in local languages and build rapport with traditional leaders before formal data collection begins; explain how anonymised case-study material will be used in the learning paper and both policy briefs.</w:t>
            </w:r>
          </w:p>
        </w:tc>
      </w:tr>
    </w:tbl>
    <w:p>
      <w:r>
        <w: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Case-study selection bias</w:t>
            </w:r>
          </w:p>
        </w:tc>
        <w:tc>
          <w:tcPr>
            <w:tcW w:type="dxa" w:w="2880"/>
          </w:tcPr>
          <w:p>
            <w:r>
              <w:rPr>
                <w:b/>
              </w:rPr>
            </w:r>
            <w:r>
              <w:rPr>
                <w:b/>
              </w:rPr>
              <w:t>Selecting only strong-performing CAG/VSLA/CMDRR sites, or sites convenient for access, would produce a one-sided evidence base and fail the ToR requirement for both stronger and weaker examples of integration.</w:t>
            </w:r>
          </w:p>
        </w:tc>
        <w:tc>
          <w:tcPr>
            <w:tcW w:type="dxa" w:w="2880"/>
          </w:tcPr>
          <w:p>
            <w:r>
              <w:rPr>
                <w:b/>
              </w:rPr>
            </w:r>
          </w:p>
        </w:tc>
      </w:tr>
      <w:tr>
        <w:tc>
          <w:tcPr>
            <w:tcW w:type="dxa" w:w="2880"/>
          </w:tcPr>
          <w:p>
            <w:r/>
            <w:r>
              <w:t>Low</w:t>
            </w:r>
          </w:p>
        </w:tc>
        <w:tc>
          <w:tcPr>
            <w:tcW w:type="dxa" w:w="2880"/>
          </w:tcPr>
          <w:p>
            <w:r/>
            <w:r>
              <w:t>High</w:t>
            </w:r>
          </w:p>
        </w:tc>
        <w:tc>
          <w:tcPr>
            <w:tcW w:type="dxa" w:w="2880"/>
          </w:tcPr>
          <w:p>
            <w:r/>
            <w:r>
              <w:t>Apply an explicit, criteria-based case-study selection protocol, developed with SPREAD technical and MEAL staff during inception, that deliberately pairs higher- and lower-performing integration sites in each country across livestock, fishing, farming and formal/informal cross-border trade categories, rather than allowing convenience sampling to determine the final list.</w:t>
            </w:r>
          </w:p>
        </w:tc>
      </w:tr>
    </w:tbl>
    <w:p>
      <w:r>
        <w: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Timeline and validation-workshop sequencing</w:t>
            </w:r>
          </w:p>
        </w:tc>
        <w:tc>
          <w:tcPr>
            <w:tcW w:type="dxa" w:w="2880"/>
          </w:tcPr>
          <w:p>
            <w:r>
              <w:rPr>
                <w:b/>
              </w:rPr>
            </w:r>
            <w:r>
              <w:rPr>
                <w:b/>
              </w:rPr>
              <w:t>The 12-week schedule leaves narrow margins between draft report submission (21 November 2026), the single cross-border validation workshop (3 December 2026) and final deliverables (15 December 2026); any slippage in convening consortium members, IGAD and other stakeholders from all three countries in one workshop could compress the finalisation period.</w:t>
            </w:r>
          </w:p>
        </w:tc>
        <w:tc>
          <w:tcPr>
            <w:tcW w:type="dxa" w:w="2880"/>
          </w:tcPr>
          <w:p>
            <w:r>
              <w:rPr>
                <w:b/>
              </w:rPr>
            </w:r>
          </w:p>
        </w:tc>
      </w:tr>
      <w:tr>
        <w:tc>
          <w:tcPr>
            <w:tcW w:type="dxa" w:w="2880"/>
          </w:tcPr>
          <w:p>
            <w:r/>
            <w:r>
              <w:t>Medium</w:t>
            </w:r>
          </w:p>
        </w:tc>
        <w:tc>
          <w:tcPr>
            <w:tcW w:type="dxa" w:w="2880"/>
          </w:tcPr>
          <w:p>
            <w:r/>
            <w:r>
              <w:t>High</w:t>
            </w:r>
          </w:p>
        </w:tc>
        <w:tc>
          <w:tcPr>
            <w:tcW w:type="dxa" w:w="2880"/>
          </w:tcPr>
          <w:p>
            <w:r/>
            <w:r>
              <w:t>Lock the validation workshop date and logistics (venue, travel clearances for cross-border participants) during the inception phase rather than after draft submission; issue the draft learning paper and both draft policy briefs to CMU and thematic leads with a defined comment period so that validation-workshop time is used for substantive discussion, not first review.</w:t>
            </w:r>
          </w:p>
        </w:tc>
      </w:tr>
    </w:tbl>
    <w:p>
      <w:r>
        <w: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Team availability across the assignment period</w:t>
            </w:r>
          </w:p>
        </w:tc>
        <w:tc>
          <w:tcPr>
            <w:tcW w:type="dxa" w:w="2880"/>
          </w:tcPr>
          <w:p>
            <w:r>
              <w:rPr>
                <w:b/>
              </w:rPr>
            </w:r>
            <w:r>
              <w:rPr>
                <w:b/>
              </w:rPr>
              <w:t>Continuity of the Lead Consultant/Researcher and research assistant support is required from inception through the facilitated learning session; illness, competing commitments or delayed enumerator recruitment in any of the three countries could affect delivery.</w:t>
            </w:r>
          </w:p>
        </w:tc>
        <w:tc>
          <w:tcPr>
            <w:tcW w:type="dxa" w:w="2880"/>
          </w:tcPr>
          <w:p>
            <w:r>
              <w:rPr>
                <w:b/>
              </w:rPr>
            </w:r>
          </w:p>
        </w:tc>
      </w:tr>
      <w:tr>
        <w:tc>
          <w:tcPr>
            <w:tcW w:type="dxa" w:w="2880"/>
          </w:tcPr>
          <w:p>
            <w:r/>
            <w:r>
              <w:t>Low</w:t>
            </w:r>
          </w:p>
        </w:tc>
        <w:tc>
          <w:tcPr>
            <w:tcW w:type="dxa" w:w="2880"/>
          </w:tcPr>
          <w:p>
            <w:r/>
            <w:r>
              <w:t>Medium</w:t>
            </w:r>
          </w:p>
        </w:tc>
        <w:tc>
          <w:tcPr>
            <w:tcW w:type="dxa" w:w="2880"/>
          </w:tcPr>
          <w:p>
            <w:r/>
            <w:r>
              <w:t>Confirm availability of Mugove Kwashirai Chakurira as Lead Consultant/Researcher for the full 29 September to 15 December 2026 period at proposal stage; recruit and train country-based research assistants, including Edwin Aldrin Adenya, early in the inception phase so that field capacity is in place before the 31 October data collection deadline, with a documented handover protocol should any enumerator become unavailable.</w:t>
            </w:r>
          </w:p>
        </w:tc>
      </w:tr>
    </w:tbl>
    <w:p>
      <w:r>
        <w:t>|</w:t>
      </w:r>
    </w:p>
    <w:p>
      <w:r>
        <w:t>Risk management on this assignment is treated as a continuous function of the Lead Consultant, exercised at each stage of the twelve-week sequence rather than as a one-off inception exercise. Given that fieldwork spans three national jurisdictions with distinct security, administrative and linguistic conditions, the primary control is structural: routing all access, scheduling and stakeholder engagement decisions through the established national partner teams, TUPADO in Kenya, ICPDO and ROG in South Sudan, and ECC in Ethiopia, so that local knowledge of the operating environment in South Omo, Turkana and Eastern Equatoria informs field planning in real time rather than being retrofitted after a problem arises. Risks are logged and reviewed at each milestone gate, inception approval, completion of data collection, draft submission and the cross-border validation workshop, with the Consortium Management Unit informed promptly of any material change that could affect the 15 December 2026 delivery date. The second pillar of the approach is methodological discipline aimed specifically at protecting the credibility of the integration versus coordination findings that the learning paper must deliver. Because the assignment's value rests on being able to compare stronger and weaker examples of SPREAD integration across CAGs, VSLAs and CMDRR structures, controls against sampling bias, response bias and cross-country inconsistency are treated as core risk items, not secondary quality checks. Sensitive topics, including community perceptions of conflict, resource pressure and institutional trust, are handled through conflict-sensitive, GESI-aware facilitation protocols agreed with SPREAD technical and MEAL staff during inception, ensuring that data collection itself does no harm in an active cross-border conflict-affected environment.</w:t>
      </w:r>
    </w:p>
    <w:p>
      <w:r>
        <w:br w:type="page"/>
      </w:r>
    </w:p>
    <w:p>
      <w:pPr>
        <w:pStyle w:val="Heading1"/>
      </w:pPr>
      <w:r>
        <w:t>Proposed Team &amp; Core Experts</w:t>
      </w:r>
    </w:p>
    <w:p>
      <w:r>
        <w:t>TEAM COMPOSITION</w:t>
      </w:r>
    </w:p>
    <w:p>
      <w:r>
        <w:t>The assignment calls for a compact team capable of delivering a learning paper and two differentiated policy briefs across three fragile border regions within a compressed 12-week window, coordinated through the Consortium Management Unit and the national partner teams. Cortech proposes two named individuals against the roles specified in the Terms of Reference: a Lead Consultant/Researcher responsible for the desk review, methodology, learning paper and both policy briefs, and a Research Assistant/Enumerator responsible for field-level KII and FGD facilitation and for supporting the recruitment and training of additional country-based enumerators as required under the assignment's administrative provisions. Role coverage against the ToR's two stated personnel categories is complete, and both named individuals are recorded as available for the full assignment period. Cortech's evidence pack does not include conferred degree detail for either expert; where the scored criterion on academic qualifications requires confirmation beyond role and availability, this is marked [INSUFFICIENT EVIDENCE] rather than asserted, and full CVs are appended separately as required under Section A.5 of the Instructions. Lead Consultant/Researcher: Mugove Kwashirai Chakurira will lead the assignment from inception to final reporting, holding responsibility for the operational definition of "integration" in the SPREAD context, the design of the case-study protocol comparing stronger and weaker integration sites across South Omo, Turkana and Eastern Equatoria, and authorship of the learning paper and both 4 to 8 page policy briefs. Chakurira is recorded as available across the full 29 September to 15 December 2026 delivery window, matching the assignment's continuous inception-to-final-reporting structure. In this role, Chakurira will engage directly with the SPREAD baseline (2024), the Mid-Term Review (2025) and the Year 3/MTR reflection workshop outputs before finalising data collection tools, and will report to the Consortium Management Unit and relevant thematic leads through the inception briefing and subsequent review sessions specified in the ToR. Specific academic credentials (degree, field, publication record in peer-reviewed or policy journals) are not detailed in the evidence available to this proposal and are marked [INSUFFICIENT EVIDENCE]; this gap is disclosed rather than filled, consistent with the requirement that qualifications be independently verifiable at CV stage. Chakurira's assigned role directly satisfies the ToR's requirement for a lead researcher able to translate community-level findings into "SMART, evidence-based recommendations on integration versus coordination," the core output the learning paper and both policy briefs must deliver. Research Assistant/Enumerator: Edwin Aldrin Adenya will support field data collection across the three assignment countries, including Key Informant Interviews and Focus Group Discussions with pastoralists/agro-pastoralists, fisherfolk, farmers and farmer groups, formal and informal cross-border traders, CAG and VSLA members, traditional leaders and local authorities. Adenya is recorded as available for the same delivery window and will assist in the recruitment and training of additional country-based enumerators, coordinated through the national partner teams, TUPADO in Kenya, ICPDO and ROG in South Sudan, and ECC in Ethiopia, using the harmonised tools developed at inception. This role directly satisfies the ToR's explicit requirement that "the consultant will recruit and train any required research assistants/enumerators" and supports the disaggregation of data collection by sex, age and disability across the specified target groups. No gaps requiring external recruitment have been identified against the two personnel roles stated in the Terms of Reference; role coverage stands at 100 percent. Both named team members are confirmed available across the full 29 September 2026 to 15 December 2026 assignment period, aligning with the inception report deadline of 13 October, data collection completion by 31 October, draft learning paper and both draft policy briefs by 21 November, the single cross-border validation workshop on 3 December, and final deliverables by 15 December 2026.</w:t>
      </w:r>
    </w:p>
    <w:p>
      <w:r>
        <w:br w:type="page"/>
      </w:r>
    </w:p>
    <w:p>
      <w:pPr>
        <w:pStyle w:val="Heading1"/>
      </w:pPr>
      <w:r>
        <w:t>Work Plan &amp; Timeline</w:t>
      </w:r>
    </w:p>
    <w:p>
      <w:pPr>
        <w:pStyle w:val="Heading2"/>
      </w:pPr>
      <w:r>
        <w:t>Work Plan and Implementation Schedule</w:t>
      </w:r>
    </w:p>
    <w:p>
      <w:r>
        <w:t xml:space="preserve">Cortech Consulting Group will deliver Learning Paper 2 for SPREAD over the approximately 12-week period specified in the Terms of Reference, running from consultant on-boarding on 29 September 2026 through final deliverable submission on 15 December 2026. The assignment is structured as five sequential phases, each gated by an approval or milestone stated in the ToR, with field-level activities in South Omo, Turkana and Eastern Equatoria coordinated in parallel through the national partner teams to keep the overall schedule intact. This phase refines the case-study selection criteria, KII/FGD guides and community case-study protocol in consultation with SPREAD technical and MEAL staff, and finalises the sampling frame across peacebuilding/resilience structures, livestock, fishing, farming and cross-border trade (ICBT). Output: Inception Report, including methodology, sampling justification, work plan and ethical/risk mitigation measures, followed by an Inception Briefing with the Consortium Management Unit (CMU) and thematic leads. This phase proceeds to field data collection only once the Inception Report and tools are approved, matching the ToR's 13 October 2026 milestone. </w:t>
      </w:r>
      <w:r>
        <w:rPr>
          <w:b/>
        </w:rPr>
        <w:t>Phase 2: Field Data Collection (Weeks 3-5, 14 to 31 October 2026)</w:t>
      </w:r>
      <w:r>
        <w:t xml:space="preserve"> Data collection is coordinated across Kenya (TUPADO), South Sudan (ICPDO, ROG) and Ethiopia (ECC) using harmonised tools to guarantee cross-country comparability. Research Assistant/Enumerator Edwin Aldrin Adenya will support recruitment and training of country-based enumerators, with KIIs and FGDs conducted with pastoralists/agro-pastoralists, fisherfolk, farmers and farmer groups, formal and informal cross-border traders, CAG and VSLA members, women- and youth-led CSOs, traditional leaders, and local/national authorities, disaggregated by sex, age and disability. Community case studies are selected in matched pairs of stronger and weaker integration sites to compare how CAGs, VSLAs, CMDRRs and observatory platforms interact with pre-existing market committees, peace committees and savings groups. This phase runs in parallel across the three countries rather than sequentially by country, closing by 31 October 2026 as fixed in the ToR. </w:t>
      </w:r>
      <w:r>
        <w:rPr>
          <w:b/>
        </w:rPr>
        <w:t>Phase 3: Analysis and Draft Reporting (Weeks 6-8, 1 to 21 November 2026)</w:t>
      </w:r>
      <w:r>
        <w:t xml:space="preserve"> Data is cleaned, triangulated against earlier SPREAD assessments and analysed jointly with a review session with the SPREAD team to deepen understanding of findings, drawing on SPREAD's Outcome Harvesting practice. This phase runs the drafting of the learning paper and the two policy briefs in parallel: one on integration versus coordination for donors, IGAD and governments, and one on human security and regional stability for EU and Danish policymakers with onward framing for a wider public. Output: draft learning paper and both draft policy briefs, submitted to DCA by 21 November 2026 for review by the CMU and relevant thematic leads. </w:t>
      </w:r>
      <w:r>
        <w:rPr>
          <w:b/>
        </w:rPr>
        <w:t>Phase 4: Validation (Weeks 9-10, 22 November to 3 December 2026)</w:t>
      </w:r>
      <w:r>
        <w:t xml:space="preserve"> Following DCA and CMU review comments, Cortech facilitates the single cross-border validation workshop bringing together Consortium members (TUPADO, ICPDO, ROG, ECC), IGAD and other key stakeholders from all three countries, held by 3 December 2026 as specified in the ToR. </w:t>
      </w:r>
      <w:r>
        <w:rPr>
          <w:b/>
        </w:rPr>
        <w:t>Phase 5: Finalisation and Delivery (Weeks 11-12, 4 to 15 December 2026)</w:t>
      </w:r>
      <w:r>
        <w:t xml:space="preserve"> Validation feedback is incorporated into the final learning paper with SMART, evidence-based recommendations on integration versus coordination, both final policy briefs, anonymised case-study files and cleaned raw data, the executive management summary and summary PowerPoint, concluding with a facilitated results presentation and learning session with DCA and consortium partners, all delivered by 15 December 2026.</w:t>
      </w:r>
    </w:p>
    <w:p>
      <w:pPr>
        <w:pStyle w:val="Heading3"/>
      </w:pPr>
      <w:r>
        <w:t>Sequencing Note</w:t>
      </w:r>
    </w:p>
    <w:p>
      <w:r>
        <w:t>Inception, analysis/drafting, and finalisation are sequential and gated by DCA/CMU approval, in line with the ToR requirement that field work begin only after tool approval. Within Phase 2, the three-country field programmes run in parallel under harmonised protocols, and within Phase 3, the learning paper and both policy briefs are drafted concurrently by the same evidence base to keep their distinct audiences and messaging aligned without delaying either output.</w:t>
      </w:r>
    </w:p>
    <w:p>
      <w:pPr>
        <w:pStyle w:val="Heading3"/>
      </w:pPr>
      <w:r>
        <w:t>Gantt Chart</w:t>
      </w:r>
    </w:p>
    <w:tbl>
      <w:tblPr>
        <w:tblStyle w:val="TableGrid"/>
        <w:tblW w:type="auto" w:w="0"/>
        <w:tblLook w:firstColumn="1" w:firstRow="1" w:lastColumn="0" w:lastRow="0" w:noHBand="0" w:noVBand="1" w:val="04A0"/>
      </w:tblPr>
      <w:tblGrid>
        <w:gridCol w:w="617"/>
        <w:gridCol w:w="617"/>
        <w:gridCol w:w="617"/>
        <w:gridCol w:w="617"/>
        <w:gridCol w:w="617"/>
        <w:gridCol w:w="617"/>
        <w:gridCol w:w="617"/>
        <w:gridCol w:w="617"/>
        <w:gridCol w:w="617"/>
        <w:gridCol w:w="617"/>
        <w:gridCol w:w="617"/>
        <w:gridCol w:w="617"/>
        <w:gridCol w:w="617"/>
        <w:gridCol w:w="617"/>
      </w:tblGrid>
      <w:tr>
        <w:tc>
          <w:tcPr>
            <w:tcW w:type="dxa" w:w="617"/>
          </w:tcPr>
          <w:p>
            <w:r>
              <w:rPr>
                <w:b/>
              </w:rPr>
            </w:r>
            <w:r>
              <w:rPr>
                <w:b/>
              </w:rPr>
              <w:t>Phase</w:t>
            </w:r>
          </w:p>
        </w:tc>
        <w:tc>
          <w:tcPr>
            <w:tcW w:type="dxa" w:w="617"/>
          </w:tcPr>
          <w:p>
            <w:r>
              <w:rPr>
                <w:b/>
              </w:rPr>
            </w:r>
            <w:r>
              <w:rPr>
                <w:b/>
              </w:rPr>
              <w:t>Activity</w:t>
            </w:r>
          </w:p>
        </w:tc>
        <w:tc>
          <w:tcPr>
            <w:tcW w:type="dxa" w:w="617"/>
          </w:tcPr>
          <w:p>
            <w:r>
              <w:rPr>
                <w:b/>
              </w:rPr>
            </w:r>
            <w:r>
              <w:rPr>
                <w:b/>
              </w:rPr>
              <w:t>Wk1</w:t>
            </w:r>
          </w:p>
        </w:tc>
        <w:tc>
          <w:tcPr>
            <w:tcW w:type="dxa" w:w="617"/>
          </w:tcPr>
          <w:p>
            <w:r>
              <w:rPr>
                <w:b/>
              </w:rPr>
            </w:r>
            <w:r>
              <w:rPr>
                <w:b/>
              </w:rPr>
              <w:t>Wk2</w:t>
            </w:r>
          </w:p>
        </w:tc>
        <w:tc>
          <w:tcPr>
            <w:tcW w:type="dxa" w:w="617"/>
          </w:tcPr>
          <w:p>
            <w:r>
              <w:rPr>
                <w:b/>
              </w:rPr>
            </w:r>
            <w:r>
              <w:rPr>
                <w:b/>
              </w:rPr>
              <w:t>Wk3</w:t>
            </w:r>
          </w:p>
        </w:tc>
        <w:tc>
          <w:tcPr>
            <w:tcW w:type="dxa" w:w="617"/>
          </w:tcPr>
          <w:p>
            <w:r>
              <w:rPr>
                <w:b/>
              </w:rPr>
            </w:r>
            <w:r>
              <w:rPr>
                <w:b/>
              </w:rPr>
              <w:t>Wk4</w:t>
            </w:r>
          </w:p>
        </w:tc>
        <w:tc>
          <w:tcPr>
            <w:tcW w:type="dxa" w:w="617"/>
          </w:tcPr>
          <w:p>
            <w:r>
              <w:rPr>
                <w:b/>
              </w:rPr>
            </w:r>
            <w:r>
              <w:rPr>
                <w:b/>
              </w:rPr>
              <w:t>Wk5</w:t>
            </w:r>
          </w:p>
        </w:tc>
        <w:tc>
          <w:tcPr>
            <w:tcW w:type="dxa" w:w="617"/>
          </w:tcPr>
          <w:p>
            <w:r>
              <w:rPr>
                <w:b/>
              </w:rPr>
            </w:r>
            <w:r>
              <w:rPr>
                <w:b/>
              </w:rPr>
              <w:t>Wk6</w:t>
            </w:r>
          </w:p>
        </w:tc>
        <w:tc>
          <w:tcPr>
            <w:tcW w:type="dxa" w:w="617"/>
          </w:tcPr>
          <w:p>
            <w:r>
              <w:rPr>
                <w:b/>
              </w:rPr>
            </w:r>
            <w:r>
              <w:rPr>
                <w:b/>
              </w:rPr>
              <w:t>Wk7</w:t>
            </w:r>
          </w:p>
        </w:tc>
        <w:tc>
          <w:tcPr>
            <w:tcW w:type="dxa" w:w="617"/>
          </w:tcPr>
          <w:p>
            <w:r>
              <w:rPr>
                <w:b/>
              </w:rPr>
            </w:r>
            <w:r>
              <w:rPr>
                <w:b/>
              </w:rPr>
              <w:t>Wk8</w:t>
            </w:r>
          </w:p>
        </w:tc>
        <w:tc>
          <w:tcPr>
            <w:tcW w:type="dxa" w:w="617"/>
          </w:tcPr>
          <w:p>
            <w:r>
              <w:rPr>
                <w:b/>
              </w:rPr>
            </w:r>
            <w:r>
              <w:rPr>
                <w:b/>
              </w:rPr>
              <w:t>Wk9</w:t>
            </w:r>
          </w:p>
        </w:tc>
        <w:tc>
          <w:tcPr>
            <w:tcW w:type="dxa" w:w="617"/>
          </w:tcPr>
          <w:p>
            <w:r>
              <w:rPr>
                <w:b/>
              </w:rPr>
            </w:r>
            <w:r>
              <w:rPr>
                <w:b/>
              </w:rPr>
              <w:t>Wk10</w:t>
            </w:r>
          </w:p>
        </w:tc>
        <w:tc>
          <w:tcPr>
            <w:tcW w:type="dxa" w:w="617"/>
          </w:tcPr>
          <w:p>
            <w:r>
              <w:rPr>
                <w:b/>
              </w:rPr>
            </w:r>
            <w:r>
              <w:rPr>
                <w:b/>
              </w:rPr>
              <w:t>Wk11</w:t>
            </w:r>
          </w:p>
        </w:tc>
        <w:tc>
          <w:tcPr>
            <w:tcW w:type="dxa" w:w="617"/>
          </w:tcPr>
          <w:p>
            <w:r>
              <w:rPr>
                <w:b/>
              </w:rPr>
            </w:r>
            <w:r>
              <w:rPr>
                <w:b/>
              </w:rPr>
              <w:t>Wk12</w:t>
            </w:r>
          </w:p>
        </w:tc>
      </w:tr>
    </w:tbl>
    <w:p>
      <w:r>
        <w:t>| 1. Inception | Desk review (baseline, MTR, DCA guidance) | X | X | | | | | | | | | | | | 1. Inception | Tool/protocol design and sampling frame | X | X | | | | | | | | | | | | 1. Inception | Inception Report submission and approval | | X | | | | | | | | | | | | 1. Inception | Inception briefing with CMU/thematic leads | | X | | | | | | | | | | | | 2. Field Data Collection | Enumerator recruitment/training (3 countries) | | | X | | | | | | | | | | | 2. Field Data Collection | KIIs/FGDs, case studies (Turkana, South Omo, Eastern Equatoria) | | | X | X | X | | | | | | | | | 2. Field Data Collection | Data quality checks and coordination via TUPADO/ICPDO/ROG/ECC | | | X | X | X | | | | | | | | | 3. Analysis &amp; Drafting | Data cleaning, triangulation, SPREAD review session | | | | | | X | X | | | | | | | 3. Analysis &amp; Drafting | Draft learning paper | | | | | | X | X | X | | | | | | 3. Analysis &amp; Drafting | Draft policy brief (integration/coordination) | | | | | | X | X | X | | | | | | 3. Analysis &amp; Drafting | Draft policy brief (human security/stability) | | | | | | X | X | X | | | | | | 4. Validation | CMU/DCA review of drafts | | | | | | | | | X | | | | | 4. Validation | Cross-border validation workshop | | | | | | | | | | X | | | | 5. Finalisation | Incorporate feedback into final outputs | | | | | | | | | | X | X | | | 5. Finalisation | Final learning paper and both policy briefs | | | | | | | | | | | X | X | | 5. Finalisation | Executive summary, PowerPoint, results session | | | | | | | | | | | | X |</w:t>
      </w:r>
    </w:p>
    <w:p>
      <w:r>
        <w:br w:type="page"/>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