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13D"/>
          <w:sz w:val="32"/>
        </w:rPr>
        <w:t>CORTECH CONSULTING GROUP</w:t>
      </w:r>
    </w:p>
    <w:p>
      <w:pPr>
        <w:jc w:val="center"/>
      </w:pPr>
      <w:r>
        <w:rPr>
          <w:i/>
        </w:rPr>
        <w:t>Expression of Interest</w:t>
      </w:r>
    </w:p>
    <w:p/>
    <w:p>
      <w:pPr>
        <w:jc w:val="center"/>
      </w:pPr>
      <w:r>
        <w:rPr>
          <w:b/>
          <w:sz w:val="28"/>
        </w:rPr>
        <w:t>Fertilizer Market Assessment - Kenya and Selected Regional Markets</w:t>
      </w:r>
    </w:p>
    <w:p>
      <w:pPr>
        <w:jc w:val="center"/>
      </w:pPr>
      <w:r>
        <w:t>Client: International Finance Corporation (IFC) / World Bank Group</w:t>
        <w:br/>
      </w:r>
      <w:r>
        <w:t>Submitted by: Cortech Consulting Group</w:t>
        <w:br/>
      </w:r>
      <w:r>
        <w:t>Date: 01 September 2026</w:t>
      </w:r>
    </w:p>
    <w:p>
      <w:r>
        <w:br w:type="page"/>
      </w:r>
    </w:p>
    <w:p>
      <w:r>
        <w:fldChar w:fldCharType="begin"/>
        <w:instrText xml:space="preserve">TOC \o "1-1" \h \z \u</w:instrText>
        <w:fldChar w:fldCharType="separate"/>
        <w:fldChar w:fldCharType="end"/>
      </w:r>
    </w:p>
    <w:p>
      <w:r>
        <w:br w:type="page"/>
      </w:r>
    </w:p>
    <w:p>
      <w:pPr>
        <w:pStyle w:val="Heading1"/>
      </w:pPr>
      <w:r>
        <w:t>Cover Letter</w:t>
      </w:r>
    </w:p>
    <w:p>
      <w:r>
        <w:rPr>
          <w:b/>
        </w:rPr>
        <w:t>EXPRESSION OF INTEREST</w:t>
      </w:r>
    </w:p>
    <w:p>
      <w:r>
        <w:rPr>
          <w:b/>
        </w:rPr>
        <w:t>Fertilizer Market Assessment – Kenya and Selected Regional Markets</w:t>
      </w:r>
      <w:r>
        <w:t xml:space="preserve"> </w:t>
      </w:r>
      <w:r>
        <w:rPr>
          <w:b/>
        </w:rPr>
        <w:t>Procurement Number / Donor Reference: 0002023409</w:t>
      </w:r>
    </w:p>
    <w:p>
      <w:r>
        <w:t>To: The Selection Committee, International Finance Corporation (IFC), World Bank Group Submitted via: WBGeProcure RFx Now</w:t>
      </w:r>
    </w:p>
    <w:p>
      <w:r>
        <w:t>Dear Selection Committee,</w:t>
      </w:r>
    </w:p>
    <w:p>
      <w:r>
        <w:t>Cortech Consulting Group is pleased to submit this Expression of Interest for the Fertilizer Market Assessment – Kenya and Selected Regional Markets, issued by the International Finance Corporation (IFC) on behalf of the World Bank Group. We understand this assignment is intended to deliver an independent, decision-oriented assessment of the fertilizer market in Kenya and selected regional markets across East Africa, covering demand and supply dynamics segmented by product, crop, geography, and distribution channel; competitive landscape and market structure, including imports, blending, distribution, and routes to market; value-chain economics, including the landed-to-farm-gate price build-up, historical pricing, and relevant global benchmarks; public procurement and subsidy schemes alongside open-market dynamics; and the market inefficiencies, constraints, and commercially viable pathways that will inform private-sector investment decisions. We recognise that the outputs — a market assessment report, an executive-level summary presentation, and supporting Excel datasets where available — are intended for use by investors, project developers, financial institutions, and comparable clients, and that the assignment is expected to run to a tight timeframe of approximately eight weeks from inception. This is a data-intensive, decision-facing exercise rather than a descriptive one, and our interest is grounded in that understanding.</w:t>
      </w:r>
    </w:p>
    <w:p>
      <w:r>
        <w:t>Cortech's relevant experience lies at the intersection of agricultural market systems analysis and public-sector fee and subsidy structures in Kenya. In 2025, Cortech undertook the Agritech landscape study in Kenya for Heifer International Kenya under the AYuTe Africa Challenge, mapping actor networks, resource flows, and systemic bottlenecks within Kenya's agritech ecosystem to identify catalytic entry points for future investment — a diagnostic exercise structurally comparable to the market-structure and route-to-market analysis this assignment requires. In 2026, Cortech delivered the Kenya Livestock Marketing and Resilience Project (KLMP) Annual Outcome Monitoring Survey for Heifer International Kenya, combining primary field data collection with quantitative outcome analysis across East African livestock marketing systems, and demonstrating our capacity to translate market and pricing data into evidence usable by a development-finance client on a defined reporting cycle. Separately, in 2025, Cortech developed the Guidelines for Harmonized Licensing Procedures and Fees for the County Governments for the State Department for Housing and Urban Development under the Kenya Urban Support Program (KUSP II), an assignment that required close analysis of public fee structures, licensing regimes, and institutional procurement processes at county level — directly relevant to the public procurement and subsidy dimension of this fertilizer assessment. Taken together, these assignments evidence our capability across market-systems diagnostics, quantitative and qualitative data integration, and analysis of public-sector pricing and procurement mechanisms in Kenya.</w:t>
      </w:r>
    </w:p>
    <w:p>
      <w:r>
        <w:t>Cortech is headquartered in Nairobi, with additional presence in Mogadishu and London, and maintains established working relationships with the World Bank and a network of donor and government clients across Kenya and East Africa. For this assignment, Cortech will field a senior team combining a lead market/agribusiness analyst, a value-chain economics specialist, and quantitative research support experienced in structured data collection and dataset construction, complemented where required by additional agricultural-input market expertise to ensure full coverage of the fertilizer sector's pricing, subsidy, and route-to-market dimensions. Cortech confirms its availability to mobilise within the anticipated eight-week delivery window and to commit the staffing and logistical capacity required to complete primary and secondary research, stakeholder engagement, and reporting to the standard the assignment demands. Cortech further confirms that it has no actual or potential conflict of interest in relation to this assignment, its funding agencies, or the markets under review, and will disclose promptly any circumstance that could give rise to one should it arise during the course of the work.</w:t>
      </w:r>
    </w:p>
    <w:p>
      <w:r>
        <w:t>Should Cortech be shortlisted, we confirm our readiness to submit a full technical and financial proposal addressing the detailed methodology, work plan, and team deployment for the Fertilizer Market Assessment – Kenya and Selected Regional Markets within the timeframe set for the RFP phase. We thank the Committee for its consideration of this Expression of Interest and remain available to provide any clarification or supporting documentation required.</w:t>
      </w:r>
    </w:p>
    <w:p>
      <w:r>
        <w:br w:type="page"/>
      </w:r>
    </w:p>
    <w:p>
      <w:pPr>
        <w:pStyle w:val="Heading1"/>
      </w:pPr>
      <w:r>
        <w:t>Firm Profile</w:t>
      </w:r>
    </w:p>
    <w:p>
      <w:pPr>
        <w:pStyle w:val="Heading2"/>
      </w:pPr>
      <w:r>
        <w:t>Presentation of Cortech Consulting Group</w:t>
      </w:r>
    </w:p>
    <w:p>
      <w:r>
        <w:t>Cortech Consulting Group is an international strategic advisory firm founded in 2015, registered as a company in Kenya and the United Kingdom and licensed to operate in Somalia. The firm operates from three offices — Nairobi, Mogadishu, and London — giving it a resident, on-the-ground presence in the two markets named in this assignment, Kenya and East Africa, rather than a fly-in consulting model. This footprint is directly relevant to the qualification criterion on organizational experience in Kenya and East Africa: Cortech's core staff and network consultants operate daily out of Nairobi, with established relationships across Kenyan county governments, national ministries, and regional civil-society and private-sector actors that a market assessment of this kind depends on for stakeholder access.</w:t>
      </w:r>
    </w:p>
    <w:p>
      <w:r>
        <w:t>Cortech's thematic competence has been built through assignments that combine market analysis, value-chain economics, and quantitative-qualitative research design for institutional and donor clients. The firm has undertaken an Agritech landscape study for Heifer International Kenya under the AYuTe Africa Challenge, analyzing network linkages, resource flows, and systemic bottlenecks within Kenya's agricultural-input ecosystem — work that required the same blend of actor mapping, competitive-landscape analysis, and constraint diagnosis that this assignment's scope items on market structure and market inefficiencies call for. Cortech has also delivered the Kenya Livestock Marketing and Resilience Project (KLMP) Annual Outcome Monitoring Survey for Heifer International Kenya, applying mixed-methods research to livestock market systems across pastoral East Africa, and a labour market study for Kituo Cha Sheria that translated primary research into actionable policy recommendations for decision-makers — evidence of the firm's capacity to move from data collection to decision-oriented outputs. A remuneration fee survey for GIZ, covering multiple regions of Kenya with structured interviews and data-validation workshops, further demonstrates Cortech's capability in structured pricing and cost-data research, and its work for the Global Alliance for Improved Nutrition (GAIN) on nutrition-indicator data collection in Kenya's agrifood systems shows familiarity with agricultural value chains and field-based primary research under IRB-cleared protocols.</w:t>
      </w:r>
    </w:p>
    <w:p>
      <w:r>
        <w:t>Cortech's client base includes the World Bank, alongside institutional clients such as GIZ, UNICEF, UNHCR, and multiple county and national government bodies in Kenya, giving the firm working familiarity with World Bank Group reporting expectations and procurement processes. The firm is ISO certified and maintains child-safeguarding and PSEA compliance, satisfying standard institutional-integrity expectations for World Bank Group-funded assignments.</w:t>
      </w:r>
    </w:p>
    <w:p>
      <w:r>
        <w:t>For this Fertilizer Market Assessment - Kenya and Selected Regional Markets, Cortech's value proposition rests on three elements: proven market-assessment and value-chain research methodology transferable to the fertilizer sector; resident East Africa presence enabling primary-data access to distributors, importers, and market participants within the eight-week timeline; and a track record of producing outputs used by institutional and donor clients for decision-making. Cortech recognizes that fertilizer-sector pricing, subsidy, and public-procurement analysis calls for domain-specific expertise beyond the firm's core thematic areas, and addresses this directly in the Proposed Team section through the engagement of a dedicated agricultural-markets/fertilizer specialist, ensuring the assignment's full scope — demand-supply dynamics, landed-to-farm-gate price build-up, and routes to market — is covered by named, qualified expertise rather than by organizational experience alone.</w:t>
      </w:r>
    </w:p>
    <w:p>
      <w:r>
        <w:br w:type="page"/>
      </w:r>
    </w:p>
    <w:p>
      <w:pPr>
        <w:pStyle w:val="Heading1"/>
      </w:pPr>
      <w:r>
        <w:t>Relevant Experience</w:t>
      </w:r>
    </w:p>
    <w:p>
      <w:pPr>
        <w:pStyle w:val="Heading2"/>
      </w:pPr>
      <w:r>
        <w:t>Relevant Experience of Completed Assignments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Project</w:t>
            </w:r>
          </w:p>
        </w:tc>
        <w:tc>
          <w:tcPr>
            <w:tcW w:type="dxa" w:w="1440"/>
          </w:tcPr>
          <w:p>
            <w:r>
              <w:rPr>
                <w:b/>
              </w:rPr>
            </w:r>
            <w:r>
              <w:rPr>
                <w:b/>
              </w:rPr>
              <w:t>Client</w:t>
            </w:r>
          </w:p>
        </w:tc>
        <w:tc>
          <w:tcPr>
            <w:tcW w:type="dxa" w:w="1440"/>
          </w:tcPr>
          <w:p>
            <w:r>
              <w:rPr>
                <w:b/>
              </w:rPr>
            </w:r>
            <w:r>
              <w:rPr>
                <w:b/>
              </w:rPr>
              <w:t>Country</w:t>
            </w:r>
          </w:p>
        </w:tc>
        <w:tc>
          <w:tcPr>
            <w:tcW w:type="dxa" w:w="1440"/>
          </w:tcPr>
          <w:p>
            <w:r>
              <w:rPr>
                <w:b/>
              </w:rPr>
            </w:r>
            <w:r>
              <w:rPr>
                <w:b/>
              </w:rPr>
              <w:t>Year</w:t>
            </w:r>
          </w:p>
        </w:tc>
        <w:tc>
          <w:tcPr>
            <w:tcW w:type="dxa" w:w="1440"/>
          </w:tcPr>
          <w:p>
            <w:r>
              <w:rPr>
                <w:b/>
              </w:rPr>
            </w:r>
            <w:r>
              <w:rPr>
                <w:b/>
              </w:rPr>
              <w:t>Scope delivered</w:t>
            </w:r>
          </w:p>
        </w:tc>
        <w:tc>
          <w:tcPr>
            <w:tcW w:type="dxa" w:w="1440"/>
          </w:tcPr>
          <w:p>
            <w:r>
              <w:rPr>
                <w:b/>
              </w:rPr>
            </w:r>
            <w:r>
              <w:rPr>
                <w:b/>
              </w:rPr>
              <w:t>Relevance to this assignment</w:t>
            </w:r>
          </w:p>
        </w:tc>
      </w:tr>
      <w:tr>
        <w:tc>
          <w:tcPr>
            <w:tcW w:type="dxa" w:w="1440"/>
          </w:tcPr>
          <w:p>
            <w:r/>
            <w:r>
              <w:t>Agritech Landscape Study, AYuTe Africa Challenge (Agriculture, Youth, and Technology)</w:t>
            </w:r>
          </w:p>
        </w:tc>
        <w:tc>
          <w:tcPr>
            <w:tcW w:type="dxa" w:w="1440"/>
          </w:tcPr>
          <w:p>
            <w:r/>
            <w:r>
              <w:t>Heifer International Kenya</w:t>
            </w:r>
          </w:p>
        </w:tc>
        <w:tc>
          <w:tcPr>
            <w:tcW w:type="dxa" w:w="1440"/>
          </w:tcPr>
          <w:p>
            <w:r/>
            <w:r>
              <w:t>Kenya</w:t>
            </w:r>
          </w:p>
        </w:tc>
        <w:tc>
          <w:tcPr>
            <w:tcW w:type="dxa" w:w="1440"/>
          </w:tcPr>
          <w:p>
            <w:r/>
            <w:r>
              <w:t>2025</w:t>
            </w:r>
          </w:p>
        </w:tc>
        <w:tc>
          <w:tcPr>
            <w:tcW w:type="dxa" w:w="1440"/>
          </w:tcPr>
          <w:p>
            <w:r/>
            <w:r>
              <w:t>Diagnostic and strategic mapping of Kenya's youth-focused agritech ecosystem, including analysis of network linkages, resource flows, and systemic bottlenecks affecting sector scale-up; findings compiled into a strategic report to guide programme entry points</w:t>
            </w:r>
          </w:p>
        </w:tc>
        <w:tc>
          <w:tcPr>
            <w:tcW w:type="dxa" w:w="1440"/>
          </w:tcPr>
          <w:p>
            <w:r/>
            <w:r>
              <w:t>Demonstrates capability to map market structure, actor networks, and systemic constraints in an agricultural-input-adjacent ecosystem in Kenya, directly transferable to the fertilizer market's competitive landscape and routes-to-market analysis</w:t>
            </w:r>
          </w:p>
        </w:tc>
      </w:tr>
      <w:tr>
        <w:tc>
          <w:tcPr>
            <w:tcW w:type="dxa" w:w="1440"/>
          </w:tcPr>
          <w:p>
            <w:r/>
            <w:r>
              <w:t>Survey of Applicable Expert Remuneration Fees in Comparable Organizations in Kenya</w:t>
            </w:r>
          </w:p>
        </w:tc>
        <w:tc>
          <w:tcPr>
            <w:tcW w:type="dxa" w:w="1440"/>
          </w:tcPr>
          <w:p>
            <w:r/>
            <w:r>
              <w:t>GIZ (Deutsche Gesellschaft für Internationale Zusammenarbeit GmbH)</w:t>
            </w:r>
          </w:p>
        </w:tc>
        <w:tc>
          <w:tcPr>
            <w:tcW w:type="dxa" w:w="1440"/>
          </w:tcPr>
          <w:p>
            <w:r/>
            <w:r>
              <w:t>Kenya</w:t>
            </w:r>
          </w:p>
        </w:tc>
        <w:tc>
          <w:tcPr>
            <w:tcW w:type="dxa" w:w="1440"/>
          </w:tcPr>
          <w:p>
            <w:r/>
            <w:r>
              <w:t>2024</w:t>
            </w:r>
          </w:p>
        </w:tc>
        <w:tc>
          <w:tcPr>
            <w:tcW w:type="dxa" w:w="1440"/>
          </w:tcPr>
          <w:p>
            <w:r/>
            <w:r>
              <w:t>Nationwide fee-structure survey across comparable organizations covering all regions and experience levels, using structured interviews and data validation workshops</w:t>
            </w:r>
          </w:p>
        </w:tc>
        <w:tc>
          <w:tcPr>
            <w:tcW w:type="dxa" w:w="1440"/>
          </w:tcPr>
          <w:p>
            <w:r/>
            <w:r>
              <w:t>Evidences a benchmarking methodology for price and cost-structure comparison across a national market, the same analytical logic required for landed-to-farm-gate price build-up and historical pricing benchmarks</w:t>
            </w:r>
          </w:p>
        </w:tc>
      </w:tr>
      <w:tr>
        <w:tc>
          <w:tcPr>
            <w:tcW w:type="dxa" w:w="1440"/>
          </w:tcPr>
          <w:p>
            <w:r/>
            <w:r>
              <w:t>Consulting Services for the Development of Guidelines for Harmonized Licensing Procedures and Fees for the County Governments (KUSP II)</w:t>
            </w:r>
          </w:p>
        </w:tc>
        <w:tc>
          <w:tcPr>
            <w:tcW w:type="dxa" w:w="1440"/>
          </w:tcPr>
          <w:p>
            <w:r/>
            <w:r>
              <w:t>State Department for Housing and Urban Development, Kenya</w:t>
            </w:r>
          </w:p>
        </w:tc>
        <w:tc>
          <w:tcPr>
            <w:tcW w:type="dxa" w:w="1440"/>
          </w:tcPr>
          <w:p>
            <w:r/>
            <w:r>
              <w:t>Kenya</w:t>
            </w:r>
          </w:p>
        </w:tc>
        <w:tc>
          <w:tcPr>
            <w:tcW w:type="dxa" w:w="1440"/>
          </w:tcPr>
          <w:p>
            <w:r/>
            <w:r>
              <w:t>2025</w:t>
            </w:r>
          </w:p>
        </w:tc>
        <w:tc>
          <w:tcPr>
            <w:tcW w:type="dxa" w:w="1440"/>
          </w:tcPr>
          <w:p>
            <w:r/>
            <w:r>
              <w:t>Harmonization of licensing procedures and fee structures across Kenyan county governments, combining legal/institutional review, public finance analysis, and stakeholder engagement</w:t>
            </w:r>
          </w:p>
        </w:tc>
        <w:tc>
          <w:tcPr>
            <w:tcW w:type="dxa" w:w="1440"/>
          </w:tcPr>
          <w:p>
            <w:r/>
            <w:r>
              <w:t>Direct experience analyzing government fee schedules and regulatory/procurement frameworks, closely analogous to the assessment's requirement to examine public procurement and subsidy schemes alongside open-market dynamics</w:t>
            </w:r>
          </w:p>
        </w:tc>
      </w:tr>
      <w:tr>
        <w:tc>
          <w:tcPr>
            <w:tcW w:type="dxa" w:w="1440"/>
          </w:tcPr>
          <w:p>
            <w:r/>
            <w:r>
              <w:t>Data Collection on Child and Adolescent Centred Nutrition Indicators (CAN-I) in Kenya</w:t>
            </w:r>
          </w:p>
        </w:tc>
        <w:tc>
          <w:tcPr>
            <w:tcW w:type="dxa" w:w="1440"/>
          </w:tcPr>
          <w:p>
            <w:r/>
            <w:r>
              <w:t>The Global Alliance for Improved Nutrition (GAIN)</w:t>
            </w:r>
          </w:p>
        </w:tc>
        <w:tc>
          <w:tcPr>
            <w:tcW w:type="dxa" w:w="1440"/>
          </w:tcPr>
          <w:p>
            <w:r/>
            <w:r>
              <w:t>Kenya</w:t>
            </w:r>
          </w:p>
        </w:tc>
        <w:tc>
          <w:tcPr>
            <w:tcW w:type="dxa" w:w="1440"/>
          </w:tcPr>
          <w:p>
            <w:r/>
            <w:r>
              <w:t>2024</w:t>
            </w:r>
          </w:p>
        </w:tc>
        <w:tc>
          <w:tcPr>
            <w:tcW w:type="dxa" w:w="1440"/>
          </w:tcPr>
          <w:p>
            <w:r/>
            <w:r>
              <w:t>Four-phase mixed-methods study within Kenya's agrifood systems: stakeholder engagement and tool adaptation, field preparation, and simultaneous quantitative and qualitative data collection</w:t>
            </w:r>
          </w:p>
        </w:tc>
        <w:tc>
          <w:tcPr>
            <w:tcW w:type="dxa" w:w="1440"/>
          </w:tcPr>
          <w:p>
            <w:r/>
            <w:r>
              <w:t>Confirms capability to conduct primary research within agrifood systems, segmenting findings by target population and geography, comparable to demand-side segmentation by crop, product, and geography required here</w:t>
            </w:r>
          </w:p>
        </w:tc>
      </w:tr>
      <w:tr>
        <w:tc>
          <w:tcPr>
            <w:tcW w:type="dxa" w:w="1440"/>
          </w:tcPr>
          <w:p>
            <w:r/>
            <w:r>
              <w:t>Kenya Livestock Marketing and Resilience Project (KLMP) Annual Outcome Monitoring Survey, FY26</w:t>
            </w:r>
          </w:p>
        </w:tc>
        <w:tc>
          <w:tcPr>
            <w:tcW w:type="dxa" w:w="1440"/>
          </w:tcPr>
          <w:p>
            <w:r/>
            <w:r>
              <w:t>Heifer International Kenya</w:t>
            </w:r>
          </w:p>
        </w:tc>
        <w:tc>
          <w:tcPr>
            <w:tcW w:type="dxa" w:w="1440"/>
          </w:tcPr>
          <w:p>
            <w:r/>
            <w:r>
              <w:t>Kenya</w:t>
            </w:r>
          </w:p>
        </w:tc>
        <w:tc>
          <w:tcPr>
            <w:tcW w:type="dxa" w:w="1440"/>
          </w:tcPr>
          <w:p>
            <w:r/>
            <w:r>
              <w:t>2026</w:t>
            </w:r>
          </w:p>
        </w:tc>
        <w:tc>
          <w:tcPr>
            <w:tcW w:type="dxa" w:w="1440"/>
          </w:tcPr>
          <w:p>
            <w:r/>
            <w:r>
              <w:t>Mixed-methods outcome monitoring survey measuring Global Indicators and Project-Specific Indicators for livestock marketing and resilience across pastoral counties</w:t>
            </w:r>
          </w:p>
        </w:tc>
        <w:tc>
          <w:tcPr>
            <w:tcW w:type="dxa" w:w="1440"/>
          </w:tcPr>
          <w:p>
            <w:r/>
            <w:r>
              <w:t>Shows sustained delivery of market and livelihoods monitoring within an East African agricultural commodity system, methodologically comparable to fertilizer demand-supply tracking by geography and channel</w:t>
            </w:r>
          </w:p>
        </w:tc>
      </w:tr>
      <w:tr>
        <w:tc>
          <w:tcPr>
            <w:tcW w:type="dxa" w:w="1440"/>
          </w:tcPr>
          <w:p>
            <w:r/>
            <w:r>
              <w:t>Refugee Labour Market Study and Strategic Advocacy Support</w:t>
            </w:r>
          </w:p>
        </w:tc>
        <w:tc>
          <w:tcPr>
            <w:tcW w:type="dxa" w:w="1440"/>
          </w:tcPr>
          <w:p>
            <w:r/>
            <w:r>
              <w:t>Kituo Cha Sheria – Legal Advice Centre</w:t>
            </w:r>
          </w:p>
        </w:tc>
        <w:tc>
          <w:tcPr>
            <w:tcW w:type="dxa" w:w="1440"/>
          </w:tcPr>
          <w:p>
            <w:r/>
            <w:r>
              <w:t>Kenya</w:t>
            </w:r>
          </w:p>
        </w:tc>
        <w:tc>
          <w:tcPr>
            <w:tcW w:type="dxa" w:w="1440"/>
          </w:tcPr>
          <w:p>
            <w:r/>
            <w:r>
              <w:t>2026</w:t>
            </w:r>
          </w:p>
        </w:tc>
        <w:tc>
          <w:tcPr>
            <w:tcW w:type="dxa" w:w="1440"/>
          </w:tcPr>
          <w:p>
            <w:r/>
            <w:r>
              <w:t>Labour market study for Nairobi County generating evidence on economic participation, skills profiles, and inclusion potential, translated into actionable policy recommendations</w:t>
            </w:r>
          </w:p>
        </w:tc>
        <w:tc>
          <w:tcPr>
            <w:tcW w:type="dxa" w:w="1440"/>
          </w:tcPr>
          <w:p>
            <w:r/>
            <w:r>
              <w:t>Demonstrates the firm's capacity to convert market-study findings into decision-oriented recommendations for external stakeholders, the same output logic required for investor- and DFI-facing conclusions</w:t>
            </w:r>
          </w:p>
        </w:tc>
      </w:tr>
      <w:tr>
        <w:tc>
          <w:tcPr>
            <w:tcW w:type="dxa" w:w="1440"/>
          </w:tcPr>
          <w:p>
            <w:r/>
            <w:r>
              <w:t>Monitoring, Evaluation, and Learning Partner for the Somali Civic Engagement Facility</w:t>
            </w:r>
          </w:p>
        </w:tc>
        <w:tc>
          <w:tcPr>
            <w:tcW w:type="dxa" w:w="1440"/>
          </w:tcPr>
          <w:p>
            <w:r/>
            <w:r>
              <w:t>Civic Engagement Facility (CEF) / Adam Smith International Africa Limited</w:t>
            </w:r>
          </w:p>
        </w:tc>
        <w:tc>
          <w:tcPr>
            <w:tcW w:type="dxa" w:w="1440"/>
          </w:tcPr>
          <w:p>
            <w:r/>
            <w:r>
              <w:t>Somalia</w:t>
            </w:r>
          </w:p>
        </w:tc>
        <w:tc>
          <w:tcPr>
            <w:tcW w:type="dxa" w:w="1440"/>
          </w:tcPr>
          <w:p>
            <w:r/>
            <w:r>
              <w:t>2026</w:t>
            </w:r>
          </w:p>
        </w:tc>
        <w:tc>
          <w:tcPr>
            <w:tcW w:type="dxa" w:w="1440"/>
          </w:tcPr>
          <w:p>
            <w:r/>
            <w:r>
              <w:t>Multi-year MEAL partnership delivered through a joint-venture arrangement, with resident presence and established stakeholder access across Somalia</w:t>
            </w:r>
          </w:p>
        </w:tc>
        <w:tc>
          <w:tcPr>
            <w:tcW w:type="dxa" w:w="1440"/>
          </w:tcPr>
          <w:p>
            <w:r/>
            <w:r>
              <w:t>Confirms Cortech's capacity to operate as lead firm in an association structure across an East African market, and to sustain stakeholder access over a multi-phase assignment</w:t>
            </w:r>
          </w:p>
        </w:tc>
      </w:tr>
    </w:tbl>
    <w:p>
      <w:r>
        <w:t>Cortech's organizational track record in Kenya and East Africa is built on repeated, current engagements with Kenyan public institutions (State Department for Housing and Urban Development), international NGOs operating in agricultural and food systems (Heifer International Kenya, GAIN), and bilateral donors (GIZ), all delivered within the last two years. This provides direct organizational experience in the assignment countries named in the EOI Light TOR — Kenya and East Africa — and a working familiarity with Kenyan county-level and national institutional structures relevant to fertilizer market governance. The AYuTe Africa Challenge landscape study is the closest methodological precedent: it required mapping an input-adjacent ecosystem's actors, resource flows, and structural bottlenecks in Kenya, which is the same analytical task the fertilizer assessment requires for competitive landscape, imports, blending, distribution, and routes-to-market analysis.</w:t>
      </w:r>
    </w:p>
    <w:p>
      <w:r>
        <w:t>On pricing, subsidy, public procurement, and value-chain economics — the second qualification criterion in the EOI Light TOR — Cortech's most directly applicable precedent is the KUSP II licensing and fees guidelines assignment, which required analysis of government fee schedules and procurement-linked regulatory frameworks for Kenyan county governments, and the GIZ remuneration fee survey, which required a national cost/price benchmarking exercise using structured interviews and validation workshops. Neither assignment was fertilizer-specific, and Cortech does not hold a prior fertilizer-market assessment on its completed-assignment list; this is stated plainly rather than implied otherwise. To close this specific gap while retaining the East Africa market access and institutional relationships evidenced above, Cortech's proposed approach — set out in the Proposed Team and Initial Approach sections of this EOI — is to strengthen the assignment team with an Agricultural Markets / Fertilizer Market Specialist, consistent with the tender's provision for firms to associate with other firms while Cortech retains and identifies itself as lead firm.</w:t>
      </w:r>
    </w:p>
    <w:p>
      <w:r>
        <w:t>On decision-oriented outputs and stakeholder facilitation, the refugee labour market study for Kituo Cha Sheria demonstrates the firm's capacity to move from primary and secondary market research to actionable recommendations for an external audience, and the CAN-I nutrition assignment and AYuTe landscape study both required phased stakeholder engagement culminating in validated findings — the same sequencing (primary and secondary research, stakeholder engagement, quantitative analysis, decision-oriented reporting) specified in the assignment description. The KLMP outcome monitoring survey and the Somali Civic Engagement Facility MEL partnership further confirm the firm's capacity to sustain mixed-methods data collection and reporting across multiple East African geographies within defined delivery windows, supporting confidence in Cortech's ability to structure the market assessment report, executive-level summary presentation, and supporting Excel datasets within the assignment's eight-week timeframe.</w:t>
      </w:r>
    </w:p>
    <w:p>
      <w:r>
        <w:br w:type="page"/>
      </w:r>
    </w:p>
    <w:p>
      <w:pPr>
        <w:pStyle w:val="Heading1"/>
      </w:pPr>
      <w:r>
        <w:t>Proposed Key Experts</w:t>
      </w:r>
    </w:p>
    <w:p>
      <w:r>
        <w:t>Cortech Consulting Group proposes a lean, two-tier core team for the Fertilizer Market Assessment - Kenya and Selected Regional Markets, structured to meet the assignment's technical breadth within the eight-week timeline. The core team comprises a Team Lead / Project Manager providing overall technical and managerial direction, and a Key Expert - Agricultural Markets / Fertilizer Market Specialist providing sector-specific technical leadership on pricing, subsidy, and value-chain analysis. This core is backed by Cortech's established network-consultant model — the same staffing approach used to resource multidisciplinary teams on the AYuTe Africa Challenge Agritech landscape study for Heifer International Kenya and the Kenya Livestock Marketing and Resilience Project (KLMP) Annual Outcome Monitoring Survey — which allows rapid mobilization of data collectors, research assistants, and short-term specialist input as the workplan requires.</w:t>
      </w:r>
    </w:p>
    <w:p>
      <w:pPr>
        <w:pStyle w:val="Heading2"/>
      </w:pPr>
      <w:r>
        <w:t>Team Lead / Project Manager — Dr. Hudson Arcoustav Aluvanze</w:t>
      </w:r>
    </w:p>
    <w:p>
      <w:r>
        <w:t>Role on this assignment: Dr. Hudson Arcoustav Aluvanze will serve as Team Lead / Project Manager, acting as the primary liaison between Cortech Consulting Group and the IFC/World Bank Group task team for the duration of the assignment. He will hold overall responsibility for the assignment workplan, the sequencing of primary and secondary research across Kenya and the selected regional East African markets, and the quality, consistency, and timeliness of all three deliverables — the market assessment report, the executive-level summary presentation, and the supporting Excel datasets. He will chair internal quality-assurance checkpoints at each stage of the eight-week timeline and coordinate the Key Expert - Agricultural Markets / Fertilizer Market Specialist together with any short-term enumeration or data-management support drawn from Cortech's network. [Specific academic field, years of experience, and prior named assignments for Dr. Aluvanze: NOT VERIFIED — full curriculum vitae and assignment record will be provided in the technical proposal if Cortech is shortlisted to the RFP phase.] He will also manage stakeholder-access logistics for the assignment's primary research component, leveraging Cortech's operational presence in Nairobi to convene engagements with market participants, distributors, and public-sector counterparts as required by the assignment's stakeholder-engagement scope.</w:t>
      </w:r>
    </w:p>
    <w:p>
      <w:r>
        <w:t>This role satisfies the qualification criteria stated in the tender documents, specifically "Qualified key experts + Technical and managerial capability," through his direct assignment of project-management authority over technical sequencing, quality assurance, and client liaison for the full duration of the eight-week assignment. It further addresses "Availability and delivery capacity for the expected workload with the anticipated timeline – under 8 weeks" by naming a single accountable point of authority responsible for holding the workplan to that timeline from inception through final deliverable submission.</w:t>
      </w:r>
    </w:p>
    <w:p>
      <w:pPr>
        <w:pStyle w:val="Heading2"/>
      </w:pPr>
      <w:r>
        <w:t>Key Expert - Agricultural Markets / Fertilizer Market Specialist — Recruitment Profile</w:t>
      </w:r>
    </w:p>
    <w:p>
      <w:r>
        <w:t>This position remains open for targeted recruitment ahead of the RFP phase. The recruitment profile calls for a senior agricultural economist or market analyst with direct prior experience conducting fertilizer or agricultural-input market assessments, including exposure to demand-supply analysis, landed-to-farm-gate price build-up, and public procurement and subsidy scheme evaluation in Kenya and/or East Africa. The candidate must be able to demonstrate prior preparation of decision-oriented outputs for investors, project developers, financial institutions, or DFIs, consistent with the qualification criterion "Decision-oriented outputs for financiers / project-developers / DFIs and related entities." Cortech will draw on its network-consultant model and regional partnerships, in the manner used to resource specialist livestock and agribusiness expertise on the Heifer International Kenya assignments listed above, to confirm and name this expert prior to the RFP submission, subject to the assignment proceeding to that stage.</w:t>
      </w:r>
    </w:p>
    <w:p>
      <w:pPr>
        <w:pStyle w:val="Heading2"/>
      </w:pPr>
      <w:r>
        <w:t>Availability and Commitment</w:t>
      </w:r>
    </w:p>
    <w:p>
      <w:r>
        <w:t>Dr. Hudson Arcoustav Aluvanze and the Key Expert - Agricultural Markets / Fertilizer Market Specialist, once confirmed, will be available for mobilization within the assignment's anticipated eight-week timeline from inception, with no conflicting commitments identified at this stage that would affect their availability. Cortech Consulting Group confirms its organizational capacity, through its Nairobi headquarters and East Africa network, to resource this core team alongside any short-term data-collection or research-assistant support the assignment requires, and to deliver the market assessment report, executive-level summary presentation, and supporting Excel datasets within the anticipated timeframe.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