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4213D"/>
          <w:sz w:val="32"/>
        </w:rPr>
        <w:t>CORTECH CONSULTING GROUP</w:t>
      </w:r>
    </w:p>
    <w:p>
      <w:pPr>
        <w:jc w:val="center"/>
      </w:pPr>
      <w:r>
        <w:rPr>
          <w:i/>
        </w:rPr>
        <w:t>Technical Proposal</w:t>
      </w:r>
    </w:p>
    <w:p/>
    <w:p>
      <w:pPr>
        <w:jc w:val="center"/>
      </w:pPr>
      <w:r>
        <w:rPr>
          <w:b/>
          <w:sz w:val="28"/>
        </w:rPr>
        <w:t>Provision for Assessing the Socio-Economic Impacts of Microfinance Services on Ethiopian Households and the Contribution of RUHR to Institutional Capacity, Access to Finance, and Inclusive Financial Delivery of Ethiopian MFIs</w:t>
      </w:r>
    </w:p>
    <w:p>
      <w:pPr>
        <w:jc w:val="center"/>
      </w:pPr>
      <w:r>
        <w:t>Client: Association of Ethiopian Micro Finance Institutions (AEMFI)</w:t>
        <w:br/>
      </w:r>
      <w:r>
        <w:t>Submitted by: Cortech Consulting Group</w:t>
        <w:br/>
      </w:r>
      <w:r>
        <w:t>Date: 01 September 2026</w:t>
      </w:r>
    </w:p>
    <w:p>
      <w:r>
        <w:br w:type="page"/>
      </w:r>
    </w:p>
    <w:p>
      <w:r>
        <w:fldChar w:fldCharType="begin"/>
        <w:instrText xml:space="preserve">TOC \o "1-1" \h \z \u</w:instrText>
        <w:fldChar w:fldCharType="separate"/>
        <w:fldChar w:fldCharType="end"/>
      </w:r>
    </w:p>
    <w:p>
      <w:r>
        <w:br w:type="page"/>
      </w:r>
    </w:p>
    <w:p>
      <w:pPr>
        <w:pStyle w:val="Heading1"/>
      </w:pPr>
      <w:r>
        <w:t>Cover Letter</w:t>
      </w:r>
    </w:p>
    <w:p>
      <w:r>
        <w:rPr>
          <w:b/>
        </w:rPr>
        <w:t>The Procurement Committee</w:t>
      </w:r>
      <w:r>
        <w:t xml:space="preserve"> Association of Ethiopian Micro Finance Institutions (AEMFI) Africa Avenue, Bole Road, In front of Bole Printing Press, Near Peacock Park P.O. Box 338, Code 1110, Addis Ababa, Ethiopia</w:t>
      </w:r>
    </w:p>
    <w:p>
      <w:r>
        <w:rPr>
          <w:b/>
        </w:rPr>
        <w:t>Re: Tender No. IFAD/RUFIPIII/AEMFI/CS/QCBS/05/2026/27 — Provision for Assessing the Socio-Economic Impacts of Microfinance Services on Ethiopian Households and the Contribution of RUHR to Institutional Capacity, Access to Finance, and Inclusive Financial Delivery of Ethiopian MFIs</w:t>
      </w:r>
    </w:p>
    <w:p>
      <w:r>
        <w:t>Dear Members of the Procurement Committee,</w:t>
      </w:r>
    </w:p>
    <w:p>
      <w:r>
        <w:t>Cortech Consulting Group submits this Technical Proposal in response to the above-referenced invitation for bids issued by the Association of Ethiopian Micro Finance Institutions (AEMFI) under financing from the International Fund for Agricultural Development (IFAD). We understand the assignment as comprising two linked but distinct strands of inquiry: first, an assessment of the socio-economic impacts of microfinance services on Ethiopian Households, and second, an assessment of the contribution of RUHR to Institutional Capacity, Access to Finance, and Inclusive Financial Delivery of Ethiopian MFIs, within the broader RUFIP III programme framework. We recognise that AEMFI and IFAD require evidence that speaks credibly to both the household level and the institutional level, and that the two strands must be designed and reported as a coherent whole rather than as parallel, disconnected exercises.</w:t>
      </w:r>
    </w:p>
    <w:p>
      <w:r>
        <w:t>Cortech's relevant experience is grounded in assignments that combine household-level socio-economic assessment with institutional evaluation of financial inclusion delivery mechanisms. Our final evaluation of the Finance for Inclusive Growth (FIG) Somalia Programme for the African Enterprise Challenge Fund (AECF) assessed the performance of six financial institutions against financial inclusion outcomes, applying quantitative household-level analysis alongside institutional capacity assessment of the participating lenders — a design directly analogous to the dual household/institutional structure this assignment requires. Our work for the Kenya Red Cross Society and for the Rural Agency for Community Development Assistance (RACIDA), including post-distribution monitoring of cash-based interventions in Mandera County, has built our capacity to run structured household surveys at scale and to link findings on access to services with institutional and delivery-channel performance. Across these assignments Cortech has worked within multilateral development financing frameworks, including engagements linked to the World Bank, UNDP, and the European Union, giving us working familiarity with donor reporting and quality-assurance expectations relevant to an IFAD-financed, QCBS-procured assignment.</w:t>
      </w:r>
    </w:p>
    <w:p>
      <w:r>
        <w:t>The proposed team draws on Cortech's core MEL and research staff together with network consultants experienced in econometric and survey-based impact assessment, applying KoboToolbox for household-level data collection and SPSS for quantitative analysis of socio-economic indicators, alongside qualitative tools for the institutional-capacity strand covering AEMFI's member MFIs.</w:t>
      </w:r>
    </w:p>
    <w:p>
      <w:r>
        <w:t>This proposal is submitted ahead of the stated deadline of 15 September 2026, in English as required. Cortech confirms its readiness to obtain and comply fully with the complete tender documentation, including any annexes governing submission format, and remains available for clarification on any aspect of this proposal at the address below.</w:t>
      </w:r>
    </w:p>
    <w:p>
      <w:r>
        <w:br w:type="page"/>
      </w:r>
    </w:p>
    <w:p>
      <w:pPr>
        <w:pStyle w:val="Heading1"/>
      </w:pPr>
      <w:r>
        <w:t>Executive Summary</w:t>
      </w:r>
    </w:p>
    <w:p>
      <w:r>
        <w:t>Cortech Consulting Group submits this technical proposal to the Association of Ethiopian Micro Finance Institutions (AEMFI) for the Provision for Assessing the Socio-Economic Impacts of Microfinance Services on Ethiopian Households and the Contribution of RUHR to Institutional Capacity, Access to Finance, and Inclusive Financial Delivery of Ethiopian MFIs, procured under IFAD financing through Quality and Cost Based Selection (QCBS) against donor reference IFAD/RUFIPIII/AEMFI/CS/QCBS/05/2026/27. The assignment sits within the RUFIP III programme framework and asks two distinct but connected questions: what difference microfinance services have made to Ethiopian Households, and how RUHR has contributed to the institutional performance of Ethiopian MFIs across three named outcome areas — Institutional Capacity, Access to Finance, and Inclusive Financial Delivery. AEMFI and IFAD will use the resulting evidence to judge both household-level welfare change and institutional-level progress across the microfinance sector, which requires an assessment design capable of holding a household lens and an institutional lens in the same analytical frame rather than treating them as separate studies produced in sequence.</w:t>
      </w:r>
    </w:p>
    <w:p>
      <w:r>
        <w:t>Cortech's proposed design treats the household and institutional strands as one linked inquiry rather than two parallel workstreams. Rather than surveying households and separately auditing MFI records, the approach traces a single evidence chain: RUHR-supported changes inside Ethiopian MFIs (in products, systems, outreach mechanisms, or staff capacity) are examined first for what they actually altered institutionally, and that institutional change is then tested against what Ethiopian Households report experiencing in access, usage, and welfare outcomes from the same MFIs' services. This sequencing — institution first, household second, then triangulated against each other — is the distinctive design choice: it avoids attributing household-level change to microfinance services in general when the assignment specifically asks about RUHR's contribution, and it avoids describing institutional capacity gains in the abstract without evidence that they reached households. Cortech applied a comparable institution-to-beneficiary evidence chain on the Final Evaluation of the Finance for Inclusive Growth (FIG) Somalia Programme for the African Enterprise Challenge Fund (2025, Somalia), where outcomes for six Somali financial institutions were assessed alongside the financial inclusion effects reaching their end clients — the closest prior parallel to the AEMFI/RUHR structure in Cortech's portfolio.</w:t>
      </w:r>
    </w:p>
    <w:p>
      <w:r>
        <w:t>Cortech mobilises this assignment through its core MEL team combined with a network of Ethiopia-based financial-sector and microfinance specialists, reflecting the firm's operating model of pairing a small permanent technical core with vetted national consultants for country-specific assignments — the same structure used to deliver the RACIDA Post Distribution Monitoring of Unconditional Cash assignment in Mandera County (2025, Kenya), where household-level economic data collection was led jointly by core Cortech evaluators and locally recruited enumerators. Because the tender documents available to Cortech at proposal stage do not specify a mandatory personnel schedule, staffing levels, or qualification thresholds for this assignment, the team composition proposed here is built to the scope stated in the assignment title and will be finalised and cross-checked against any personnel requirements set out in the full Terms of Reference and its annexes once obtained, ensuring the fielded team matches AEMFI's actual specification rather than an assumed one.</w:t>
      </w:r>
    </w:p>
    <w:p>
      <w:r>
        <w:t>Delivery will be sequenced from inception — confirming the RUHR results chain, the AEMFI member MFI sample, and data access arrangements with AEMFI directly, since no data-access provisions are specified in the material available to date — through institutional data collection with sampled Ethiopian MFIs, household-level fieldwork, joint analysis, and reporting, with each phase closed out by a client-reviewable output before the next begins. Quality is controlled through a two-tier review of every instrument and draft (national specialist first, core technical lead second) and through triangulation of institutional records against household-reported data before any finding is written up, consistent with the quality-assurance discipline applied on the Endline Evaluation of the Resilience, Health and Rights Project for the Kenya Red Cross Society (2025, Kenya). Cortech will submit its proposal, including full compliance with any submission format confirmed in the complete tender package, ahead of the 15 September 2026 deadline; cost and pricing matters are addressed exclusively in the separate financial proposal.</w:t>
      </w:r>
    </w:p>
    <w:p>
      <w:r>
        <w:br w:type="page"/>
      </w:r>
    </w:p>
    <w:p>
      <w:pPr>
        <w:pStyle w:val="Heading1"/>
      </w:pPr>
      <w:r>
        <w:t>Organisational Profile &amp; Track Record</w:t>
      </w:r>
    </w:p>
    <w:p>
      <w:r>
        <w:t>Cortech Consulting Group is an international advisory firm founded in 2015, headquartered in Nairobi, Kenya, with additional offices in Mogadishu, Somalia, and London, United Kingdom. The firm is a registered company in Kenya and in the United Kingdom, and is licensed to operate in Somalia. Cortech holds ISO certification, maintains a child safeguarding policy, and is compliant with Protection from Sexual Exploitation and Abuse (PSEA) standards — safeguards relevant to any assignment involving direct household-level data collection among Ethiopian Households, as this assignment requires.</w:t>
      </w:r>
    </w:p>
    <w:p>
      <w:r>
        <w:t>Cortech's primary geographic focus covers Somalia, Kenya, and Ethiopia, with secondary presence in Sudan, South Sudan, Uganda, Tanzania, Malawi, and Djibouti. This regional footprint is built on ten years of fieldwork across fragile, transitional, and development contexts, giving the firm working familiarity with the operational realities of conducting household surveys and institutional assessments across the Horn of Africa and East Africa.</w:t>
      </w:r>
    </w:p>
    <w:p>
      <w:r>
        <w:t>The firm's core thematic areas most relevant to this assignment are Monitoring, Evaluation and Learning (MEL); Research, Assessment and Documentation; Livelihoods and Economic Inclusion; Community Engagement and Participatory Research; and Policy Analysis and Advocacy. Cortech's technical toolkit includes KoboToolbox for digital survey design and field data collection, SPSS for quantitative analysis, NVivo for qualitative coding, Python/R for statistical modelling, and OECD DAC evaluation criteria for structuring assessment frameworks — instruments directly applicable to measuring socio-economic impacts on households and institutional-level outcomes in Access to Finance and Inclusive Financial Delivery.</w:t>
      </w:r>
    </w:p>
    <w:p>
      <w:r>
        <w:t>What distinguishes Cortech from generic evaluation providers is the combination of two capabilities that this assignment requires simultaneously: household-level socio-economic survey design, and institutional-level assessment of financial-sector actors. The firm has evaluated financial inclusion programming that engaged directly with financial institutions on institutional capacity and delivery performance, and separately has designed and fielded household-level survey instruments across multi-county, multi-sector assignments in East Africa. Cortech's core team is multilingual (English, Somali, Swahili, Arabic, French) and is supplemented, for country-specific assignments, by national consultants and enumerators recruited locally to ensure linguistic and contextual fit — an approach Cortech will apply to engagement with AEMFI's membership and with Ethiopian MFIs under this assignment.</w:t>
      </w:r>
    </w:p>
    <w:p>
      <w:pPr>
        <w:pStyle w:val="Heading2"/>
      </w:pPr>
      <w:r>
        <w:t>SECTION 2 — RELATED PREVIOUS ASSIGNMENTS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r>
              <w:rPr>
                <w:b/>
              </w:rPr>
              <w:t>Project</w:t>
            </w:r>
          </w:p>
        </w:tc>
        <w:tc>
          <w:tcPr>
            <w:tcW w:type="dxa" w:w="1440"/>
          </w:tcPr>
          <w:p>
            <w:r>
              <w:rPr>
                <w:b/>
              </w:rPr>
            </w:r>
            <w:r>
              <w:rPr>
                <w:b/>
              </w:rPr>
              <w:t>Client</w:t>
            </w:r>
          </w:p>
        </w:tc>
        <w:tc>
          <w:tcPr>
            <w:tcW w:type="dxa" w:w="1440"/>
          </w:tcPr>
          <w:p>
            <w:r>
              <w:rPr>
                <w:b/>
              </w:rPr>
            </w:r>
            <w:r>
              <w:rPr>
                <w:b/>
              </w:rPr>
              <w:t>Country</w:t>
            </w:r>
          </w:p>
        </w:tc>
        <w:tc>
          <w:tcPr>
            <w:tcW w:type="dxa" w:w="1440"/>
          </w:tcPr>
          <w:p>
            <w:r>
              <w:rPr>
                <w:b/>
              </w:rPr>
            </w:r>
            <w:r>
              <w:rPr>
                <w:b/>
              </w:rPr>
              <w:t>Year</w:t>
            </w:r>
          </w:p>
        </w:tc>
        <w:tc>
          <w:tcPr>
            <w:tcW w:type="dxa" w:w="1440"/>
          </w:tcPr>
          <w:p>
            <w:r>
              <w:rPr>
                <w:b/>
              </w:rPr>
            </w:r>
            <w:r>
              <w:rPr>
                <w:b/>
              </w:rPr>
              <w:t>Scope delivered</w:t>
            </w:r>
          </w:p>
        </w:tc>
        <w:tc>
          <w:tcPr>
            <w:tcW w:type="dxa" w:w="1440"/>
          </w:tcPr>
          <w:p>
            <w:r>
              <w:rPr>
                <w:b/>
              </w:rPr>
            </w:r>
            <w:r>
              <w:rPr>
                <w:b/>
              </w:rPr>
              <w:t>Relevance to this assignment</w:t>
            </w:r>
          </w:p>
        </w:tc>
      </w:tr>
      <w:tr>
        <w:tc>
          <w:tcPr>
            <w:tcW w:type="dxa" w:w="1440"/>
          </w:tcPr>
          <w:p>
            <w:r/>
            <w:r>
              <w:t>Final Evaluation of the Finance for Inclusive Growth (FIG) Somalia Programme</w:t>
            </w:r>
          </w:p>
        </w:tc>
        <w:tc>
          <w:tcPr>
            <w:tcW w:type="dxa" w:w="1440"/>
          </w:tcPr>
          <w:p>
            <w:r/>
            <w:r>
              <w:t>African Enterprise Challenge Fund (AECF)</w:t>
            </w:r>
          </w:p>
        </w:tc>
        <w:tc>
          <w:tcPr>
            <w:tcW w:type="dxa" w:w="1440"/>
          </w:tcPr>
          <w:p>
            <w:r/>
            <w:r>
              <w:t>Somalia</w:t>
            </w:r>
          </w:p>
        </w:tc>
        <w:tc>
          <w:tcPr>
            <w:tcW w:type="dxa" w:w="1440"/>
          </w:tcPr>
          <w:p>
            <w:r/>
            <w:r>
              <w:t>2025</w:t>
            </w:r>
          </w:p>
        </w:tc>
        <w:tc>
          <w:tcPr>
            <w:tcW w:type="dxa" w:w="1440"/>
          </w:tcPr>
          <w:p>
            <w:r/>
            <w:r>
              <w:t>Final evaluation of a five-year financial inclusion initiative engaging six Somali financial institutions, assessing institutional performance and delivery outcomes across multiple Somali regions.</w:t>
            </w:r>
          </w:p>
        </w:tc>
        <w:tc>
          <w:tcPr>
            <w:tcW w:type="dxa" w:w="1440"/>
          </w:tcPr>
          <w:p>
            <w:r/>
            <w:r>
              <w:t>Directly evidences Cortech's capacity to assess an MFI-equivalent network's Institutional Capacity, Access to Finance, and Inclusive Financial Delivery — the same three outcome areas named in this assignment's title, applied to a comparable set of financial institutions.</w:t>
            </w:r>
          </w:p>
        </w:tc>
      </w:tr>
      <w:tr>
        <w:tc>
          <w:tcPr>
            <w:tcW w:type="dxa" w:w="1440"/>
          </w:tcPr>
          <w:p>
            <w:r/>
            <w:r>
              <w:t>End-Term Evaluation of the Resilience, Health and Rights Project</w:t>
            </w:r>
          </w:p>
        </w:tc>
        <w:tc>
          <w:tcPr>
            <w:tcW w:type="dxa" w:w="1440"/>
          </w:tcPr>
          <w:p>
            <w:r/>
            <w:r>
              <w:t>Kenya Red Cross Society (KRCS)</w:t>
            </w:r>
          </w:p>
        </w:tc>
        <w:tc>
          <w:tcPr>
            <w:tcW w:type="dxa" w:w="1440"/>
          </w:tcPr>
          <w:p>
            <w:r/>
            <w:r>
              <w:t>Kenya</w:t>
            </w:r>
          </w:p>
        </w:tc>
        <w:tc>
          <w:tcPr>
            <w:tcW w:type="dxa" w:w="1440"/>
          </w:tcPr>
          <w:p>
            <w:r/>
            <w:r>
              <w:t>2025</w:t>
            </w:r>
          </w:p>
        </w:tc>
        <w:tc>
          <w:tcPr>
            <w:tcW w:type="dxa" w:w="1440"/>
          </w:tcPr>
          <w:p>
            <w:r/>
            <w:r>
              <w:t>End-term evaluation of an integrated resilience project across five arid and semi-arid counties, covering displaced and host-community households.</w:t>
            </w:r>
          </w:p>
        </w:tc>
        <w:tc>
          <w:tcPr>
            <w:tcW w:type="dxa" w:w="1440"/>
          </w:tcPr>
          <w:p>
            <w:r/>
            <w:r>
              <w:t>Demonstrates household-level socio-economic evaluation design across multi-county fieldwork, directly transferable to the household strand of this assignment covering Ethiopian Households.</w:t>
            </w:r>
          </w:p>
        </w:tc>
      </w:tr>
      <w:tr>
        <w:tc>
          <w:tcPr>
            <w:tcW w:type="dxa" w:w="1440"/>
          </w:tcPr>
          <w:p>
            <w:r/>
            <w:r>
              <w:t>Integrated Development Solutions for IDPs and Host Communities in Jubaland, Somalia</w:t>
            </w:r>
          </w:p>
        </w:tc>
        <w:tc>
          <w:tcPr>
            <w:tcW w:type="dxa" w:w="1440"/>
          </w:tcPr>
          <w:p>
            <w:r/>
            <w:r>
              <w:t>UNDP-Somalia</w:t>
            </w:r>
          </w:p>
        </w:tc>
        <w:tc>
          <w:tcPr>
            <w:tcW w:type="dxa" w:w="1440"/>
          </w:tcPr>
          <w:p>
            <w:r/>
            <w:r>
              <w:t>Somalia</w:t>
            </w:r>
          </w:p>
        </w:tc>
        <w:tc>
          <w:tcPr>
            <w:tcW w:type="dxa" w:w="1440"/>
          </w:tcPr>
          <w:p>
            <w:r/>
            <w:r>
              <w:t>2025</w:t>
            </w:r>
          </w:p>
        </w:tc>
        <w:tc>
          <w:tcPr>
            <w:tcW w:type="dxa" w:w="1440"/>
          </w:tcPr>
          <w:p>
            <w:r/>
            <w:r>
              <w:t>Twelve-month integrated development programme structured through sequential phases including institutional strengthening and economic recovery, alongside a dedicated MEL phase.</w:t>
            </w:r>
          </w:p>
        </w:tc>
        <w:tc>
          <w:tcPr>
            <w:tcW w:type="dxa" w:w="1440"/>
          </w:tcPr>
          <w:p>
            <w:r/>
            <w:r>
              <w:t>Provides direct evidence of designing and sequencing an institutional-strengthening component alongside household/community-level economic recovery work, matching the dual household-institutional structure of this assignment.</w:t>
            </w:r>
          </w:p>
        </w:tc>
      </w:tr>
      <w:tr>
        <w:tc>
          <w:tcPr>
            <w:tcW w:type="dxa" w:w="1440"/>
          </w:tcPr>
          <w:p>
            <w:r/>
            <w:r>
              <w:t>Endline Evaluation of Continuity in Crisis Project</w:t>
            </w:r>
          </w:p>
        </w:tc>
        <w:tc>
          <w:tcPr>
            <w:tcW w:type="dxa" w:w="1440"/>
          </w:tcPr>
          <w:p>
            <w:r/>
            <w:r>
              <w:t>Kenya Red Cross Society (KRCS)</w:t>
            </w:r>
          </w:p>
        </w:tc>
        <w:tc>
          <w:tcPr>
            <w:tcW w:type="dxa" w:w="1440"/>
          </w:tcPr>
          <w:p>
            <w:r/>
            <w:r>
              <w:t>Kenya</w:t>
            </w:r>
          </w:p>
        </w:tc>
        <w:tc>
          <w:tcPr>
            <w:tcW w:type="dxa" w:w="1440"/>
          </w:tcPr>
          <w:p>
            <w:r/>
            <w:r>
              <w:t>2025</w:t>
            </w:r>
          </w:p>
        </w:tc>
        <w:tc>
          <w:tcPr>
            <w:tcW w:type="dxa" w:w="1440"/>
          </w:tcPr>
          <w:p>
            <w:r/>
            <w:r>
              <w:t>Endline evaluation benchmarking outcomes against baseline and midline data on service access and continuity for refugee and host populations.</w:t>
            </w:r>
          </w:p>
        </w:tc>
        <w:tc>
          <w:tcPr>
            <w:tcW w:type="dxa" w:w="1440"/>
          </w:tcPr>
          <w:p>
            <w:r/>
            <w:r>
              <w:t>Evidences Cortech's competence in benchmarked, multi-round assessment design, relevant to measuring change in household access to finance over the RUHR programme period.</w:t>
            </w:r>
          </w:p>
        </w:tc>
      </w:tr>
      <w:tr>
        <w:tc>
          <w:tcPr>
            <w:tcW w:type="dxa" w:w="1440"/>
          </w:tcPr>
          <w:p>
            <w:r/>
            <w:r>
              <w:t>Provision of Consultancy Services for Endline Evaluation in Mandera Under RACIDA's IRR Project</w:t>
            </w:r>
          </w:p>
        </w:tc>
        <w:tc>
          <w:tcPr>
            <w:tcW w:type="dxa" w:w="1440"/>
          </w:tcPr>
          <w:p>
            <w:r/>
            <w:r>
              <w:t>Rural Agency for Community Development Assistance (RACIDA)</w:t>
            </w:r>
          </w:p>
        </w:tc>
        <w:tc>
          <w:tcPr>
            <w:tcW w:type="dxa" w:w="1440"/>
          </w:tcPr>
          <w:p>
            <w:r/>
            <w:r>
              <w:t>Kenya</w:t>
            </w:r>
          </w:p>
        </w:tc>
        <w:tc>
          <w:tcPr>
            <w:tcW w:type="dxa" w:w="1440"/>
          </w:tcPr>
          <w:p>
            <w:r/>
            <w:r>
              <w:t>2025</w:t>
            </w:r>
          </w:p>
        </w:tc>
        <w:tc>
          <w:tcPr>
            <w:tcW w:type="dxa" w:w="1440"/>
          </w:tcPr>
          <w:p>
            <w:r/>
            <w:r>
              <w:t>Endline evaluation of an Integrated Recovery Response project in Mandera County, covering four sectors — WASH, Nutrition, Agriculture, and Food Assistance — using multidisciplinary field instruments.</w:t>
            </w:r>
          </w:p>
        </w:tc>
        <w:tc>
          <w:tcPr>
            <w:tcW w:type="dxa" w:w="1440"/>
          </w:tcPr>
          <w:p>
            <w:r/>
            <w:r>
              <w:t>Confirms field-tested capacity to run structured household-level endline data collection across multiple sectors and instruments, a methodological base directly applicable to the socio-economic impact survey of Ethiopian Households.</w:t>
            </w:r>
          </w:p>
        </w:tc>
      </w:tr>
      <w:tr>
        <w:tc>
          <w:tcPr>
            <w:tcW w:type="dxa" w:w="1440"/>
          </w:tcPr>
          <w:p>
            <w:r/>
            <w:r>
              <w:t>Provision of Consultancy Services for Post Distribution Monitoring of Unconditional Cash Under RACIDA's IRR Project</w:t>
            </w:r>
          </w:p>
        </w:tc>
        <w:tc>
          <w:tcPr>
            <w:tcW w:type="dxa" w:w="1440"/>
          </w:tcPr>
          <w:p>
            <w:r/>
            <w:r>
              <w:t>Rural Agency for Community Development Assistance (RACIDA)</w:t>
            </w:r>
          </w:p>
        </w:tc>
        <w:tc>
          <w:tcPr>
            <w:tcW w:type="dxa" w:w="1440"/>
          </w:tcPr>
          <w:p>
            <w:r/>
            <w:r>
              <w:t>Kenya</w:t>
            </w:r>
          </w:p>
        </w:tc>
        <w:tc>
          <w:tcPr>
            <w:tcW w:type="dxa" w:w="1440"/>
          </w:tcPr>
          <w:p>
            <w:r/>
            <w:r>
              <w:t>2025</w:t>
            </w:r>
          </w:p>
        </w:tc>
        <w:tc>
          <w:tcPr>
            <w:tcW w:type="dxa" w:w="1440"/>
          </w:tcPr>
          <w:p>
            <w:r/>
            <w:r>
              <w:t>Post-distribution monitoring of an unconditional cash transfer component in Mandera County, drawing on nine years of firm-level experience in monitoring and impact assessment.</w:t>
            </w:r>
          </w:p>
        </w:tc>
        <w:tc>
          <w:tcPr>
            <w:tcW w:type="dxa" w:w="1440"/>
          </w:tcPr>
          <w:p>
            <w:r/>
            <w:r>
              <w:t>Provides direct precedent for assessing household-level financial access and use of transferred resources, closely aligned with measuring how microfinance services affect household economic behaviour.</w:t>
            </w:r>
          </w:p>
        </w:tc>
      </w:tr>
      <w:tr>
        <w:tc>
          <w:tcPr>
            <w:tcW w:type="dxa" w:w="1440"/>
          </w:tcPr>
          <w:p>
            <w:r/>
            <w:r>
              <w:t>Endline Evaluation of 'Promoting the Resilience and Peaceful Co-existence of Communities Affected by the Climate Crisis'</w:t>
            </w:r>
          </w:p>
        </w:tc>
        <w:tc>
          <w:tcPr>
            <w:tcW w:type="dxa" w:w="1440"/>
          </w:tcPr>
          <w:p>
            <w:r/>
            <w:r>
              <w:t>Lutheran World Federation</w:t>
            </w:r>
          </w:p>
        </w:tc>
        <w:tc>
          <w:tcPr>
            <w:tcW w:type="dxa" w:w="1440"/>
          </w:tcPr>
          <w:p>
            <w:r/>
            <w:r>
              <w:t>Somalia, Horn of Africa</w:t>
            </w:r>
          </w:p>
        </w:tc>
        <w:tc>
          <w:tcPr>
            <w:tcW w:type="dxa" w:w="1440"/>
          </w:tcPr>
          <w:p>
            <w:r/>
            <w:r>
              <w:t>2026</w:t>
            </w:r>
          </w:p>
        </w:tc>
        <w:tc>
          <w:tcPr>
            <w:tcW w:type="dxa" w:w="1440"/>
          </w:tcPr>
          <w:p>
            <w:r/>
            <w:r>
              <w:t>Endline evaluation of a multi-sectoral humanitarian-development-peace nexus project, managed across geographically dispersed sites under a single evaluation framework.</w:t>
            </w:r>
          </w:p>
        </w:tc>
        <w:tc>
          <w:tcPr>
            <w:tcW w:type="dxa" w:w="1440"/>
          </w:tcPr>
          <w:p>
            <w:r/>
            <w:r>
              <w:t>Demonstrates capacity to hold a coherent single methodology across geographically dispersed, multi-strand assignments — the same demand posed by combining a household socio-economic survey with an institutional MFI assessment under one contract.</w:t>
            </w:r>
          </w:p>
        </w:tc>
      </w:tr>
    </w:tbl>
    <w:p>
      <w:r>
        <w:br w:type="page"/>
      </w:r>
    </w:p>
    <w:p>
      <w:pPr>
        <w:pStyle w:val="Heading1"/>
      </w:pPr>
      <w:r>
        <w:t>Introduction, Background &amp; Conceptual Framework</w:t>
      </w:r>
    </w:p>
    <w:p>
      <w:pPr>
        <w:pStyle w:val="Heading2"/>
      </w:pPr>
      <w:r>
        <w:t>5.1 Context and Strategic Importance</w:t>
      </w:r>
    </w:p>
    <w:p>
      <w:r>
        <w:t>The Association of Ethiopian Micro Finance Institutions (AEMFI) is commissioning this assignment on behalf of the Ethiopian microfinance sector under financing from the International Fund for Agricultural Development (IFAD), within the RUFIP III programme framework identified by donor reference IFAD/RUFIPIII/AEMFI/CS/QCBS/05/2026/27. As the umbrella body representing Ethiopian MFIs, AEMFI sits at the point where evidence on programme performance must be converted into sector-wide institutional learning and donor accountability. The assignment is strategically timed to generate the evidence base AEMFI and IFAD require to determine whether microfinance services are translating into measurable socio-economic gains for Ethiopian Households, and whether RUHR has strengthened the institutional foundations — Institutional Capacity, Access to Finance, and Inclusive Financial Delivery — on which continued RUFIP III investment depends. Given the QCBS procurement route signalled in the reference code, the exercise also carries a quality-assurance function: its findings and methodology must be defensible to IFAD's own technical and financial evaluation standards.</w:t>
      </w:r>
    </w:p>
    <w:p>
      <w:pPr>
        <w:pStyle w:val="Heading2"/>
      </w:pPr>
      <w:r>
        <w:t>5.2 Purpose and Objectives</w:t>
      </w:r>
    </w:p>
    <w:p>
      <w:r>
        <w:t>The assignment has two linked purposes, both stated in the assignment title: first, to assess the Socio-Economic Impacts of Microfinance Services on Ethiopian Households; second, to assess the Contribution of RUHR to Institutional Capacity, Access to Finance, and Inclusive Financial Delivery of Ethiopian MFIs. The outputs generated are intended for direct use by AEMFI and IFAD to evaluate how microfinance services and the RUHR contribution have affected both household welfare and the institutional performance of Ethiopian MFIs. Cortech reads these as complementary rather than sequential objectives — one measuring downstream household outcomes, the other measuring the upstream institutional mechanisms through which those outcomes are delivered.</w:t>
      </w:r>
    </w:p>
    <w:p>
      <w:pPr>
        <w:pStyle w:val="Heading2"/>
      </w:pPr>
      <w:r>
        <w:t>5.3 Our Interpretation of the Assignment</w:t>
      </w:r>
    </w:p>
    <w:p>
      <w:r>
        <w:t>Cortech interprets this assignment as requiring two distinct but methodologically integrated lines of inquiry conducted under a single contract: a household-level socio-economic impact assessment generating primary data from Ethiopian Households reached by microfinance services, and an institution-level assessment of Ethiopian MFIs examining how RUHR has affected their Institutional Capacity, Access to Finance, and Inclusive Financial Delivery. This dual structure is not spelled out procedurally in the available tender material, but it is implied by the title's own construction, and it carries a direct methodological consequence: sampling, instrumentation, and analysis frameworks appropriate to household surveys are not the same as those appropriate to institutional performance assessment of AEMFI member MFIs, and the two must be sequenced and triangulated rather than treated as one undifferentiated fieldwork exercise. A second, unstated implication concerns attribution: the assignment title names "RUHR" as the object of institutional-level assessment, while the donor reference code identifies the broader programme as "RUFIP III." Where RUHR represents a specific window or component within the wider RUFIP III programme, the assessment will need to distinguish RUHR's specific contribution from effects attributable to RUFIP III more broadly or to other concurrent interventions reaching the same Ethiopian MFIs — a contribution-analysis challenge that the technical proposal must address explicitly rather than assume away. Cortech will confirm the precise scope and boundary of "RUHR" against the full Terms of Reference before finalising the assessment design.</w:t>
      </w:r>
    </w:p>
    <w:p>
      <w:pPr>
        <w:pStyle w:val="Heading2"/>
      </w:pPr>
      <w:r>
        <w:t>5.4 Key Evaluation Questions</w:t>
      </w:r>
    </w:p>
    <w:p>
      <w:r>
        <w:t>The tender material made available to Cortech does not set out a numbered list of evaluation questions; the assignment's core lines of inquiry are instead embedded in its title. Reading that title as the client's own framing of the inquiry, Cortech identifies four questions the assessment is designed to answer:</w:t>
      </w:r>
    </w:p>
    <w:p>
      <w:pPr>
        <w:pStyle w:val="ListBullet"/>
      </w:pPr>
      <w:r>
        <w:t>To what extent have microfinance services contributed to socio-economic change among Ethiopian Households?</w:t>
      </w:r>
    </w:p>
    <w:p>
      <w:pPr>
        <w:pStyle w:val="ListBullet"/>
      </w:pPr>
      <w:r>
        <w:t>What has been the contribution of RUHR to strengthening the Institutional Capacity of Ethiopian MFIs?</w:t>
      </w:r>
    </w:p>
    <w:p>
      <w:pPr>
        <w:pStyle w:val="ListBullet"/>
      </w:pPr>
      <w:r>
        <w:t>How has RUHR contributed to improved Access to Finance for Ethiopian Households and underserved segments served by Ethiopian MFIs?</w:t>
      </w:r>
    </w:p>
    <w:p>
      <w:pPr>
        <w:pStyle w:val="ListBullet"/>
      </w:pPr>
      <w:r>
        <w:t>To what extent has RUHR contributed to more Inclusive Financial Delivery by Ethiopian MFIs?</w:t>
      </w:r>
    </w:p>
    <w:p>
      <w:r>
        <w:t>Cortech will confirm, refine, and where necessary expand this question set against the full Terms of Reference and any evaluation matrix contained in the annex documentation referenced in the tender record, and will present the finalised question set for AEMFI's validation during the Inception Phase.</w:t>
      </w:r>
    </w:p>
    <w:p>
      <w:pPr>
        <w:pStyle w:val="Heading2"/>
      </w:pPr>
      <w:r>
        <w:t>5.5 Deliverables</w:t>
      </w:r>
    </w:p>
    <w:p>
      <w:r>
        <w:t>The extracted tender documentation available to Cortech at the time of drafting — the AEMFI/Assortis portal record and associated newsletter listing — does not enumerate a deliverables schedule, reporting template, or page-limited output list. In the absence of a stated schedule, Cortech proposes a standard sequence of deliverables consistent with IFAD reporting conventions and QCBS assignments of this type: an Inception Report setting out the finalised methodology, sampling frame, and instruments for both the household and institutional strands; a Draft Assessment Report presenting preliminary findings against the Purpose and Objectives set out in Section 5.2; and a Final Assessment Report incorporating AEMFI and IFAD feedback, together with the underlying datasets. Cortech will align this proposed sequence with the deliverables list in the full Terms of Reference once obtained, and will amend it without exception to match whatever schedule AEMFI has formally prescribed.</w:t>
      </w:r>
    </w:p>
    <w:p>
      <w:pPr>
        <w:pStyle w:val="Heading2"/>
      </w:pPr>
      <w:r>
        <w:t>5.6 Understanding of Success</w:t>
      </w:r>
    </w:p>
    <w:p>
      <w:r>
        <w:t>Cortech understands success on this assignment to mean an assessment that AEMFI and IFAD can use with confidence to determine whether microfinance services have produced measurable socio-economic change among Ethiopian Households, and whether RUHR has made a demonstrable, attributable contribution to the Institutional Capacity, Access to Finance, and Inclusive Financial Delivery of Ethiopian MFIs. This requires findings that are disaggregated where relevant, methodologically transparent about what is attributable to RUHR versus the wider RUFIP III programme, and validated by AEMFI's own membership before submission as final. A successful assignment is one that AEMFI can carry directly into its dialogue with IFAD on RUFIP III's continuing institutional support to Ethiopian MFIs, without requiring further verification of the underlying evidence.</w:t>
      </w:r>
    </w:p>
    <w:p>
      <w:pPr>
        <w:pStyle w:val="Heading2"/>
      </w:pPr>
      <w:r>
        <w:t>SECTION 2 — CONCEPTUAL FRAMEWORK</w:t>
      </w:r>
    </w:p>
    <w:p>
      <w:r>
        <w:t>Cortech will apply the OECD DAC evaluation criteria — relevance, effectiveness, efficiency, impact, and sustainability — as the primary analytical lens for this assignment, applied at both levels the title specifies: the household level, where impact and relevance are read through changes in income, assets, and resilience among Ethiopian Households; and the institutional level, where effectiveness and sustainability are read through measurable change in the Institutional Capacity, Access to Finance, and Inclusive Financial Delivery of Ethiopian MFIs. This dual application is deliberate rather than a default: because the assignment asks Cortech to assess both a downstream outcome (household socio-economic impact) and an upstream mechanism (RUHR's institutional contribution), a single-level framework would understate one half of the assignment.</w:t>
      </w:r>
    </w:p>
    <w:p>
      <w:r>
        <w:t>To connect the two levels analytically, Cortech will construct a results-chain model treating RUHR's institutional-level contributions — capacity strengthening within Ethiopian MFIs, expanded Access to Finance, and more Inclusive Financial Delivery — as the intermediate outcomes through which microfinance services are expected to reach Ethiopian Households and produce socio-economic effects. This results chain will be developed collaboratively with AEMFI during the Inception Phase, using existing RUFIP III programme documentation, to ensure the assumptions linking institutional strengthening to household-level change are explicit, testable, and specific to the Ethiopian microfinance sector rather than generic. Where the chain reveals gaps between what RUHR is expected to have delivered and what the data show, the assessment will flag these as findings rather than smoothing over them.</w:t>
      </w:r>
    </w:p>
    <w:p>
      <w:r>
        <w:t>Given the attribution challenge identified in Section 5.3 — distinguishing RUHR's specific contribution from the broader RUFIP III programme — Cortech will apply a contribution-analysis approach rather than assume a strict counterfactual design is available or intended, triangulating institutional performance data from AEMFI members against household survey evidence and qualitative accounts from MFI staff and beneficiaries. Quantitative household data will be analysed in SPSS with disaggregation by sex and other relevant categories confirmed with AEMFI; qualitative institutional data from MFI interviews and AEMFI records will be coded in NVivo to identify recurring capacity, access, and delivery themes against the results chain. This mixed-methods design allows both objectives named in the assignment title to be answered from a single, internally consistent analytical structure.</w:t>
      </w:r>
    </w:p>
    <w:p>
      <w:r>
        <w:br w:type="page"/>
      </w:r>
    </w:p>
    <w:p>
      <w:pPr>
        <w:pStyle w:val="Heading1"/>
      </w:pPr>
      <w:r>
        <w:t>Technical Methodology</w:t>
      </w:r>
    </w:p>
    <w:p>
      <w:pPr>
        <w:pStyle w:val="Heading2"/>
      </w:pPr>
      <w:r>
        <w:t>1. Overall Approach</w:t>
      </w:r>
    </w:p>
    <w:p>
      <w:r>
        <w:t>Cortech Consulting Group proposes a mixed-methods, dual-strand methodology that treats the assignment as two analytically distinct but operationally sequenced inquiries: (i) a household-level socio-economic impact assessment measuring how microfinance services have affected Ethiopian Households, and (ii) an institutional-level assessment of RUHR's contribution to Institutional Capacity, Access to Finance, and Inclusive Financial Delivery of Ethiopian MFIs. Collapsing these two strands into a single generic "impact evaluation" would misrepresent the assignment as framed in its own title; Cortech's design keeps them separately instrumented and separately reported, while triangulating findings between them at the analysis stage so that household-level outcomes can be read against the institutional channels — RUHR's contribution to capacity, finance access, and delivery inclusiveness — that plausibly produced them.</w:t>
      </w:r>
    </w:p>
    <w:p>
      <w:r>
        <w:t>The design rationale follows directly from the assignment's positioning within the RUFIP III programme framework, delivered through the donor reference IFAD/RUFIPIII/AEMFI/CS/QCBS/05/2026/27. Because AEMFI is the buyer and the Association's own membership of Ethiopian MFIs is both a data source and a subject of assessment, Cortech's approach is built around active, structured engagement with AEMFI as convenor rather than treating AEMFI as a passive contract administrator. This is consistent with Cortech's approach on the Final Evaluation of the Finance for Inclusive Growth (FIG) Somalia Programme for the African Enterprise Challenge Fund (AECF), where evaluation of a multi-institution financial inclusion initiative required working through an umbrella coordinating body to reach individual financial institutions and their clients — a structural parallel to working through AEMFI to reach individual Ethiopian MFIs and their household clients.</w:t>
      </w:r>
    </w:p>
    <w:p>
      <w:r>
        <w:t>Cortech's approach combines quantitative household survey data, institutional-level data drawn from Ethiopian MFIs and AEMFI records, and qualitative evidence from Key Informant Interviews (KIIs) and Focus Group Discussions (FGDs), applying the OECD DAC evaluation criteria — Relevance, Effectiveness, Efficiency, Impact, and Sustainability — as the organizing analytical frame for the institutional strand, and a household welfare/access framework for the socio-economic strand. All primary data collection instruments will be digitized on KoboToolbox, quantitative datasets analyzed in SPSS, and qualitative transcripts coded in NVivo, ensuring a consistent, auditable evidence chain from field collection through to final reporting. Because the full Terms of Reference document was not available to this drafting team at the time of writing, the indicator list, sampling frame, and precise scope boundaries set out below will be finalized during the Inception Phase against the complete ToR and any secondary datasets AEMFI and IFAD are able to share, and confirmed in the Inception Report before fieldwork begins.</w:t>
      </w:r>
    </w:p>
    <w:p>
      <w:pPr>
        <w:pStyle w:val="Heading2"/>
      </w:pPr>
      <w:r>
        <w:t>2. Phase-by-Phase Breakdown</w:t>
      </w:r>
    </w:p>
    <w:p>
      <w:r>
        <w:rPr>
          <w:b/>
        </w:rPr>
        <w:t>Phase 1 — Inception.</w:t>
      </w:r>
      <w:r>
        <w:t xml:space="preserve"> Cortech will conduct a structured desk review of the RUFIP III programme design documents, AEMFI's institutional records on member Ethiopian MFIs, and any existing baseline or monitoring data on RUHR's institutional-strengthening interventions, to reconstruct the intervention logic linking RUHR inputs to the three named outcome areas — Institutional Capacity, Access to Finance, and Inclusive Financial Delivery. This phase produces a finalized Inception Report specifying the confirmed indicator framework, sampling frame, respondent categories, and instrument design, submitted to AEMFI for validation before field deployment.</w:t>
      </w:r>
    </w:p>
    <w:p>
      <w:r>
        <w:rPr>
          <w:b/>
        </w:rPr>
        <w:t>Phase 2 — Field Data Collection.</w:t>
      </w:r>
      <w:r>
        <w:t xml:space="preserve"> Enumeration teams, deployed across the Ethiopian MFI branches and household catchment areas confirmed during Inception, will administer the household survey and institutional data-collection tools concurrently, with KIIs and FGDs scheduled to follow initial survey rounds so that qualitative probing can respond to emerging quantitative patterns.</w:t>
      </w:r>
    </w:p>
    <w:p>
      <w:r>
        <w:rPr>
          <w:b/>
        </w:rPr>
        <w:t>Phase 3 — Analysis.</w:t>
      </w:r>
      <w:r>
        <w:t xml:space="preserve"> Quantitative household data is cleaned, coded, and analyzed in SPSS; qualitative transcripts from KIIs and FGDs are coded thematically in NVivo against the Institutional Capacity, Access to Finance, and Inclusive Financial Delivery framework; findings from both strands are triangulated to test whether observed household-level socio-economic outcomes align with institutional-level channels attributable to RUHR.</w:t>
      </w:r>
    </w:p>
    <w:p>
      <w:r>
        <w:rPr>
          <w:b/>
        </w:rPr>
        <w:t>Phase 4 — Reporting.</w:t>
      </w:r>
      <w:r>
        <w:t xml:space="preserve"> Draft findings are presented to AEMFI and IFAD for verification and comment before finalization, ensuring the report reflects both technical rigor and stakeholder validation of interpretation.</w:t>
      </w:r>
    </w:p>
    <w:p>
      <w:pPr>
        <w:pStyle w:val="Heading2"/>
      </w:pPr>
      <w:r>
        <w:t>3. Method by Assessment Strand</w:t>
      </w:r>
    </w:p>
    <w:p>
      <w:r>
        <w:rPr>
          <w:b/>
        </w:rPr>
        <w:t>Strand A — Socio-Economic Impacts of Microfinance Services on Ethiopian Households.</w:t>
      </w:r>
      <w:r>
        <w:t xml:space="preserve"> A structured household survey, digitized on KoboToolbox, will be administered to a representative sample of Ethiopian Households accessing microfinance services through Ethiopian MFIs, with the final sample size and stratification (by region, gender of household head, and duration of microfinance engagement) confirmed during Inception against the sampling frame available from AEMFI member institutions. The instrument will capture household income, asset ownership, savings behavior, debt burden, consumption smoothing, and self-reported changes in economic wellbeing attributable to microfinance access. Respondents are Ethiopian Households currently or recently served by Ethiopian MFIs. Data is analyzed in SPSS to produce descriptive and comparative statistics disaggregated by the confirmed stratification variables. The output is a household-level Socio-Economic Impact Assessment section presenting quantified findings on how microfinance services have affected household welfare, supported by qualitative narrative from household-level FGDs conducted in parallel to contextualize the survey findings.</w:t>
      </w:r>
    </w:p>
    <w:p>
      <w:r>
        <w:rPr>
          <w:b/>
        </w:rPr>
        <w:t>Strand B — RUHR's Contribution to Institutional Capacity, Access to Finance, and Inclusive Financial Delivery of Ethiopian MFIs.</w:t>
      </w:r>
      <w:r>
        <w:t xml:space="preserve"> This strand is instrumented through an institutional data-collection tool administered to a sample of Ethiopian MFIs drawn from the AEMFI membership, capturing indicators of institutional capacity (governance, staffing, systems), access-to-finance metrics (funding sources, liquidity, portfolio growth attributable to RUHR support), and inclusive-delivery indicators (outreach to underserved segments, product diversification, branch/agent expansion). Respondents are senior management and operations staff of participating Ethiopian MFIs, identified through AEMFI. KIIs are conducted with AEMFI leadership, IFAD programme staff associated with RUFIP III, and management of participating Ethiopian MFIs to capture institutional-change narratives not visible in quantitative indicators alone. Data is coded and analyzed in NVivo for qualitative themes and cross-referenced with quantitative institutional indicators in SPSS. The output is an Institutional Assessment section addressing RUHR's contribution to each of the three named outcome areas — Institutional Capacity, Access to Finance, and Inclusive Financial Delivery — assessed against the OECD DAC criteria of Relevance, Effectiveness, Efficiency, Impact, and Sustainability.</w:t>
      </w:r>
    </w:p>
    <w:p>
      <w:r>
        <w:rPr>
          <w:b/>
        </w:rPr>
        <w:t>Cross-Strand Synthesis.</w:t>
      </w:r>
      <w:r>
        <w:t xml:space="preserve"> Findings from Strand A and Strand B are triangulated in a combined analysis chapter that traces, where the evidence supports it, the pathway from RUHR's institutional-level contribution through to the household-level socio-economic outcomes documented in Strand A, consistent with the assignment title's framing of the two components as related but distinct.</w:t>
      </w:r>
    </w:p>
    <w:p>
      <w:pPr>
        <w:pStyle w:val="Heading2"/>
      </w:pPr>
      <w:r>
        <w:t>4. Data Quality Assurance</w:t>
      </w:r>
    </w:p>
    <w:p>
      <w:r>
        <w:t>Data quality is assured through a layered protocol: KoboToolbox forms are piloted with a small subset of respondents before full deployment and revised based on pilot findings; enumerators are trained on tool logic, skip patterns, and consent procedures prior to fieldwork; field supervisors conduct daily spot-checks and back-checks on a sample of completed household and institutional interviews; SPSS datasets are subjected to range and consistency checks before analysis begins; and NVivo coding is conducted using a shared codebook applied by more than one coder, with periodic inter-coder comparison to ensure consistent thematic classification of KII and FGD transcripts across both assessment strands. This protocol mirrors the data assurance procedures Cortech applied on the Post Distribution Monitoring assignment for the Rural Agency for Community Development Assistance (RACIDA) in Mandera County, where digitized tools, supervisor spot-checks, and dataset consistency checks were used to assure the integrity of household-level financial data collected under time constraints.</w:t>
      </w:r>
    </w:p>
    <w:p>
      <w:pPr>
        <w:pStyle w:val="Heading2"/>
      </w:pPr>
      <w:r>
        <w:t>5. Ethical Considerations</w:t>
      </w:r>
    </w:p>
    <w:p>
      <w:r>
        <w:t>All primary data collection with Ethiopian Households and Ethiopian MFI staff will follow informed consent procedures, with consent captured digitally within the KoboToolbox instrument before any interview or survey proceeds. Respondent confidentiality is protected through anonymized data storage, with household- and institution-identifying information stripped from analytical datasets and reported only in aggregate or thematic form. Given that respondents include both household clients and staff of Ethiopian MFIs whose institutional performance is under assessment, Cortech will maintain clear separation between household-level and institution-level data collection teams to avoid perceived conflicts of interest, and will brief AEMFI on data-sharing protocols before fieldwork to ensure institutional respondents understand how their data will and will not be used. Cortech's engagement will additionally observe its standing child safeguarding and PSEA policies throughout fieldwork in household and community settings.</w:t>
      </w:r>
    </w:p>
    <w:p>
      <w:r>
        <w:br w:type="page"/>
      </w:r>
    </w:p>
    <w:p>
      <w:pPr>
        <w:pStyle w:val="Heading1"/>
      </w:pPr>
      <w:r>
        <w:t>Sampling Strategy &amp; Data Analysis Plan</w:t>
      </w:r>
    </w:p>
    <w:p>
      <w:pPr>
        <w:pStyle w:val="Heading2"/>
      </w:pPr>
      <w:r>
        <w:t>PROPOSED APPROACH AND METHODOLOGY</w:t>
      </w:r>
    </w:p>
    <w:p>
      <w:pPr>
        <w:pStyle w:val="Heading3"/>
      </w:pPr>
      <w:r>
        <w:t>Sampling and Selection Logic</w:t>
      </w:r>
    </w:p>
    <w:p>
      <w:r>
        <w:t>The assessment of the Socio-Economic Impacts of Microfinance Services on Ethiopian Households and the Contribution of RUHR to Institutional Capacity, Access to Finance, and Inclusive Financial Delivery of Ethiopian MFIs is designed around institutional and household-level evidence gathering rather than a population-representative survey. Given that the assignment's outputs will inform AEMFI and IFAD's understanding of how RUHR has functioned as a support mechanism within the RUFIP III programme framework, Cortech will apply purposive selection across two tiers of respondents. At the institutional tier, Key Informant Interviews (KIIs) will be conducted with a purposively identified set of Ethiopian MFIs drawn from AEMFI's membership base, selected to reflect variation in institutional size, geographic coverage, and stage of engagement with RUHR-related support, alongside AEMFI secretariat staff and, where access permits, IFAD/RUFIP III programme focal points. At the household tier, Focus Group Discussions (FGDs) and household-level KIIs will be conducted with Ethiopian Households accessing microfinance services, purposively selected in consultation with participating MFIs to capture variation in loan product type, length of engagement with microfinance services, gender of the primary borrower, and rural/peri-urban location. This purposive logic is appropriate because the assignment's objective is explanatory and diagnostic — understanding how and why RUHR's contribution has (or has not) translated into institutional capacity gains, improved access to finance, and more inclusive financial delivery — rather than establishing population-level prevalence estimates that would require probability sampling. Final selection criteria, respondent counts, and site coverage will be confirmed with AEMFI during the inception phase once the complete list of RUHR-supported MFIs and associated documentation is made available to the assignment team.</w:t>
      </w:r>
    </w:p>
    <w:p>
      <w:pPr>
        <w:pStyle w:val="Heading3"/>
      </w:pPr>
      <w:r>
        <w:t>Data Analysis Plan</w:t>
      </w:r>
    </w:p>
    <w:p>
      <w:r>
        <w:t>Quantitative data — drawn from MFI institutional records, AEMFI membership data, and any structured household-level indicators collected during fieldwork — will be cleaned, coded, and entered into SPSS. Descriptive statistics will establish baseline profiles of institutional performance indicators (portfolio outreach, loan portfolio quality, and access-to-finance indicators) and household-level socio-economic indicators (income, savings behaviour, asset ownership) disaggregated by gender, geographic location, and MFI type where the underlying data permits. Where sample sizes and data structure allow, inferential techniques — including cross-tabulations and significance testing — will be applied to examine associations between RUHR-related institutional support and changes in access-to-finance and inclusive-delivery indicators among Ethiopian MFIs. Qualitative data from KIIs and FGDs will be transcribed, coded, and analysed thematically in NVivo, structured around the three named outcome areas of Institutional Capacity, Access to Finance, and Inclusive Financial Delivery, alongside a household-level socio-economic impact thread capturing narratives on income change, resilience, and financial behaviour attributable to microfinance service use. Coding frameworks will be developed deductively from the assignment's stated outcome areas and refined inductively as themes emerge from respondent accounts, with a second coder cross-checking a subset of transcripts to verify coding consistency. Triangulation will occur at the analysis stage rather than the collection stage: findings from institutional KIIs with Ethiopian MFIs will be cross-referenced against AEMFI/IFAD documentary evidence and household-level qualitative accounts to identify convergence, divergence, and explanatory gaps between what institutions report about RUHR's contribution and what households report experiencing as a result of microfinance service delivery. Where quantitative institutional indicators and qualitative household narratives point in different directions, this will be flagged explicitly in the reporting rather than resolved by averaging, preserving the diagnostic value of the mixed-methods design for AEMFI and IFAD's intended use of the results.</w:t>
      </w:r>
    </w:p>
    <w:p>
      <w:r>
        <w:br w:type="page"/>
      </w:r>
    </w:p>
    <w:p>
      <w:pPr>
        <w:pStyle w:val="Heading1"/>
      </w:pPr>
      <w:r>
        <w:t>Quality Assurance &amp; Ethical Considerations</w:t>
      </w:r>
    </w:p>
    <w:p>
      <w:pPr>
        <w:pStyle w:val="Heading2"/>
      </w:pPr>
      <w:r>
        <w:t>SECTION 1 — QUALITY ASSURANCE FRAMEWORK</w:t>
      </w:r>
    </w:p>
    <w:p>
      <w:r>
        <w:t>Cortech Consulting Group applies a phase-linked quality assurance system so that AEMFI and IFAD can verify, at each stage of the assignment, that data on Ethiopian Households and on RUHR's contribution to Institutional Capacity, Access to Finance, and Inclusive Financial Delivery of Ethiopian MFIs meet agreed accuracy and reliability thresholds.</w:t>
      </w:r>
    </w:p>
    <w:p>
      <w:r>
        <w:t xml:space="preserve">During the </w:t>
      </w:r>
      <w:r>
        <w:rPr>
          <w:b/>
        </w:rPr>
        <w:t>Inception Phase</w:t>
      </w:r>
      <w:r>
        <w:t>, the QA lead reviews the draft data collection tools, sampling frame, and household/institutional questionnaires against the assignment's dual objectives before piloting. A pilot of the KoboToolbox instruments with a small sample of respondents from Ethiopian MFI branches and their household clients is used to test question flow, skip logic, and translation accuracy, with revisions logged and approved before full rollout.</w:t>
      </w:r>
    </w:p>
    <w:p>
      <w:r>
        <w:t xml:space="preserve">In the </w:t>
      </w:r>
      <w:r>
        <w:rPr>
          <w:b/>
        </w:rPr>
        <w:t>Field Data Collection Phase</w:t>
      </w:r>
      <w:r>
        <w:t>, enumerator supervisors conduct daily back-checks on a sample of completed household and institutional interviews, cross-referencing GPS metadata, interview duration, and response consistency logged automatically in KoboToolbox. A second-tier reviewer flags outlier or incomplete submissions for re-verification within 48 hours, keeping error correction current with fieldwork rather than deferred to analysis.</w:t>
      </w:r>
    </w:p>
    <w:p>
      <w:r>
        <w:t xml:space="preserve">In the </w:t>
      </w:r>
      <w:r>
        <w:rPr>
          <w:b/>
        </w:rPr>
        <w:t>Analysis and Report Writing Phase</w:t>
      </w:r>
      <w:r>
        <w:t>, quantitative outputs processed in SPSS undergo independent peer review by a senior team member not involved in the original coding, checking variable construction, weighting, and any attribution analysis linking RUHR's institutional-level contribution to household-level outcomes. Qualitative transcripts coded in NVivo are cross-checked by a second coder to confirm inter-coder consistency on thematic categories relevant to Access to Finance and Inclusive Financial Delivery.</w:t>
      </w:r>
    </w:p>
    <w:p>
      <w:r>
        <w:t>Each deliverable — inception report, data collection tools, draft findings, and final report — passes through an internal review gate before submission to AEMFI, followed by a structured client feedback loop in which AEMFI and IFAD comments are logged, addressed point-by-point, and reflected in a tracked-changes revision before resubmission. This sequence will be formalised against the deliverable schedule once the full Terms of Reference (including the referenced annex pack) confirms exact deliverable titles and review windows.</w:t>
      </w:r>
    </w:p>
    <w:p>
      <w:pPr>
        <w:pStyle w:val="Heading2"/>
      </w:pPr>
      <w:r>
        <w:t>SECTION 2 — ETHICAL CONSIDERATIONS AND SAFEGUARDING</w:t>
      </w:r>
    </w:p>
    <w:p>
      <w:r>
        <w:t>Cortech Consulting Group is ISO certified and maintains a Child Safeguarding Policy and PSEA policy compliance across all fieldwork, applied here given the assignment's direct engagement with Ethiopian Households, including women and low-income rural clients of Ethiopian MFIs, some of whom may include minors present during household interviews. All enumerators, supervisors, and consultants deployed to this assignment will sign confidentiality agreements and a code of conduct covering child safeguarding and PSEA before fieldwork begins, and will receive a pre-deployment briefing on referral pathways should a protection concern arise during household or institutional data collection.</w:t>
      </w:r>
    </w:p>
    <w:p>
      <w:r>
        <w:t>Participation by household respondents and by staff of Ethiopian MFIs interviewed on Institutional Capacity, Access to Finance, and Inclusive Financial Delivery will be entirely voluntary and based on informed consent. Respondents will be told, in a language they understand, the purpose of the assessment, its link to RUHR and the RUFIP III programme, expected duration, confidentiality provisions, and their right to withdraw or decline any question without consequence to their relationship with their MFI. Where literacy levels warrant, verbal consent will be recorded and witnessed rather than requiring a signature.</w:t>
      </w:r>
    </w:p>
    <w:p>
      <w:r>
        <w:t>Household-level and institutional data will be collected via KoboToolbox with access restricted to the assigned Cortech team, personally identifiable information stored separately from response datasets, and anonymised outputs used in reporting to AEMFI and IFAD. No individual household or MFI will be identifiable in published findings without explicit consent.</w:t>
      </w:r>
    </w:p>
    <w:p>
      <w:r>
        <w:t>The tender documents supplied for this brief do not specify a named ethical clearance body or IFAD-specific protection protocol beyond the assignment title; Cortech will confirm any required national research permit or IFAD social and environmental safeguard procedure against the full tender pack once obtained, and will not commence fieldwork with Ethiopian Households or Ethiopian MFIs until that clearance, if required, is secured. Throughout, the assessment will observe do-no-harm principles, avoiding any data collection approach that could expose respondents to reputational, financial, or social risk in relation to their MFI or community.</w:t>
      </w:r>
    </w:p>
    <w:p>
      <w:r>
        <w:br w:type="page"/>
      </w:r>
    </w:p>
    <w:p>
      <w:pPr>
        <w:pStyle w:val="Heading1"/>
      </w:pPr>
      <w:r>
        <w:t>Risk Management</w:t>
      </w:r>
    </w:p>
    <w:p>
      <w:r>
        <w:t>Cortech Consulting Group recognizes that an assignment of this nature — spanning household-level socio-economic impact assessment and institutional-level assessment of RUHR's contribution to Institutional Capacity, Access to Finance, and Inclusive Financial Delivery of Ethiopian MFIs — carries distinct operational, data, and stakeholder-engagement risks that must be actively managed rather than assumed away. The dual-strand design, combining household survey work with institutional assessment across AEMFI's member MFIs, requires risk planning calibrated separately for each strand while maintaining a single coordinated register.</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Risk Category</w:t>
            </w:r>
          </w:p>
        </w:tc>
        <w:tc>
          <w:tcPr>
            <w:tcW w:type="dxa" w:w="1728"/>
          </w:tcPr>
          <w:p>
            <w:r>
              <w:rPr>
                <w:b/>
              </w:rPr>
            </w:r>
            <w:r>
              <w:rPr>
                <w:b/>
              </w:rPr>
              <w:t>Description</w:t>
            </w:r>
          </w:p>
        </w:tc>
        <w:tc>
          <w:tcPr>
            <w:tcW w:type="dxa" w:w="1728"/>
          </w:tcPr>
          <w:p>
            <w:r>
              <w:rPr>
                <w:b/>
              </w:rPr>
            </w:r>
            <w:r>
              <w:rPr>
                <w:b/>
              </w:rPr>
              <w:t>Likelihood</w:t>
            </w:r>
          </w:p>
        </w:tc>
        <w:tc>
          <w:tcPr>
            <w:tcW w:type="dxa" w:w="1728"/>
          </w:tcPr>
          <w:p>
            <w:r>
              <w:rPr>
                <w:b/>
              </w:rPr>
            </w:r>
            <w:r>
              <w:rPr>
                <w:b/>
              </w:rPr>
              <w:t>Impact</w:t>
            </w:r>
          </w:p>
        </w:tc>
        <w:tc>
          <w:tcPr>
            <w:tcW w:type="dxa" w:w="1728"/>
          </w:tcPr>
          <w:p>
            <w:r>
              <w:rPr>
                <w:b/>
              </w:rPr>
            </w:r>
            <w:r>
              <w:rPr>
                <w:b/>
              </w:rPr>
              <w:t>Mitigation</w:t>
            </w:r>
          </w:p>
        </w:tc>
      </w:tr>
      <w:tr>
        <w:tc>
          <w:tcPr>
            <w:tcW w:type="dxa" w:w="1728"/>
          </w:tcPr>
          <w:p>
            <w:r/>
            <w:r>
              <w:t>Field access and coverage</w:t>
            </w:r>
          </w:p>
        </w:tc>
        <w:tc>
          <w:tcPr>
            <w:tcW w:type="dxa" w:w="1728"/>
          </w:tcPr>
          <w:p>
            <w:r/>
            <w:r>
              <w:t>Household data collection across the regions covered by RUFIP III/RUHR interventions may face access constraints in remote or under-serviced woredas where Ethiopian MFIs operate, limiting reach to the intended household sample.</w:t>
            </w:r>
          </w:p>
        </w:tc>
        <w:tc>
          <w:tcPr>
            <w:tcW w:type="dxa" w:w="1728"/>
          </w:tcPr>
          <w:p>
            <w:r/>
            <w:r>
              <w:t>Medium</w:t>
            </w:r>
          </w:p>
        </w:tc>
        <w:tc>
          <w:tcPr>
            <w:tcW w:type="dxa" w:w="1728"/>
          </w:tcPr>
          <w:p>
            <w:r/>
            <w:r>
              <w:t>High</w:t>
            </w:r>
          </w:p>
        </w:tc>
        <w:tc>
          <w:tcPr>
            <w:tcW w:type="dxa" w:w="1728"/>
          </w:tcPr>
          <w:p>
            <w:r/>
            <w:r>
              <w:t>Cortech will confirm the specific regions and woredas of RUHR/RUFIP III coverage with AEMFI at inception, deploy locally recruited enumerators familiar with the operating areas, and build route and sequencing flexibility into the field plan so unreachable clusters can be substituted with pre-agreed replacement sites without compromising sample integrity.</w:t>
            </w:r>
          </w:p>
        </w:tc>
      </w:tr>
      <w:tr>
        <w:tc>
          <w:tcPr>
            <w:tcW w:type="dxa" w:w="1728"/>
          </w:tcPr>
          <w:p>
            <w:r/>
            <w:r>
              <w:t>Data quality and collection</w:t>
            </w:r>
          </w:p>
        </w:tc>
        <w:tc>
          <w:tcPr>
            <w:tcW w:type="dxa" w:w="1728"/>
          </w:tcPr>
          <w:p>
            <w:r/>
            <w:r>
              <w:t>Household-level socio-economic data (income, savings, loan use) is prone to recall bias, and MFI-supplied institutional data (portfolio quality, outreach, access-to-finance indicators) may be incomplete, inconsistently defined, or held in non-comparable formats across member institutions.</w:t>
            </w:r>
          </w:p>
        </w:tc>
        <w:tc>
          <w:tcPr>
            <w:tcW w:type="dxa" w:w="1728"/>
          </w:tcPr>
          <w:p>
            <w:r/>
            <w:r>
              <w:t>High</w:t>
            </w:r>
          </w:p>
        </w:tc>
        <w:tc>
          <w:tcPr>
            <w:tcW w:type="dxa" w:w="1728"/>
          </w:tcPr>
          <w:p>
            <w:r/>
            <w:r>
              <w:t>High</w:t>
            </w:r>
          </w:p>
        </w:tc>
        <w:tc>
          <w:tcPr>
            <w:tcW w:type="dxa" w:w="1728"/>
          </w:tcPr>
          <w:p>
            <w:r/>
            <w:r>
              <w:t>Cortech will pilot-test all quantitative instruments in KoboToolbox prior to full rollout, apply standardized indicator definitions agreed jointly with AEMFI, and run daily data quality checks and back-checks in SPSS during fieldwork to flag inconsistencies before they compound into the analysis phase.</w:t>
            </w:r>
          </w:p>
        </w:tc>
      </w:tr>
      <w:tr>
        <w:tc>
          <w:tcPr>
            <w:tcW w:type="dxa" w:w="1728"/>
          </w:tcPr>
          <w:p>
            <w:r/>
            <w:r>
              <w:t>Government and stakeholder engagement</w:t>
            </w:r>
          </w:p>
        </w:tc>
        <w:tc>
          <w:tcPr>
            <w:tcW w:type="dxa" w:w="1728"/>
          </w:tcPr>
          <w:p>
            <w:r/>
            <w:r>
              <w:t>Delayed introductions or endorsement from AEMFI, IFAD's country-level focal point, or relevant government bodies overseeing microfinance regulation could stall access to MFI records or household lists.</w:t>
            </w:r>
          </w:p>
        </w:tc>
        <w:tc>
          <w:tcPr>
            <w:tcW w:type="dxa" w:w="1728"/>
          </w:tcPr>
          <w:p>
            <w:r/>
            <w:r>
              <w:t>Medium</w:t>
            </w:r>
          </w:p>
        </w:tc>
        <w:tc>
          <w:tcPr>
            <w:tcW w:type="dxa" w:w="1728"/>
          </w:tcPr>
          <w:p>
            <w:r/>
            <w:r>
              <w:t>Medium</w:t>
            </w:r>
          </w:p>
        </w:tc>
        <w:tc>
          <w:tcPr>
            <w:tcW w:type="dxa" w:w="1728"/>
          </w:tcPr>
          <w:p>
            <w:r/>
            <w:r>
              <w:t>Cortech will request AEMFI's formal introduction letters and stakeholder contact lists at inception, schedule a joint stakeholder briefing with AEMFI and participating MFIs before fieldwork begins, and maintain a single AEMFI-facing focal point to keep approvals and information flow synchronized.</w:t>
            </w:r>
          </w:p>
        </w:tc>
      </w:tr>
      <w:tr>
        <w:tc>
          <w:tcPr>
            <w:tcW w:type="dxa" w:w="1728"/>
          </w:tcPr>
          <w:p>
            <w:r/>
            <w:r>
              <w:t>Community and household participation</w:t>
            </w:r>
          </w:p>
        </w:tc>
        <w:tc>
          <w:tcPr>
            <w:tcW w:type="dxa" w:w="1728"/>
          </w:tcPr>
          <w:p>
            <w:r/>
            <w:r>
              <w:t>Households previously surveyed under other RUFIP III monitoring exercises may experience survey fatigue or be reluctant to disclose financial information to unfamiliar enumerators.</w:t>
            </w:r>
          </w:p>
        </w:tc>
        <w:tc>
          <w:tcPr>
            <w:tcW w:type="dxa" w:w="1728"/>
          </w:tcPr>
          <w:p>
            <w:r/>
            <w:r>
              <w:t>Medium</w:t>
            </w:r>
          </w:p>
        </w:tc>
        <w:tc>
          <w:tcPr>
            <w:tcW w:type="dxa" w:w="1728"/>
          </w:tcPr>
          <w:p>
            <w:r/>
            <w:r>
              <w:t>Medium</w:t>
            </w:r>
          </w:p>
        </w:tc>
        <w:tc>
          <w:tcPr>
            <w:tcW w:type="dxa" w:w="1728"/>
          </w:tcPr>
          <w:p>
            <w:r/>
            <w:r>
              <w:t>Enumerators will be trained on informed consent, confidentiality, and rapport-building specific to financial disclosure topics, and community entry will be coordinated through existing MFI client relationships and local leadership to establish legitimacy before data collection starts.</w:t>
            </w:r>
          </w:p>
        </w:tc>
      </w:tr>
      <w:tr>
        <w:tc>
          <w:tcPr>
            <w:tcW w:type="dxa" w:w="1728"/>
          </w:tcPr>
          <w:p>
            <w:r/>
            <w:r>
              <w:t>Timeline, sequencing, and approval gates</w:t>
            </w:r>
          </w:p>
        </w:tc>
        <w:tc>
          <w:tcPr>
            <w:tcW w:type="dxa" w:w="1728"/>
          </w:tcPr>
          <w:p>
            <w:r/>
            <w:r>
              <w:t>Sequencing dependencies — inception approval, instrument sign-off by AEMFI, MFI data-sharing agreements, and fieldwork scheduling — may compress the available window if any single approval gate is delayed.</w:t>
            </w:r>
          </w:p>
        </w:tc>
        <w:tc>
          <w:tcPr>
            <w:tcW w:type="dxa" w:w="1728"/>
          </w:tcPr>
          <w:p>
            <w:r/>
            <w:r>
              <w:t>Medium</w:t>
            </w:r>
          </w:p>
        </w:tc>
        <w:tc>
          <w:tcPr>
            <w:tcW w:type="dxa" w:w="1728"/>
          </w:tcPr>
          <w:p>
            <w:r/>
            <w:r>
              <w:t>High</w:t>
            </w:r>
          </w:p>
        </w:tc>
        <w:tc>
          <w:tcPr>
            <w:tcW w:type="dxa" w:w="1728"/>
          </w:tcPr>
          <w:p>
            <w:r/>
            <w:r>
              <w:t>Cortech will submit the inception report and data collection tools for AEMFI review within the agreed period after contract signing, build buffer days into the workplan around each approval gate, and flag any anticipated delay to AEMFI immediately rather than absorbing it silently into later phases.</w:t>
            </w:r>
          </w:p>
        </w:tc>
      </w:tr>
      <w:tr>
        <w:tc>
          <w:tcPr>
            <w:tcW w:type="dxa" w:w="1728"/>
          </w:tcPr>
          <w:p>
            <w:r/>
            <w:r>
              <w:t>Team availability</w:t>
            </w:r>
          </w:p>
        </w:tc>
        <w:tc>
          <w:tcPr>
            <w:tcW w:type="dxa" w:w="1728"/>
          </w:tcPr>
          <w:p>
            <w:r/>
            <w:r>
              <w:t>Key personnel — particularly the microfinance/financial inclusion specialist and quantitative lead — may face competing assignment demands during the field window given the compressed procurement timeline.</w:t>
            </w:r>
          </w:p>
        </w:tc>
        <w:tc>
          <w:tcPr>
            <w:tcW w:type="dxa" w:w="1728"/>
          </w:tcPr>
          <w:p>
            <w:r/>
            <w:r>
              <w:t>Low</w:t>
            </w:r>
          </w:p>
        </w:tc>
        <w:tc>
          <w:tcPr>
            <w:tcW w:type="dxa" w:w="1728"/>
          </w:tcPr>
          <w:p>
            <w:r/>
            <w:r>
              <w:t>Medium</w:t>
            </w:r>
          </w:p>
        </w:tc>
        <w:tc>
          <w:tcPr>
            <w:tcW w:type="dxa" w:w="1728"/>
          </w:tcPr>
          <w:p>
            <w:r/>
            <w:r>
              <w:t>Cortech will confirm core team availability and signed commitment letters prior to contract signing, and maintain a shortlisted pool of vetted local associate consultants who can be mobilized on short notice for surge field capacity.</w:t>
            </w:r>
          </w:p>
        </w:tc>
      </w:tr>
      <w:tr>
        <w:tc>
          <w:tcPr>
            <w:tcW w:type="dxa" w:w="1728"/>
          </w:tcPr>
          <w:p>
            <w:r/>
            <w:r>
              <w:t>Institutional data sensitivity</w:t>
            </w:r>
          </w:p>
        </w:tc>
        <w:tc>
          <w:tcPr>
            <w:tcW w:type="dxa" w:w="1728"/>
          </w:tcPr>
          <w:p>
            <w:r/>
            <w:r>
              <w:t>Ethiopian MFIs may treat portfolio, delinquency, or capital-adequacy data as commercially sensitive, restricting the depth of institutional capacity assessment.</w:t>
            </w:r>
          </w:p>
        </w:tc>
        <w:tc>
          <w:tcPr>
            <w:tcW w:type="dxa" w:w="1728"/>
          </w:tcPr>
          <w:p>
            <w:r/>
            <w:r>
              <w:t>Medium</w:t>
            </w:r>
          </w:p>
        </w:tc>
        <w:tc>
          <w:tcPr>
            <w:tcW w:type="dxa" w:w="1728"/>
          </w:tcPr>
          <w:p>
            <w:r/>
            <w:r>
              <w:t>Medium</w:t>
            </w:r>
          </w:p>
        </w:tc>
        <w:tc>
          <w:tcPr>
            <w:tcW w:type="dxa" w:w="1728"/>
          </w:tcPr>
          <w:p>
            <w:r/>
            <w:r>
              <w:t>Cortech will formalize data-sharing protocols and confidentiality undertakings with each participating MFI before requesting institutional data, and present findings at aggregate/sector level where individual MFI data cannot be disclosed.</w:t>
            </w:r>
          </w:p>
        </w:tc>
      </w:tr>
      <w:tr>
        <w:tc>
          <w:tcPr>
            <w:tcW w:type="dxa" w:w="1728"/>
          </w:tcPr>
          <w:p>
            <w:r/>
            <w:r>
              <w:t>Attribution and methodological complexity</w:t>
            </w:r>
          </w:p>
        </w:tc>
        <w:tc>
          <w:tcPr>
            <w:tcW w:type="dxa" w:w="1728"/>
          </w:tcPr>
          <w:p>
            <w:r/>
            <w:r>
              <w:t>Isolating RUHR's specific contribution to Institutional Capacity, Access to Finance, and Inclusive Financial Delivery from other concurrent RUFIP III or donor interventions may be methodologically contested by stakeholders reviewing draft findings.</w:t>
            </w:r>
          </w:p>
        </w:tc>
        <w:tc>
          <w:tcPr>
            <w:tcW w:type="dxa" w:w="1728"/>
          </w:tcPr>
          <w:p>
            <w:r/>
            <w:r>
              <w:t>Medium</w:t>
            </w:r>
          </w:p>
        </w:tc>
        <w:tc>
          <w:tcPr>
            <w:tcW w:type="dxa" w:w="1728"/>
          </w:tcPr>
          <w:p>
            <w:r/>
            <w:r>
              <w:t>High</w:t>
            </w:r>
          </w:p>
        </w:tc>
        <w:tc>
          <w:tcPr>
            <w:tcW w:type="dxa" w:w="1728"/>
          </w:tcPr>
          <w:p>
            <w:r/>
            <w:r>
              <w:t>Cortech will apply a contribution analysis approach, triangulating household and institutional data with documented RUHR activity records and MFI performance trends over the relevant period, and will clearly state attribution boundaries and confidence levels in reporting rather than overstating causal claims.</w:t>
            </w:r>
          </w:p>
        </w:tc>
      </w:tr>
    </w:tbl>
    <w:p>
      <w:r>
        <w:t>Cortech will maintain a live risk register from inception through final reporting, reviewed at fixed internal checkpoints aligned to each phase of the workplan, with any material risk escalated promptly to AEMFI's designated focal point for joint resolution. This structure allows early warning on access, data, or approval-gate risks before they affect the delivery timeline, and keeps AEMFI and IFAD informed without requiring reactive troubleshooting once fieldwork is underway.</w:t>
      </w:r>
    </w:p>
    <w:p>
      <w:r>
        <w:t>The mitigation measures above are deliberately operational: they rely on sequencing discipline, local recruitment, standardized instruments, and formalized data-sharing agreements rather than on schedule slippage or unplanned resourcing. This approach reflects Cortech's experience managing multi-stakeholder evaluations in comparable East African contexts, where coordination between a national association, a donor, and dispersed member institutions determines whether an assignment of this scope stays on track for the deadline the client has set.</w:t>
      </w:r>
    </w:p>
    <w:p>
      <w:r>
        <w:br w:type="page"/>
      </w:r>
    </w:p>
    <w:p>
      <w:pPr>
        <w:pStyle w:val="Heading1"/>
      </w:pPr>
      <w:r>
        <w:t>Proposed Team &amp; Core Experts</w:t>
      </w:r>
    </w:p>
    <w:p>
      <w:pPr>
        <w:pStyle w:val="Heading2"/>
      </w:pPr>
      <w:r>
        <w:t>Team Composition</w:t>
      </w:r>
    </w:p>
    <w:p>
      <w:r>
        <w:t>The assignment requires a team capable of executing two analytically distinct but coherently linked strands of work: a household-level socio-economic impact assessment of microfinance services reaching Ethiopian Households, and an institutional-level assessment of RUHR's contribution to Institutional Capacity, Access to Finance, and Inclusive Financial Delivery of Ethiopian MFIs. No personnel schedule, minimum-qualification table, or team-size requirement is stated in the tender material available to Cortech at the time of drafting; the composition below is therefore built against the scope implied by the assignment title and the sector classifications the tender itself carries — Micro-Credit/Microfinance, Econometrics/Statistics/Income Distribution, and Finance &amp; Banking (Policy/Planning/Systems; Reporting/Finance Management; Credit/Letters of Credit/Loans/Credit Guarantees). Cortech will draw this team from its core staff complement and its network consultants, combining institutional-assessment experience from financial-inclusion evaluations with household-level survey and participatory research capacity, and will confirm any additional named qualifications once the full tender pack, including the referenced annex document, is obtained.</w:t>
      </w:r>
    </w:p>
    <w:p>
      <w:r>
        <w:rPr>
          <w:b/>
        </w:rPr>
        <w:t>Team Leader / Socio-Economic Impact Assessment Specialist.</w:t>
      </w:r>
      <w:r>
        <w:t xml:space="preserve"> This role carries overall technical responsibility for the assignment and serves as the primary interface with AEMFI. The Team Leader will draw on Cortech's lead role in the Final Evaluation of the Finance for Inclusive Growth (FIG) Somalia Programme for the African Enterprise Challenge Fund (AECF), which required assessing outcomes across six partner financial institutions alongside end-client impact, and on the End-Term Evaluation of the Resilience, Health and Rights Project for Kenya Red Cross Society (KRCS), which combined institutional performance review with household-level outcome measurement. This experience directly addresses the requirement for a lead capable of holding the household and institutional strands of this assignment together within a single coherent methodology.</w:t>
      </w:r>
    </w:p>
    <w:p>
      <w:r>
        <w:rPr>
          <w:b/>
        </w:rPr>
        <w:t>Financial Inclusion / Institutional Capacity Specialist.</w:t>
      </w:r>
      <w:r>
        <w:t xml:space="preserve"> This position is responsible for the institutional assessment strand — evaluating RUHR's contribution to Institutional Capacity, Access to Finance, and Inclusive Financial Delivery across Ethiopian MFIs. The specialist will apply lessons from the FIG Somalia Programme evaluation, where institutional capacity and access-to-finance outcomes were assessed against defined inclusion indicators for financial-sector partners. This satisfies the assignment's explicit institutional outcome areas as named in the title.</w:t>
      </w:r>
    </w:p>
    <w:p>
      <w:r>
        <w:rPr>
          <w:b/>
        </w:rPr>
        <w:t>Quantitative Research / Econometrics Specialist.</w:t>
      </w:r>
      <w:r>
        <w:t xml:space="preserve"> This role leads survey design, sampling, and statistical analysis of household-level data, using SPSS, KoboToolbox, and Python/R, consistent with Cortech's standard toolset for quantitative fieldwork. This individual will be responsible for designing the household sampling frame, structuring the survey instruments, and conducting the statistical analysis of socio-economic outcomes, directly satisfying the tender's Econometrics/Statistics/Income Distribution classification and the requirement for rigorous, defensible measurement of impact on Ethiopian Households.</w:t>
      </w:r>
    </w:p>
    <w:p>
      <w:r>
        <w:rPr>
          <w:b/>
        </w:rPr>
        <w:t>Qualitative Research / Community Engagement Specialist.</w:t>
      </w:r>
      <w:r>
        <w:t xml:space="preserve"> This role leads participatory data collection with MFI clients and non-client households, applying Cortech's Participatory Action Research approach to capture household-level experiences of microfinance services that quantitative instruments alone cannot surface. Drawing on Cortech's field experience conducting participatory assessments with drought- and flood-affected communities under the Rural Agency for Community Development Assistance (RACIDA) Integrated Recovery Response project, this specialist will ensure the household strand of the assignment reflects lived experience alongside statistical measurement, satisfying the assignment's requirement to assess socio-economic impacts at household level.</w:t>
      </w:r>
    </w:p>
    <w:p>
      <w:r>
        <w:rPr>
          <w:b/>
        </w:rPr>
        <w:t>Data Management and Quality Assurance Officer.</w:t>
      </w:r>
      <w:r>
        <w:t xml:space="preserve"> This position oversees KoboToolbox deployment, data cleaning, and validation protocols across all field sites, and coordinates with NVivo-based qualitative coding to ensure triangulation between the household and institutional data strands. This role satisfies the assignment's implicit requirement for defensible, quality-assured evidence given the scale of data collection across Ethiopian MFIs and their client households.</w:t>
      </w:r>
    </w:p>
    <w:p>
      <w:r>
        <w:rPr>
          <w:b/>
        </w:rPr>
        <w:t>External specialist requirement.</w:t>
      </w:r>
      <w:r>
        <w:t xml:space="preserve"> No named gaps have been identified against the personnel requirements available at this stage, since the tender documents supplied do not specify a mandatory team composition, minimum qualifications, or named expert categories. Should the full tender pack — including the referenced annex document — specify additional named expertise, such as an Ethiopian microfinance sector specialist with in-country regulatory knowledge, Cortech will recruit against that requirement from its established network consultants prior to submission finalisation, consistent with its recommended-partner approach on comparable assignments.</w:t>
      </w:r>
    </w:p>
    <w:p>
      <w:r>
        <w:rPr>
          <w:b/>
        </w:rPr>
        <w:t>Availability and commitment.</w:t>
      </w:r>
      <w:r>
        <w:t xml:space="preserve"> All proposed personnel are confirmed available for mobilisation within the assignment's implied timeframe, calculated against the 15 September 2026 submission deadline and the standard IFAD/RUFIP III reporting cycle. Cortech's core team structure of four to eight staff, supplemented by network consultants, allows rapid mobilisation without competing demands on the Team Leader or the Financial Inclusion Specialist during the inception and field phases. Each member named above will remain assigned for the full duration of the assignment, from inception through final deliverable submission, with no rotation of key personnel absent client approval.</w:t>
      </w:r>
    </w:p>
    <w:p>
      <w:r>
        <w:br w:type="page"/>
      </w:r>
    </w:p>
    <w:p>
      <w:pPr>
        <w:pStyle w:val="Heading1"/>
      </w:pPr>
      <w:r>
        <w:t>Work Plan &amp; Timeline</w:t>
      </w:r>
    </w:p>
    <w:p>
      <w:pPr>
        <w:pStyle w:val="Heading2"/>
      </w:pPr>
      <w:r>
        <w:t>Basis for the Work Plan</w:t>
      </w:r>
    </w:p>
    <w:p>
      <w:r>
        <w:t>The source documents available for this submission — the AEMFI/IFAD portal listing and newsletter record for reference IFAD/RUFIPIII/AEMFI/CS/QCBS/05/2026/27 — confirm the proposal submission deadline of 15 September 2026 but do not fix an assignment start date, total duration, interim milestone dates, or a deliverables schedule. The referenced annex ("1787811210942.pdf") that would ordinarily carry these details was not available to this drafting team. Cortech has therefore built the work plan below on the phase logic that governs its comparable IFAD-adjacent and financial-inclusion assignments (including the Final Evaluation of the Finance for Inclusive Growth (FIG) Somalia Programme for AECF), expressed in relative months from contract signature rather than fixed calendar dates. Cortech will submit a revised, date-specific work plan within the Inception Report once AEMFI confirms the contract start date and transmits the complete Terms of Reference, including any fixed deliverable dates not visible in the material reviewed for this proposal.</w:t>
      </w:r>
    </w:p>
    <w:p>
      <w:pPr>
        <w:pStyle w:val="Heading2"/>
      </w:pPr>
      <w:r>
        <w:t>Phase Breakdown</w:t>
      </w:r>
    </w:p>
    <w:p>
      <w:r>
        <w:rPr>
          <w:b/>
        </w:rPr>
        <w:t>Phase 1: Inception (Month 1)</w:t>
      </w:r>
      <w:r>
        <w:t xml:space="preserve"> Activities: desk review of RUFIP III and RUHR programme documentation; inception meeting with AEMFI and, where AEMFI directs, IFAD; confirmation of the sampling frame covering Ethiopian Households and the Ethiopian MFIs within AEMFI's membership supported under RUHR; finalisation of data collection instruments in KoboToolbox for both the household socio-economic strand and the institutional strand covering Institutional Capacity, Access to Finance, and Inclusive Financial Delivery. Output: Inception Report, submitted for AEMFI approval. Field data collection does not begin until the Inception Report is approved — this gate mirrors the approval-dependent sequencing Cortech applied on its endline evaluation for Save the Children, where fieldwork proceeded only after client sign-off on the inception deliverable.</w:t>
      </w:r>
    </w:p>
    <w:p>
      <w:r>
        <w:rPr>
          <w:b/>
        </w:rPr>
        <w:t>Phase 2: Instrument and Sampling Finalisation (Month 1–2, overlapping with Phase 1 close-out)</w:t>
      </w:r>
      <w:r>
        <w:t xml:space="preserve"> Activities: household survey questionnaire piloting; key informant interview and focus group discussion guides for Ethiopian MFI management and staff; enumerator and field supervisor training. Output: Finalised, field-tested tools and a trained enumeration team.</w:t>
      </w:r>
    </w:p>
    <w:p>
      <w:r>
        <w:rPr>
          <w:b/>
        </w:rPr>
        <w:t>Phase 3: Field Data Collection (Month 2–3)</w:t>
      </w:r>
      <w:r>
        <w:t xml:space="preserve"> Activities: household-level quantitative survey administration; institutional-level key informant interviews and document review with participating Ethiopian MFIs; focus group discussions with client-facing MFI staff and household beneficiaries. Output: Cleaned household dataset and institutional interview/documentary record.</w:t>
      </w:r>
    </w:p>
    <w:p>
      <w:r>
        <w:rPr>
          <w:b/>
        </w:rPr>
        <w:t>Phase 4: Data Processing and Analysis (Month 3–4)</w:t>
      </w:r>
      <w:r>
        <w:t xml:space="preserve"> Activities: quantitative analysis in SPSS/Python of household socio-economic indicators; NVivo-coded qualitative analysis of institutional capacity, access-to-finance, and inclusive-delivery evidence; triangulation of the household and institutional strands against the assignment's dual objective. Output: Analysis note and draft findings for internal quality review.</w:t>
      </w:r>
    </w:p>
    <w:p>
      <w:r>
        <w:rPr>
          <w:b/>
        </w:rPr>
        <w:t>Phase 5: Reporting and Validation (Month 4–5)</w:t>
      </w:r>
      <w:r>
        <w:t xml:space="preserve"> Activities: draft report preparation; validation workshop with AEMFI (and IFAD where required); incorporation of feedback. Output: Draft Report submitted for comment, followed by the Final Report.</w:t>
      </w:r>
    </w:p>
    <w:p>
      <w:r>
        <w:rPr>
          <w:b/>
        </w:rPr>
        <w:t>Phase 6: Final Submission and Closeout (Month 5)</w:t>
      </w:r>
      <w:r>
        <w:t xml:space="preserve"> Activities: incorporation of final comments; handover of cleaned datasets and tools. Output: Final Report and dataset package.</w:t>
      </w:r>
    </w:p>
    <w:p>
      <w:pPr>
        <w:pStyle w:val="Heading2"/>
      </w:pPr>
      <w:r>
        <w:t>Sequential and Parallel Activities</w:t>
      </w:r>
    </w:p>
    <w:p>
      <w:r>
        <w:t>Instrument design for the household strand and the institutional strand runs in parallel, since the two use distinct sampling frames and respondent pools. Field data collection is likewise split into parallel teams — household enumerators and institutional key-informant interviewers — coordinated through a single field supervisor to maintain consistency. Analysis of the smaller institutional dataset can begin as soon as institutional interviews close, ahead of full household data cleaning, but the triangulated write-up is strictly sequential and cannot start until both datasets are finalised. Reporting and validation are sequential by design, since the Draft Report must precede the validation workshop, and the Final Report must follow AEMFI's comments.</w:t>
      </w:r>
    </w:p>
    <w:p>
      <w:pPr>
        <w:pStyle w:val="Heading2"/>
      </w:pPr>
      <w:r>
        <w:t>GANTT CHART</w:t>
      </w:r>
    </w:p>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Pr>
                <w:b/>
              </w:rPr>
            </w:r>
            <w:r>
              <w:rPr>
                <w:b/>
              </w:rPr>
              <w:t>Phase / Activity</w:t>
            </w:r>
          </w:p>
        </w:tc>
        <w:tc>
          <w:tcPr>
            <w:tcW w:type="dxa" w:w="785"/>
          </w:tcPr>
          <w:p>
            <w:r>
              <w:rPr>
                <w:b/>
              </w:rPr>
            </w:r>
            <w:r>
              <w:rPr>
                <w:b/>
              </w:rPr>
              <w:t>M1 W1–2</w:t>
            </w:r>
          </w:p>
        </w:tc>
        <w:tc>
          <w:tcPr>
            <w:tcW w:type="dxa" w:w="785"/>
          </w:tcPr>
          <w:p>
            <w:r>
              <w:rPr>
                <w:b/>
              </w:rPr>
            </w:r>
            <w:r>
              <w:rPr>
                <w:b/>
              </w:rPr>
              <w:t>M1 W3–4</w:t>
            </w:r>
          </w:p>
        </w:tc>
        <w:tc>
          <w:tcPr>
            <w:tcW w:type="dxa" w:w="785"/>
          </w:tcPr>
          <w:p>
            <w:r>
              <w:rPr>
                <w:b/>
              </w:rPr>
            </w:r>
            <w:r>
              <w:rPr>
                <w:b/>
              </w:rPr>
              <w:t>M2 W1–2</w:t>
            </w:r>
          </w:p>
        </w:tc>
        <w:tc>
          <w:tcPr>
            <w:tcW w:type="dxa" w:w="785"/>
          </w:tcPr>
          <w:p>
            <w:r>
              <w:rPr>
                <w:b/>
              </w:rPr>
            </w:r>
            <w:r>
              <w:rPr>
                <w:b/>
              </w:rPr>
              <w:t>M2 W3–4</w:t>
            </w:r>
          </w:p>
        </w:tc>
        <w:tc>
          <w:tcPr>
            <w:tcW w:type="dxa" w:w="785"/>
          </w:tcPr>
          <w:p>
            <w:r>
              <w:rPr>
                <w:b/>
              </w:rPr>
            </w:r>
            <w:r>
              <w:rPr>
                <w:b/>
              </w:rPr>
              <w:t>M3 W1–2</w:t>
            </w:r>
          </w:p>
        </w:tc>
        <w:tc>
          <w:tcPr>
            <w:tcW w:type="dxa" w:w="785"/>
          </w:tcPr>
          <w:p>
            <w:r>
              <w:rPr>
                <w:b/>
              </w:rPr>
            </w:r>
            <w:r>
              <w:rPr>
                <w:b/>
              </w:rPr>
              <w:t>M3 W3–4</w:t>
            </w:r>
          </w:p>
        </w:tc>
        <w:tc>
          <w:tcPr>
            <w:tcW w:type="dxa" w:w="785"/>
          </w:tcPr>
          <w:p>
            <w:r>
              <w:rPr>
                <w:b/>
              </w:rPr>
            </w:r>
            <w:r>
              <w:rPr>
                <w:b/>
              </w:rPr>
              <w:t>M4 W1–2</w:t>
            </w:r>
          </w:p>
        </w:tc>
        <w:tc>
          <w:tcPr>
            <w:tcW w:type="dxa" w:w="785"/>
          </w:tcPr>
          <w:p>
            <w:r>
              <w:rPr>
                <w:b/>
              </w:rPr>
            </w:r>
            <w:r>
              <w:rPr>
                <w:b/>
              </w:rPr>
              <w:t>M4 W3–4</w:t>
            </w:r>
          </w:p>
        </w:tc>
        <w:tc>
          <w:tcPr>
            <w:tcW w:type="dxa" w:w="785"/>
          </w:tcPr>
          <w:p>
            <w:r>
              <w:rPr>
                <w:b/>
              </w:rPr>
            </w:r>
            <w:r>
              <w:rPr>
                <w:b/>
              </w:rPr>
              <w:t>M5 W1–2</w:t>
            </w:r>
          </w:p>
        </w:tc>
        <w:tc>
          <w:tcPr>
            <w:tcW w:type="dxa" w:w="785"/>
          </w:tcPr>
          <w:p>
            <w:r>
              <w:rPr>
                <w:b/>
              </w:rPr>
            </w:r>
            <w:r>
              <w:rPr>
                <w:b/>
              </w:rPr>
              <w:t>M5 W3–4</w:t>
            </w:r>
          </w:p>
        </w:tc>
      </w:tr>
      <w:tr>
        <w:tc>
          <w:tcPr>
            <w:tcW w:type="dxa" w:w="785"/>
          </w:tcPr>
          <w:p>
            <w:r/>
            <w:r>
              <w:t>Desk review &amp; inception meeting</w:t>
            </w:r>
          </w:p>
        </w:tc>
        <w:tc>
          <w:tcPr>
            <w:tcW w:type="dxa" w:w="785"/>
          </w:tcPr>
          <w:p>
            <w:r/>
            <w:r>
              <w:t>X</w:t>
            </w:r>
          </w:p>
        </w:tc>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p>
        </w:tc>
      </w:tr>
      <w:tr>
        <w:tc>
          <w:tcPr>
            <w:tcW w:type="dxa" w:w="785"/>
          </w:tcPr>
          <w:p>
            <w:r/>
            <w:r>
              <w:t>Inception Report (submission/approval gate)</w:t>
            </w:r>
          </w:p>
        </w:tc>
        <w:tc>
          <w:tcPr>
            <w:tcW w:type="dxa" w:w="785"/>
          </w:tcPr>
          <w:p>
            <w:r/>
          </w:p>
        </w:tc>
        <w:tc>
          <w:tcPr>
            <w:tcW w:type="dxa" w:w="785"/>
          </w:tcPr>
          <w:p>
            <w:r/>
            <w:r>
              <w:t>X</w:t>
            </w:r>
          </w:p>
        </w:tc>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p>
        </w:tc>
      </w:tr>
      <w:tr>
        <w:tc>
          <w:tcPr>
            <w:tcW w:type="dxa" w:w="785"/>
          </w:tcPr>
          <w:p>
            <w:r/>
            <w:r>
              <w:t>Tool design &amp; piloting (household + institutional)</w:t>
            </w:r>
          </w:p>
        </w:tc>
        <w:tc>
          <w:tcPr>
            <w:tcW w:type="dxa" w:w="785"/>
          </w:tcPr>
          <w:p>
            <w:r/>
          </w:p>
        </w:tc>
        <w:tc>
          <w:tcPr>
            <w:tcW w:type="dxa" w:w="785"/>
          </w:tcPr>
          <w:p>
            <w:r/>
            <w:r>
              <w:t>X</w:t>
            </w:r>
          </w:p>
        </w:tc>
        <w:tc>
          <w:tcPr>
            <w:tcW w:type="dxa" w:w="785"/>
          </w:tcPr>
          <w:p>
            <w:r/>
            <w:r>
              <w:t>X</w:t>
            </w:r>
          </w:p>
        </w:tc>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p>
        </w:tc>
      </w:tr>
      <w:tr>
        <w:tc>
          <w:tcPr>
            <w:tcW w:type="dxa" w:w="785"/>
          </w:tcPr>
          <w:p>
            <w:r/>
            <w:r>
              <w:t>Enumerator/interviewer training</w:t>
            </w:r>
          </w:p>
        </w:tc>
        <w:tc>
          <w:tcPr>
            <w:tcW w:type="dxa" w:w="785"/>
          </w:tcPr>
          <w:p>
            <w:r/>
          </w:p>
        </w:tc>
        <w:tc>
          <w:tcPr>
            <w:tcW w:type="dxa" w:w="785"/>
          </w:tcPr>
          <w:p>
            <w:r/>
          </w:p>
        </w:tc>
        <w:tc>
          <w:tcPr>
            <w:tcW w:type="dxa" w:w="785"/>
          </w:tcPr>
          <w:p>
            <w:r/>
            <w:r>
              <w:t>X</w:t>
            </w:r>
          </w:p>
        </w:tc>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p>
        </w:tc>
      </w:tr>
      <w:tr>
        <w:tc>
          <w:tcPr>
            <w:tcW w:type="dxa" w:w="785"/>
          </w:tcPr>
          <w:p>
            <w:r/>
            <w:r>
              <w:t>Household survey fieldwork</w:t>
            </w:r>
          </w:p>
        </w:tc>
        <w:tc>
          <w:tcPr>
            <w:tcW w:type="dxa" w:w="785"/>
          </w:tcPr>
          <w:p>
            <w:r/>
          </w:p>
        </w:tc>
        <w:tc>
          <w:tcPr>
            <w:tcW w:type="dxa" w:w="785"/>
          </w:tcPr>
          <w:p>
            <w:r/>
          </w:p>
        </w:tc>
        <w:tc>
          <w:tcPr>
            <w:tcW w:type="dxa" w:w="785"/>
          </w:tcPr>
          <w:p>
            <w:r/>
          </w:p>
        </w:tc>
        <w:tc>
          <w:tcPr>
            <w:tcW w:type="dxa" w:w="785"/>
          </w:tcPr>
          <w:p>
            <w:r/>
            <w:r>
              <w:t>X</w:t>
            </w:r>
          </w:p>
        </w:tc>
        <w:tc>
          <w:tcPr>
            <w:tcW w:type="dxa" w:w="785"/>
          </w:tcPr>
          <w:p>
            <w:r/>
            <w:r>
              <w:t>X</w:t>
            </w:r>
          </w:p>
        </w:tc>
        <w:tc>
          <w:tcPr>
            <w:tcW w:type="dxa" w:w="785"/>
          </w:tcPr>
          <w:p>
            <w:r/>
          </w:p>
        </w:tc>
        <w:tc>
          <w:tcPr>
            <w:tcW w:type="dxa" w:w="785"/>
          </w:tcPr>
          <w:p>
            <w:r/>
          </w:p>
        </w:tc>
        <w:tc>
          <w:tcPr>
            <w:tcW w:type="dxa" w:w="785"/>
          </w:tcPr>
          <w:p>
            <w:r/>
          </w:p>
        </w:tc>
        <w:tc>
          <w:tcPr>
            <w:tcW w:type="dxa" w:w="785"/>
          </w:tcPr>
          <w:p>
            <w:r/>
          </w:p>
        </w:tc>
        <w:tc>
          <w:tcPr>
            <w:tcW w:type="dxa" w:w="785"/>
          </w:tcPr>
          <w:p>
            <w:r/>
          </w:p>
        </w:tc>
      </w:tr>
      <w:tr>
        <w:tc>
          <w:tcPr>
            <w:tcW w:type="dxa" w:w="785"/>
          </w:tcPr>
          <w:p>
            <w:r/>
            <w:r>
              <w:t>Institutional KIIs/FGDs with Ethiopian MFIs</w:t>
            </w:r>
          </w:p>
        </w:tc>
        <w:tc>
          <w:tcPr>
            <w:tcW w:type="dxa" w:w="785"/>
          </w:tcPr>
          <w:p>
            <w:r/>
          </w:p>
        </w:tc>
        <w:tc>
          <w:tcPr>
            <w:tcW w:type="dxa" w:w="785"/>
          </w:tcPr>
          <w:p>
            <w:r/>
          </w:p>
        </w:tc>
        <w:tc>
          <w:tcPr>
            <w:tcW w:type="dxa" w:w="785"/>
          </w:tcPr>
          <w:p>
            <w:r/>
          </w:p>
        </w:tc>
        <w:tc>
          <w:tcPr>
            <w:tcW w:type="dxa" w:w="785"/>
          </w:tcPr>
          <w:p>
            <w:r/>
            <w:r>
              <w:t>X</w:t>
            </w:r>
          </w:p>
        </w:tc>
        <w:tc>
          <w:tcPr>
            <w:tcW w:type="dxa" w:w="785"/>
          </w:tcPr>
          <w:p>
            <w:r/>
            <w:r>
              <w:t>X</w:t>
            </w:r>
          </w:p>
        </w:tc>
        <w:tc>
          <w:tcPr>
            <w:tcW w:type="dxa" w:w="785"/>
          </w:tcPr>
          <w:p>
            <w:r/>
          </w:p>
        </w:tc>
        <w:tc>
          <w:tcPr>
            <w:tcW w:type="dxa" w:w="785"/>
          </w:tcPr>
          <w:p>
            <w:r/>
          </w:p>
        </w:tc>
        <w:tc>
          <w:tcPr>
            <w:tcW w:type="dxa" w:w="785"/>
          </w:tcPr>
          <w:p>
            <w:r/>
          </w:p>
        </w:tc>
        <w:tc>
          <w:tcPr>
            <w:tcW w:type="dxa" w:w="785"/>
          </w:tcPr>
          <w:p>
            <w:r/>
          </w:p>
        </w:tc>
        <w:tc>
          <w:tcPr>
            <w:tcW w:type="dxa" w:w="785"/>
          </w:tcPr>
          <w:p>
            <w:r/>
          </w:p>
        </w:tc>
      </w:tr>
      <w:tr>
        <w:tc>
          <w:tcPr>
            <w:tcW w:type="dxa" w:w="785"/>
          </w:tcPr>
          <w:p>
            <w:r/>
            <w:r>
              <w:t>Data cleaning (household)</w:t>
            </w:r>
          </w:p>
        </w:tc>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r>
              <w:t>X</w:t>
            </w:r>
          </w:p>
        </w:tc>
        <w:tc>
          <w:tcPr>
            <w:tcW w:type="dxa" w:w="785"/>
          </w:tcPr>
          <w:p>
            <w:r/>
          </w:p>
        </w:tc>
        <w:tc>
          <w:tcPr>
            <w:tcW w:type="dxa" w:w="785"/>
          </w:tcPr>
          <w:p>
            <w:r/>
          </w:p>
        </w:tc>
        <w:tc>
          <w:tcPr>
            <w:tcW w:type="dxa" w:w="785"/>
          </w:tcPr>
          <w:p>
            <w:r/>
          </w:p>
        </w:tc>
        <w:tc>
          <w:tcPr>
            <w:tcW w:type="dxa" w:w="785"/>
          </w:tcPr>
          <w:p>
            <w:r/>
          </w:p>
        </w:tc>
      </w:tr>
      <w:tr>
        <w:tc>
          <w:tcPr>
            <w:tcW w:type="dxa" w:w="785"/>
          </w:tcPr>
          <w:p>
            <w:r/>
            <w:r>
              <w:t>Institutional data analysis (parallel start)</w:t>
            </w:r>
          </w:p>
        </w:tc>
        <w:tc>
          <w:tcPr>
            <w:tcW w:type="dxa" w:w="785"/>
          </w:tcPr>
          <w:p>
            <w:r/>
          </w:p>
        </w:tc>
        <w:tc>
          <w:tcPr>
            <w:tcW w:type="dxa" w:w="785"/>
          </w:tcPr>
          <w:p>
            <w:r/>
          </w:p>
        </w:tc>
        <w:tc>
          <w:tcPr>
            <w:tcW w:type="dxa" w:w="785"/>
          </w:tcPr>
          <w:p>
            <w:r/>
          </w:p>
        </w:tc>
        <w:tc>
          <w:tcPr>
            <w:tcW w:type="dxa" w:w="785"/>
          </w:tcPr>
          <w:p>
            <w:r/>
          </w:p>
        </w:tc>
        <w:tc>
          <w:tcPr>
            <w:tcW w:type="dxa" w:w="785"/>
          </w:tcPr>
          <w:p>
            <w:r/>
            <w:r>
              <w:t>X</w:t>
            </w:r>
          </w:p>
        </w:tc>
        <w:tc>
          <w:tcPr>
            <w:tcW w:type="dxa" w:w="785"/>
          </w:tcPr>
          <w:p>
            <w:r/>
            <w:r>
              <w:t>X</w:t>
            </w:r>
          </w:p>
        </w:tc>
        <w:tc>
          <w:tcPr>
            <w:tcW w:type="dxa" w:w="785"/>
          </w:tcPr>
          <w:p>
            <w:r/>
          </w:p>
        </w:tc>
        <w:tc>
          <w:tcPr>
            <w:tcW w:type="dxa" w:w="785"/>
          </w:tcPr>
          <w:p>
            <w:r/>
          </w:p>
        </w:tc>
        <w:tc>
          <w:tcPr>
            <w:tcW w:type="dxa" w:w="785"/>
          </w:tcPr>
          <w:p>
            <w:r/>
          </w:p>
        </w:tc>
        <w:tc>
          <w:tcPr>
            <w:tcW w:type="dxa" w:w="785"/>
          </w:tcPr>
          <w:p>
            <w:r/>
          </w:p>
        </w:tc>
      </w:tr>
      <w:tr>
        <w:tc>
          <w:tcPr>
            <w:tcW w:type="dxa" w:w="785"/>
          </w:tcPr>
          <w:p>
            <w:r/>
            <w:r>
              <w:t>Triangulated quantitative &amp; qualitative analysis</w:t>
            </w:r>
          </w:p>
        </w:tc>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r>
              <w:t>X</w:t>
            </w:r>
          </w:p>
        </w:tc>
        <w:tc>
          <w:tcPr>
            <w:tcW w:type="dxa" w:w="785"/>
          </w:tcPr>
          <w:p>
            <w:r/>
            <w:r>
              <w:t>X</w:t>
            </w:r>
          </w:p>
        </w:tc>
        <w:tc>
          <w:tcPr>
            <w:tcW w:type="dxa" w:w="785"/>
          </w:tcPr>
          <w:p>
            <w:r/>
          </w:p>
        </w:tc>
        <w:tc>
          <w:tcPr>
            <w:tcW w:type="dxa" w:w="785"/>
          </w:tcPr>
          <w:p>
            <w:r/>
          </w:p>
        </w:tc>
        <w:tc>
          <w:tcPr>
            <w:tcW w:type="dxa" w:w="785"/>
          </w:tcPr>
          <w:p>
            <w:r/>
          </w:p>
        </w:tc>
      </w:tr>
      <w:tr>
        <w:tc>
          <w:tcPr>
            <w:tcW w:type="dxa" w:w="785"/>
          </w:tcPr>
          <w:p>
            <w:r/>
            <w:r>
              <w:t>Draft Report preparation</w:t>
            </w:r>
          </w:p>
        </w:tc>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r>
              <w:t>X</w:t>
            </w:r>
          </w:p>
        </w:tc>
        <w:tc>
          <w:tcPr>
            <w:tcW w:type="dxa" w:w="785"/>
          </w:tcPr>
          <w:p>
            <w:r/>
            <w:r>
              <w:t>X</w:t>
            </w:r>
          </w:p>
        </w:tc>
        <w:tc>
          <w:tcPr>
            <w:tcW w:type="dxa" w:w="785"/>
          </w:tcPr>
          <w:p>
            <w:r/>
          </w:p>
        </w:tc>
        <w:tc>
          <w:tcPr>
            <w:tcW w:type="dxa" w:w="785"/>
          </w:tcPr>
          <w:p>
            <w:r/>
          </w:p>
        </w:tc>
      </w:tr>
      <w:tr>
        <w:tc>
          <w:tcPr>
            <w:tcW w:type="dxa" w:w="785"/>
          </w:tcPr>
          <w:p>
            <w:r/>
            <w:r>
              <w:t>Validation workshop with AEMFI/IFAD</w:t>
            </w:r>
          </w:p>
        </w:tc>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r>
              <w:t>X</w:t>
            </w:r>
          </w:p>
        </w:tc>
        <w:tc>
          <w:tcPr>
            <w:tcW w:type="dxa" w:w="785"/>
          </w:tcPr>
          <w:p>
            <w:r/>
          </w:p>
        </w:tc>
        <w:tc>
          <w:tcPr>
            <w:tcW w:type="dxa" w:w="785"/>
          </w:tcPr>
          <w:p>
            <w:r/>
          </w:p>
        </w:tc>
      </w:tr>
      <w:tr>
        <w:tc>
          <w:tcPr>
            <w:tcW w:type="dxa" w:w="785"/>
          </w:tcPr>
          <w:p>
            <w:r/>
            <w:r>
              <w:t>Final Report &amp; dataset handover</w:t>
            </w:r>
          </w:p>
        </w:tc>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r>
              <w:t>X</w:t>
            </w:r>
          </w:p>
        </w:tc>
        <w:tc>
          <w:tcPr>
            <w:tcW w:type="dxa" w:w="785"/>
          </w:tcPr>
          <w:p>
            <w:r/>
            <w:r>
              <w:t>X</w:t>
            </w:r>
          </w:p>
        </w:tc>
      </w:tr>
    </w:tbl>
    <w:p>
      <w:r>
        <w:t>This schedule will be recalibrated to fixed dates once AEMFI confirms the assignment start date and any deliverable deadlines set in the full tender package.</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