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Provision of Services related Design of a Business Development Training Programme in Gedaref State, Sudan</w:t>
      </w:r>
    </w:p>
    <w:p>
      <w:pPr>
        <w:jc w:val="center"/>
      </w:pPr>
      <w:r>
        <w:t>Client: UNIDO</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Cortech Consulting Group</w:t>
      </w:r>
      <w:r>
        <w:t xml:space="preserve"> Nairobi, Kenya | Mogadishu, Somalia | London, United Kingdom</w:t>
      </w:r>
    </w:p>
    <w:p>
      <w:r>
        <w:t>04 September 2026</w:t>
      </w:r>
    </w:p>
    <w:p>
      <w:r>
        <w:t>Mr. Egbert Freiherr von Mentzingen United Nations Industrial Development Organization (UNIDO) Vienna, Austria</w:t>
      </w:r>
    </w:p>
    <w:p>
      <w:r>
        <w:rPr>
          <w:b/>
        </w:rPr>
        <w:t>Re: Technical Proposal — Provision of Services related [to] Design of a Business Development Training Programme in Gedaref State, Sudan (Donor Reference: 7000008723)</w:t>
      </w:r>
    </w:p>
    <w:p>
      <w:r>
        <w:t>Cortech Consulting Group submits this Technical Proposal in response to the Request for Proposal issued by UNIDO, with funding from the European Commission (DGs and Agencies other than EuropeAid/INTPA) and UNIDO, for the design of a Business Development Training Programme in Gedaref State, Sudan. We understand the assignment as a design-stage engagement — not delivery or roll-out — spanning the sector dimensions the tender notice attaches to it: business development, SMEs and start-ups, employment and labour, curriculum development, technical/industrial/vocational/professional education, policy and institutional planning, and monitoring, evaluation and assessment. We recognise this breadth as a deliberate signal that the training programme design is expected to be embedded in Gedaref State's institutional and policy environment rather than confined to a standalone curriculum, and our technical approach is structured to address each of these dimensions in turn, from needs identification through curriculum architecture to an accompanying M&amp;E framework.</w:t>
      </w:r>
    </w:p>
    <w:p>
      <w:r>
        <w:t>Cortech's relevant experience for this assignment includes the Provision of Business Development, Strategy and Program Design Services for Danish Refugee Council Somalia (2025), which covered strategic and programmatic design work across Kenya, Somalia, Ethiopia, Sudan and South Sudan and required the same discipline of translating strategic objectives into implementable, sequenced programme design. It also includes the Training of IIW-SS Investees on Sexual and Gender-Based Violence and Harassment, Safeguarding, and Referral Mechanisms for the Africa Enterprise Challenge Fund (2024), delivered across Sudan and South Sudan, which involved tailored curriculum development and participatory training design for enterprise-sector participants — a direct precedent for the curriculum and capacity-building components this assignment requires. Our documentation of the Green Skills for Sustainable Employment Opportunities intervention with GREDO in Baidoa, Somalia (2025) further demonstrates our capability in employment- and livelihoods-focused programme documentation and lesson-capture, relevant to the employment/labour and capacity-building/documentation sector tags attached to this tender. Our proposed team will draw on Cortech's core thematic strengths in capacity building and training, livelihoods and economic inclusion, policy analysis, and monitoring, evaluation and learning, with roles and named personnel detailed in the Proposed Personnel section of this proposal.</w:t>
      </w:r>
    </w:p>
    <w:p>
      <w:r>
        <w:t>Cortech confirms its capacity to complete the assignment within the estimated 48-week duration referenced in the tender notice, with a work plan sequenced to allow adequate time for stakeholder consultation in Gedaref State ahead of design finalisation. Should the procurement pack (RFx_7000008723.ZIP) specify mandatory forms, page limits, or a submission mechanism beyond what has been made available to us at the time of drafting, Cortech will comply fully with those instructions upon confirmation and will submit accordingly ahead of the stated deadline of 04 September 2026, 17:00 Vienna time.</w:t>
      </w:r>
    </w:p>
    <w:p>
      <w:r>
        <w:t>We remain available for any clarification UNIDO may require during the evaluation of this proposal and can be reached through the undersigned.</w:t>
      </w:r>
    </w:p>
    <w:p>
      <w:r>
        <w:br w:type="page"/>
      </w:r>
    </w:p>
    <w:p>
      <w:pPr>
        <w:pStyle w:val="Heading1"/>
      </w:pPr>
      <w:r>
        <w:t>Executive Summary</w:t>
      </w:r>
    </w:p>
    <w:p>
      <w:r>
        <w:t>Cortech Consulting Group submits this technical proposal to the United Nations Industrial Development Organization (UNIDO), under funding from the European Commission (EC – Directorates-General and Agencies other than EuropeAid/INTPA), for the Provision of Services related to the Design of a Business Development Training Programme in Gedaref State, Sudan (donor reference 7000008723). The assignment, as UNIDO has framed it, is specifically the design of a training programme — not its delivery or roll-out — and Cortech's proposed scope of work is built around that distinction throughout. Gedaref State's economy sits at the intersection of the sectors UNIDO has tagged for this assignment: business development, SME and start-up support, employment and labour, curriculum development, technical/industrial/vocational/professional education, and the policy, planning and institutional systems that determine whether a training programme is adopted and sustained beyond its design phase. Cortech's reading of the assignment treats these as interdependent design dimensions rather than a single curriculum-writing task, and the technical approach that follows is structured accordingly. Cortech notes that the substantive Terms of Reference, evaluation grid and mandatory submission forms are contained in the RFx_7000008723.ZIP annex pack referenced in the tender notice; the methodology, personnel plan and workplan in this proposal are built on the assignment title, sector tags, 48-week duration and Gedaref State location as published, and will be finalised for full compliance against every mandatory form and page limit once that annex pack is confirmed.</w:t>
      </w:r>
    </w:p>
    <w:p>
      <w:r>
        <w:t>Cortech's design approach begins from institutional and market diagnosis before curriculum drafting — establishing who in Gedaref State's SME, start-up, and employment/labour landscape the programme is intended to serve, what existing training and TVET provision already covers, and what policy or institutional gaps constrain uptake — before any training content or delivery structure is fixed. This sequencing is the distinctive choice: it treats curriculum design, institutional alignment, and monitoring and evaluation architecture as a single design product rather than three separate deliverables bolted together at the end. The M&amp;E framework for the future training programme is built into the design phase itself, not appended afterward, so that UNIDO and its Gedaref State partners receive a training programme design that already specifies how its own effectiveness will be tracked once implemented. This approach draws directly on Cortech's assignment for the Danish Refugee Council Somalia (2025, covering Kenya, Somalia, Ethiopia, Sudan and South Sudan), where Cortech was engaged to provide business development, strategy and programme design services across a multi-country East Africa footprint, and on Cortech's curriculum development work for the Africa Enterprise Challenge Fund's IIW-SS investees (2024, Sudan and South Sudan), which combined tailored curriculum design with participatory training delivery and referral-mechanism design for agribusiness-sector actors in the same operating environment.</w:t>
      </w:r>
    </w:p>
    <w:p>
      <w:r>
        <w:t>Team coverage against this assignment's personnel requirements will be confirmed against the RFx_7000008723.ZIP annex once received; Cortech's core staff have no pre-matched internal profile specific to business development curriculum design in Sudan, and Cortech states this directly rather than overstating fit. Cortech's mobilisation model for Sudan-facing assignments — evidenced in its AECF-funded work with IIW-SS investees across Sudan and South Sudan (2024) — combines Cortech's core MEL, capacity-building and livelihoods specialists with network consultants and, where the design brief requires in-state curriculum or vocational-education expertise specific to Gedaref State, a Sudan-based training design partner engaged for this assignment. This mirrors the operating model Cortech used for its Somali Civic Engagement Facility MEAL assignment (2026), which spans Sudan alongside eight other countries and required the same core-plus-network structure to meet in-country requirements without a permanent registered office in every operating state.</w:t>
      </w:r>
    </w:p>
    <w:p>
      <w:r>
        <w:t>Delivery will be sequenced across the 48-week estimated duration in phases aligned to the design logic above: institutional and market diagnosis, curriculum and content design, M&amp;E and institutional-uptake framework design, and validation with UNIDO and Gedaref State stakeholders ahead of final handover. Each phase closes with a reviewable deliverable rather than an internal working draft, giving UNIDO defined checkpoints at which to confirm direction before the next phase is resourced. Internal quality assurance will follow Cortech's standard practice of technical lead review before client submission at each milestone, consistent with the review discipline applied on Cortech's GREDO documentation assignment in Baidoa, Somalia (2025). Submission of this proposal, and confirmation of the mechanism, language and format it must follow, will be finalised against the RFx_7000008723.ZIP annex ahead of the 04 September 2026, 17:00 Vienna time deadline; cost and pricing matters are addressed exclusively in the separate financial proposal.</w:t>
      </w:r>
    </w:p>
    <w:p>
      <w:r>
        <w:br w:type="page"/>
      </w:r>
    </w:p>
    <w:p>
      <w:pPr>
        <w:pStyle w:val="Heading1"/>
      </w:pPr>
      <w:r>
        <w:t>Organisational Profile &amp; Track Record</w:t>
      </w:r>
    </w:p>
    <w:p>
      <w:r>
        <w:t>Cortech Consulting Group is an international strategic advisory firm founded in 2015, operating from registered and licensed offices in Nairobi, Kenya; Mogadishu, Somalia; and London, United Kingdom. The firm is a registered company in Kenya and the United Kingdom and is licensed to operate in Somalia. Cortech holds ISO certification and maintains an active child safeguarding policy and PSEA compliance, both of which govern the conduct of field teams engaged in training design, data collection, and stakeholder consultation.</w:t>
      </w:r>
    </w:p>
    <w:p>
      <w:r>
        <w:t>Cortech's primary geographic focus is Somalia, Kenya, and Ethiopia, with an established secondary footprint across Sudan, South Sudan, Uganda, Tanzania, Malawi, and Djibouti. In Sudan specifically, Cortech has delivered assignments spanning both Sudan and South Sudan for the Africa Enterprise Challenge Fund, and has designed regional business development, strategy, and program services covering Sudan alongside Kenya, Somalia, and Ethiopia for the Danish Refugee Council. This regional footprint gives Cortech operating familiarity with the administrative and institutional environment relevant to Gedaref State without requiring the firm to build country presence from a standing start.</w:t>
      </w:r>
    </w:p>
    <w:p>
      <w:r>
        <w:t>Cortech's core thematic areas — Capacity Building and Training, Policy Analysis and Advocacy, Livelihoods and Economic Inclusion, and Monitoring, Evaluation and Learning (MEL) — map directly onto the sector tags this assignment carries: Business Development, SMEs/Start-ups, Curriculum, Employment/Labour, and Policy/Planning/Systems/Institutions. The firm's technical toolkit includes KoboToolbox for structured survey and consultation design, SPSS and Python/R for quantitative analysis, NVivo for qualitative synthesis, and the OECD DAC evaluation criteria framework for design-stage relevance and coherence testing.</w:t>
      </w:r>
    </w:p>
    <w:p>
      <w:r>
        <w:t>Cortech's team of 4-8 core staff, supported by a network of vetted consultants, is multilingual, with working proficiency in English, Arabic, Somali, Swahili, and French — a direct asset for stakeholder engagement in Sudan. The firm's client base includes the European Union, IOM, UNHCR, UN Women, UNICEF, UNDP, the African Union, IGAD, and DRC, evidencing experience operating under UN-system and EU-funded procurement rules. Cortech's distinguishing position for this assignment is the combination of documented Sudan/South Sudan fieldwork, a training-and-curriculum design track record, and MEL infrastructure that supports design-stage assumptions testing rather than post-hoc evaluation alone.</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Provision of Business Development, Strategy and Program Design Services</w:t>
            </w:r>
          </w:p>
        </w:tc>
        <w:tc>
          <w:tcPr>
            <w:tcW w:type="dxa" w:w="1440"/>
          </w:tcPr>
          <w:p>
            <w:r/>
            <w:r>
              <w:t>Danish Refugee Council Somalia</w:t>
            </w:r>
          </w:p>
        </w:tc>
        <w:tc>
          <w:tcPr>
            <w:tcW w:type="dxa" w:w="1440"/>
          </w:tcPr>
          <w:p>
            <w:r/>
            <w:r>
              <w:t>Kenya, Somalia, Ethiopia, Sudan, South Sudan, East Africa</w:t>
            </w:r>
          </w:p>
        </w:tc>
        <w:tc>
          <w:tcPr>
            <w:tcW w:type="dxa" w:w="1440"/>
          </w:tcPr>
          <w:p>
            <w:r/>
            <w:r>
              <w:t>2025</w:t>
            </w:r>
          </w:p>
        </w:tc>
        <w:tc>
          <w:tcPr>
            <w:tcW w:type="dxa" w:w="1440"/>
          </w:tcPr>
          <w:p>
            <w:r/>
            <w:r>
              <w:t>Design of business development strategy and programme services across four technical pillars — economic recovery, sustainable livelihoods, resilience building, and peace economics — aligned to a multi-year organisational strategy</w:t>
            </w:r>
          </w:p>
        </w:tc>
        <w:tc>
          <w:tcPr>
            <w:tcW w:type="dxa" w:w="1440"/>
          </w:tcPr>
          <w:p>
            <w:r/>
            <w:r>
              <w:t>Directly precedent to the "Design of a Business Development Training Programme" framing this tender uses, delivered across the same regional footprint that includes Sudan, and squarely within the Livelihoods and Economic Inclusion thematic area.</w:t>
            </w:r>
          </w:p>
        </w:tc>
      </w:tr>
      <w:tr>
        <w:tc>
          <w:tcPr>
            <w:tcW w:type="dxa" w:w="1440"/>
          </w:tcPr>
          <w:p>
            <w:r/>
            <w:r>
              <w:t>Training IIW-SS Investees on Sexual and Gender-Based Violence and Harassment (SGBVH), Safeguarding, and Referral Mechanisms</w:t>
            </w:r>
          </w:p>
        </w:tc>
        <w:tc>
          <w:tcPr>
            <w:tcW w:type="dxa" w:w="1440"/>
          </w:tcPr>
          <w:p>
            <w:r/>
            <w:r>
              <w:t>Africa Enterprise Challenge Fund (AECF)</w:t>
            </w:r>
          </w:p>
        </w:tc>
        <w:tc>
          <w:tcPr>
            <w:tcW w:type="dxa" w:w="1440"/>
          </w:tcPr>
          <w:p>
            <w:r/>
            <w:r>
              <w:t>Sudan, South Sudan</w:t>
            </w:r>
          </w:p>
        </w:tc>
        <w:tc>
          <w:tcPr>
            <w:tcW w:type="dxa" w:w="1440"/>
          </w:tcPr>
          <w:p>
            <w:r/>
            <w:r>
              <w:t>2024</w:t>
            </w:r>
          </w:p>
        </w:tc>
        <w:tc>
          <w:tcPr>
            <w:tcW w:type="dxa" w:w="1440"/>
          </w:tcPr>
          <w:p>
            <w:r/>
            <w:r>
              <w:t>Baseline capacity assessment, tailored curriculum development, participatory training delivery, and evaluation for agribusiness-sector investees</w:t>
            </w:r>
          </w:p>
        </w:tc>
        <w:tc>
          <w:tcPr>
            <w:tcW w:type="dxa" w:w="1440"/>
          </w:tcPr>
          <w:p>
            <w:r/>
            <w:r>
              <w:t>Demonstrates curriculum development and training-design methodology for enterprise-sector beneficiaries inside Sudan, transferable to the SME/Start-up and Curriculum sector tags this tender specifies.</w:t>
            </w:r>
          </w:p>
        </w:tc>
      </w:tr>
      <w:tr>
        <w:tc>
          <w:tcPr>
            <w:tcW w:type="dxa" w:w="1440"/>
          </w:tcPr>
          <w:p>
            <w:r/>
            <w:r>
              <w:t>Documentation of Best Practices and Lessons Learnt under the Green Skills for Sustainable Employment Opportunities Intervention</w:t>
            </w:r>
          </w:p>
        </w:tc>
        <w:tc>
          <w:tcPr>
            <w:tcW w:type="dxa" w:w="1440"/>
          </w:tcPr>
          <w:p>
            <w:r/>
            <w:r>
              <w:t>Gargaar Relief and Development Organization (GREDO)</w:t>
            </w:r>
          </w:p>
        </w:tc>
        <w:tc>
          <w:tcPr>
            <w:tcW w:type="dxa" w:w="1440"/>
          </w:tcPr>
          <w:p>
            <w:r/>
            <w:r>
              <w:t>Somalia</w:t>
            </w:r>
          </w:p>
        </w:tc>
        <w:tc>
          <w:tcPr>
            <w:tcW w:type="dxa" w:w="1440"/>
          </w:tcPr>
          <w:p>
            <w:r/>
            <w:r>
              <w:t>2025</w:t>
            </w:r>
          </w:p>
        </w:tc>
        <w:tc>
          <w:tcPr>
            <w:tcW w:type="dxa" w:w="1440"/>
          </w:tcPr>
          <w:p>
            <w:r/>
            <w:r>
              <w:t>Documentation of a DANIDA-funded youth employment and green skills programme, drawing on livelihoods programming, research methodology, and data analysis expertise across a multidisciplinary team</w:t>
            </w:r>
          </w:p>
        </w:tc>
        <w:tc>
          <w:tcPr>
            <w:tcW w:type="dxa" w:w="1440"/>
          </w:tcPr>
          <w:p>
            <w:r/>
            <w:r>
              <w:t>Direct experience documenting employment-focused skills programming, aligning with the Employment/Labour sector tag and the Capacity Building and Training thematic area named in this tender.</w:t>
            </w:r>
          </w:p>
        </w:tc>
      </w:tr>
      <w:tr>
        <w:tc>
          <w:tcPr>
            <w:tcW w:type="dxa" w:w="1440"/>
          </w:tcPr>
          <w:p>
            <w:r/>
            <w:r>
              <w:t>Integrated Development Solutions for IDPs and Host Communities in Jubaland</w:t>
            </w:r>
          </w:p>
        </w:tc>
        <w:tc>
          <w:tcPr>
            <w:tcW w:type="dxa" w:w="1440"/>
          </w:tcPr>
          <w:p>
            <w:r/>
            <w:r>
              <w:t>UNDP-Somalia</w:t>
            </w:r>
          </w:p>
        </w:tc>
        <w:tc>
          <w:tcPr>
            <w:tcW w:type="dxa" w:w="1440"/>
          </w:tcPr>
          <w:p>
            <w:r/>
            <w:r>
              <w:t>Somalia</w:t>
            </w:r>
          </w:p>
        </w:tc>
        <w:tc>
          <w:tcPr>
            <w:tcW w:type="dxa" w:w="1440"/>
          </w:tcPr>
          <w:p>
            <w:r/>
            <w:r>
              <w:t>2025</w:t>
            </w:r>
          </w:p>
        </w:tc>
        <w:tc>
          <w:tcPr>
            <w:tcW w:type="dxa" w:w="1440"/>
          </w:tcPr>
          <w:p>
            <w:r/>
            <w:r>
              <w:t>Twelve-month integrated development programme structured across five sequential phases — inception, institutional strengthening, economic recovery, security/protection, and MEL</w:t>
            </w:r>
          </w:p>
        </w:tc>
        <w:tc>
          <w:tcPr>
            <w:tcW w:type="dxa" w:w="1440"/>
          </w:tcPr>
          <w:p>
            <w:r/>
            <w:r>
              <w:t>The economic recovery and institutional strengthening phases evidence sequenced programme-design methodology, relevant to the Livelihoods and Economic Inclusion and Policy/Planning/Systems/Institutions dimensions of this assignment.</w:t>
            </w:r>
          </w:p>
        </w:tc>
      </w:tr>
      <w:tr>
        <w:tc>
          <w:tcPr>
            <w:tcW w:type="dxa" w:w="1440"/>
          </w:tcPr>
          <w:p>
            <w:r/>
            <w:r>
              <w:t>Institutional Consultancy to Undertake Assessment of Out of School Children (OOSC) and Adolescents in Dadaab, Kakuma and Kalobeyei Settlement Areas</w:t>
            </w:r>
          </w:p>
        </w:tc>
        <w:tc>
          <w:tcPr>
            <w:tcW w:type="dxa" w:w="1440"/>
          </w:tcPr>
          <w:p>
            <w:r/>
            <w:r>
              <w:t>UNICEF</w:t>
            </w:r>
          </w:p>
        </w:tc>
        <w:tc>
          <w:tcPr>
            <w:tcW w:type="dxa" w:w="1440"/>
          </w:tcPr>
          <w:p>
            <w:r/>
            <w:r>
              <w:t>Kenya</w:t>
            </w:r>
          </w:p>
        </w:tc>
        <w:tc>
          <w:tcPr>
            <w:tcW w:type="dxa" w:w="1440"/>
          </w:tcPr>
          <w:p>
            <w:r/>
            <w:r>
              <w:t>2024</w:t>
            </w:r>
          </w:p>
        </w:tc>
        <w:tc>
          <w:tcPr>
            <w:tcW w:type="dxa" w:w="1440"/>
          </w:tcPr>
          <w:p>
            <w:r/>
            <w:r>
              <w:t>Mixed-methods assessment across three refugee settlement areas, combining structured tool design with practical field-implementation risk management</w:t>
            </w:r>
          </w:p>
        </w:tc>
        <w:tc>
          <w:tcPr>
            <w:tcW w:type="dxa" w:w="1440"/>
          </w:tcPr>
          <w:p>
            <w:r/>
            <w:r>
              <w:t>Evidences capability in education- and systems-level assessment work relevant to the Curriculum and Technical/Industrial/Vocational/Professional education sector tags this tender carries.</w:t>
            </w:r>
          </w:p>
        </w:tc>
      </w:tr>
      <w:tr>
        <w:tc>
          <w:tcPr>
            <w:tcW w:type="dxa" w:w="1440"/>
          </w:tcPr>
          <w:p>
            <w:r/>
            <w:r>
              <w:t>Monitoring, Evaluation, and Learning Partner for the Somali Civic Engagement Facility</w:t>
            </w:r>
          </w:p>
        </w:tc>
        <w:tc>
          <w:tcPr>
            <w:tcW w:type="dxa" w:w="1440"/>
          </w:tcPr>
          <w:p>
            <w:r/>
            <w:r>
              <w:t>Civic Engagement Facility (CEF) / Royal Danish Embassy</w:t>
            </w:r>
          </w:p>
        </w:tc>
        <w:tc>
          <w:tcPr>
            <w:tcW w:type="dxa" w:w="1440"/>
          </w:tcPr>
          <w:p>
            <w:r/>
            <w:r>
              <w:t>Kenya, Somalia, Ethiopia, Sudan, South Sudan, Tanzania, Zimbabwe, Zambia, Djibouti</w:t>
            </w:r>
          </w:p>
        </w:tc>
        <w:tc>
          <w:tcPr>
            <w:tcW w:type="dxa" w:w="1440"/>
          </w:tcPr>
          <w:p>
            <w:r/>
            <w:r>
              <w:t>2026</w:t>
            </w:r>
          </w:p>
        </w:tc>
        <w:tc>
          <w:tcPr>
            <w:tcW w:type="dxa" w:w="1440"/>
          </w:tcPr>
          <w:p>
            <w:r/>
            <w:r>
              <w:t>MEAL partnership applying contribution-analysis methodology across a multi-country civic engagement facility, including Sudan</w:t>
            </w:r>
          </w:p>
        </w:tc>
        <w:tc>
          <w:tcPr>
            <w:tcW w:type="dxa" w:w="1440"/>
          </w:tcPr>
          <w:p>
            <w:r/>
            <w:r>
              <w:t>Provides directly transferable MEL and Policy Analysis and Advocacy methodology across a footprint that already includes Sudan, addressing the Monitoring, Evaluation and Learning thematic area this tender names.</w:t>
            </w:r>
          </w:p>
        </w:tc>
      </w:tr>
      <w:tr>
        <w:tc>
          <w:tcPr>
            <w:tcW w:type="dxa" w:w="1440"/>
          </w:tcPr>
          <w:p>
            <w:r/>
            <w:r>
              <w:t>End-of-Project Evaluation of the 'Improving Land Governance in the IGAD Region' Programme (Phase II)</w:t>
            </w:r>
          </w:p>
        </w:tc>
        <w:tc>
          <w:tcPr>
            <w:tcW w:type="dxa" w:w="1440"/>
          </w:tcPr>
          <w:p>
            <w:r/>
            <w:r>
              <w:t>Intergovernmental Authority on Development (IGAD)</w:t>
            </w:r>
          </w:p>
        </w:tc>
        <w:tc>
          <w:tcPr>
            <w:tcW w:type="dxa" w:w="1440"/>
          </w:tcPr>
          <w:p>
            <w:r/>
            <w:r>
              <w:t>Horn of Africa</w:t>
            </w:r>
          </w:p>
        </w:tc>
        <w:tc>
          <w:tcPr>
            <w:tcW w:type="dxa" w:w="1440"/>
          </w:tcPr>
          <w:p>
            <w:r/>
            <w:r>
              <w:t>2025</w:t>
            </w:r>
          </w:p>
        </w:tc>
        <w:tc>
          <w:tcPr>
            <w:tcW w:type="dxa" w:w="1440"/>
          </w:tcPr>
          <w:p>
            <w:r/>
            <w:r>
              <w:t>Multi-methods end-of-project evaluation with gender and youth integration, delivered by a senior team spanning land policy and GESI expertise</w:t>
            </w:r>
          </w:p>
        </w:tc>
        <w:tc>
          <w:tcPr>
            <w:tcW w:type="dxa" w:w="1440"/>
          </w:tcPr>
          <w:p>
            <w:r/>
            <w:r>
              <w:t>Evidences capacity to assess institutional and policy coherence, relevant to the Policy/Planning/Systems/Institutions/Evaluation/Decentralisation sector tag this tender lists.</w:t>
            </w:r>
          </w:p>
        </w:tc>
      </w:tr>
      <w:tr>
        <w:tc>
          <w:tcPr>
            <w:tcW w:type="dxa" w:w="1440"/>
          </w:tcPr>
          <w:p>
            <w:r/>
            <w:r>
              <w:t>Third Party Monitoring Consultancy for the Girls' Education Accelerator (GEA) Program</w:t>
            </w:r>
          </w:p>
        </w:tc>
        <w:tc>
          <w:tcPr>
            <w:tcW w:type="dxa" w:w="1440"/>
          </w:tcPr>
          <w:p>
            <w:r/>
            <w:r>
              <w:t>CARE Somalia</w:t>
            </w:r>
          </w:p>
        </w:tc>
        <w:tc>
          <w:tcPr>
            <w:tcW w:type="dxa" w:w="1440"/>
          </w:tcPr>
          <w:p>
            <w:r/>
            <w:r>
              <w:t>Somalia</w:t>
            </w:r>
          </w:p>
        </w:tc>
        <w:tc>
          <w:tcPr>
            <w:tcW w:type="dxa" w:w="1440"/>
          </w:tcPr>
          <w:p>
            <w:r/>
            <w:r>
              <w:t>2026</w:t>
            </w:r>
          </w:p>
        </w:tc>
        <w:tc>
          <w:tcPr>
            <w:tcW w:type="dxa" w:w="1440"/>
          </w:tcPr>
          <w:p>
            <w:r/>
            <w:r>
              <w:t>Third-party monitoring services applying evidence-based verification frameworks and digital data collection systems</w:t>
            </w:r>
          </w:p>
        </w:tc>
        <w:tc>
          <w:tcPr>
            <w:tcW w:type="dxa" w:w="1440"/>
          </w:tcPr>
          <w:p>
            <w:r/>
            <w:r>
              <w:t>Demonstrates rigorous field-verification and digital data-collection procedure directly applicable to the Monitoring, Evaluation &amp; Assessment / (impact) Studies sector tag named in this tender.</w:t>
            </w:r>
          </w:p>
        </w:tc>
      </w:tr>
    </w:tbl>
    <w:p>
      <w:r>
        <w:br w:type="page"/>
      </w:r>
    </w:p>
    <w:p>
      <w:pPr>
        <w:pStyle w:val="Heading1"/>
      </w:pPr>
      <w:r>
        <w:t>Introduction, Background &amp; Conceptual Framework</w:t>
      </w:r>
    </w:p>
    <w:p>
      <w:pPr>
        <w:pStyle w:val="Heading2"/>
      </w:pPr>
      <w:r>
        <w:t>5.1 Context and Strategic Importance</w:t>
      </w:r>
    </w:p>
    <w:p>
      <w:r>
        <w:t>UNIDO, with funding from the European Commission (DGs and Agencies other than EuropeAid/INTPA), is procuring the "Provision of Services related Design of a Business Development Training Programme in Gedaref State, Sudan" under donor reference 7000008723. The client's own sector tags against this notice — spanning Business Centres/Incubators/Business Development/Business Plans/Clustering/Technology parks/Innovation Centres, SMEs/Start-ups, Employment/Labour, Curriculum, and Technical/Industrial/Vocational/Professional education — signal that the training programme is conceived as a systems-level instrument linking skills formation to enterprise growth, not a stand-alone workshop series. Its parallel tagging under Policy/Planning/Systems/Institutions/Evaluation/Decentralisation indicates the design is expected to be anchored in Sudan's institutional and policy architecture for enterprise support and vocational education. The estimated 48-week duration is consistent with a substantive design process rather than a short, single-output exercise.</w:t>
      </w:r>
    </w:p>
    <w:p>
      <w:pPr>
        <w:pStyle w:val="Heading2"/>
      </w:pPr>
      <w:r>
        <w:t>5.2 Purpose and Objectives</w:t>
      </w:r>
    </w:p>
    <w:p>
      <w:r>
        <w:t>The purpose stated in the tender material is the title itself: design of a Business Development Training Programme in Gedaref State, Sudan. Beyond this, the specific objectives, target beneficiary population, and intended end-users of the design are not set out in the documents made available to Cortech for this draft; that level of detail is understood to sit within the referenced RFx_7000008723.ZIP annex pack, which has not yet been retrieved. Cortech records this as a confirmed information gap rather than inferring objectives the client has not stated, and will align the final technical proposal's stated objectives to the ToR text once obtained.</w:t>
      </w:r>
    </w:p>
    <w:p>
      <w:pPr>
        <w:pStyle w:val="Heading2"/>
      </w:pPr>
      <w:r>
        <w:t>5.3 Our Interpretation of the Assignment</w:t>
      </w:r>
    </w:p>
    <w:p>
      <w:r>
        <w:t>Cortech reads the assignment strictly as design, not delivery or roll-out — the operative verb in the tender title is "Design," distinguishing this contract from any subsequent implementation or training-delivery phase that may follow in Gedaref State. Read against the client's own sector tags, the assignment implies a design output broader than a curriculum document alone: it must interface with existing institutional and policy structures for enterprise support and TVET in Sudan, and it must carry a built-in monitoring and evaluation logic rather than treating evaluation as an afterthought appended at implementation. A constraint the documents imply but do not spell out is that the design process will need to be validated with Gedaref-based institutional actors and stakeholders in a state where Cortech has no registered presence; operationalising a locally credible design — stakeholder consultation, institutional mapping, and field validation — will require a Sudan-based partner or network consultant, a resourcing implication that follows directly from the stated geography and deliverable even though the notice itself does not raise it.</w:t>
      </w:r>
    </w:p>
    <w:p>
      <w:pPr>
        <w:pStyle w:val="Heading2"/>
      </w:pPr>
      <w:r>
        <w:t>5.4 Key Evaluation Questions</w:t>
      </w:r>
    </w:p>
    <w:p>
      <w:r>
        <w:t>The documents supplied to Cortech — the newsletter listing and the Assortis notice referencing donor reference 7000008723 — do not reproduce a stated set of evaluation or design questions; these are expected to sit within the substantive Terms of Reference inside RFx_7000008723.ZIP, which has not been retrieved at the time of this draft. In the absence of the client's own text, Cortech treats the following as working questions implied directly by the tagged scope, to be confirmed or revised against the ToR before finalisation: what institutional and policy gaps in Gedaref State's business development and TVET architecture the training programme design must address; which SME/start-up and employment/labour outcomes the programme is expected to influence; and what monitoring and evaluation framework the design itself must embed so that the programme's future performance can be assessed once it moves to implementation. Cortech flags this as a gap requiring closure from the full annex pack rather than a section it treats as settled.</w:t>
      </w:r>
    </w:p>
    <w:p>
      <w:pPr>
        <w:pStyle w:val="Heading2"/>
      </w:pPr>
      <w:r>
        <w:t>5.5 Deliverables</w:t>
      </w:r>
    </w:p>
    <w:p>
      <w:r>
        <w:t>The deliverable named in the tender material is the design output itself: design of a comprehensive Business Development Training Programme for Gedaref State, Sudan, to be produced over the estimated 48-week assignment duration. No further deliverable breakdown — inception report, curriculum drafts, stakeholder validation outputs, a final design document, or specific annexes — is stated in the documents supplied. Cortech understands this level of detail is set out in RFx_7000008723.ZIP and will structure its workplan and reporting schedule around the confirmed deliverable list once that document is reviewed.</w:t>
      </w:r>
    </w:p>
    <w:p>
      <w:pPr>
        <w:pStyle w:val="Heading2"/>
      </w:pPr>
      <w:r>
        <w:t>5.6 Understanding of Success</w:t>
      </w:r>
    </w:p>
    <w:p>
      <w:r>
        <w:t>Success on this assignment reads as delivery of a Business Development Training Programme design for Gedaref State that is technically sound against curriculum and TVET standards, operationally anchored in existing Sudanese institutional and policy structures for enterprise and employment support, and structured so that its own monitoring and evaluation logic can be applied once the programme moves beyond the design stage. Absent a stated purpose or set of objectives in the material supplied, this is Cortech's provisional working definition of success, to be revised once the ToR's stated objectives and intended use of results are confirmed from the full tender pack.</w:t>
      </w:r>
    </w:p>
    <w:p>
      <w:pPr>
        <w:pStyle w:val="Heading2"/>
      </w:pPr>
      <w:r>
        <w:t>SECTION 2 — CONCEPTUAL FRAMEWORK</w:t>
      </w:r>
    </w:p>
    <w:p>
      <w:r>
        <w:t>The tender documents made available to Cortech do not name a specific analytical framework for this assignment; in its absence, Cortech proposes a framework built from the design task the client has actually described, to be reconciled against any framework specified in the full ToR once retrieved.</w:t>
      </w:r>
    </w:p>
    <w:p>
      <w:r>
        <w:t>Because the assignment is design rather than delivery, the governing logic is a Theory of Change constructed backward from the tagged outcome domains — business development/SME growth, employment and labour outcomes, and strengthened institutional/policy systems — to the specific curriculum content, delivery modalities, and institutional linkages the training programme must contain to plausibly produce those outcomes in Gedaref State. This ToC is the connective structure that prevents the design from collapsing into a generic curriculum: each training component is mapped to the institutional actor or policy mechanism in Gedaref State's business development and TVET system that it is meant to reinforce, consistent with the client's own tagging of Policy/Planning/Systems/Institutions/Evaluation/Decentralisation alongside Curriculum and Technical/Industrial/Vocational/Professional education.</w:t>
      </w:r>
    </w:p>
    <w:p>
      <w:r>
        <w:t>Layered onto the ToC, Cortech applies the OECD DAC criteria — relevance, coherence, effectiveness, efficiency, and sustainability — not as an ex-post evaluation lens but as design-quality criteria applied during the design process itself: relevance to Gedaref State's labour market and SME base, coherence with existing national TVET and enterprise-support policy, and sustainability of institutional ownership once UNIDO's design engagement concludes. This dual-lens approach — ToC for content logic, DAC criteria for design-quality assurance — is consistent with Cortech's practice on prior capacity-building and curriculum-linked assignments in the region, where training content was deliberately sequenced against institutional strengthening rather than treated as a stand-alone deliverable.</w:t>
      </w:r>
    </w:p>
    <w:p>
      <w:r>
        <w:t>A monitoring and evaluation framework is embedded in the design itself rather than deferred to a later phase, consistent with the client's own tagging of Monitoring &amp; Evaluation &amp; Assessment/(impact) Studies/Project Audit/Survey alongside the training-design sectors: the design output will specify indicators, data sources, and review points that a future implementation phase — outside the scope of this contract — could apply directly. This framework will be finalised against the objectives, purpose, and any evaluation questions stated in RFx_7000008723.ZIP once obtained, and is presented here as Cortech's working analytical approach rather than a substitute for the client's own methodology requirements, which the supplied documents do not specify.</w:t>
      </w:r>
    </w:p>
    <w:p>
      <w:r>
        <w:br w:type="page"/>
      </w:r>
    </w:p>
    <w:p>
      <w:pPr>
        <w:pStyle w:val="Heading1"/>
      </w:pPr>
      <w:r>
        <w:t>Technical Methodology</w:t>
      </w:r>
    </w:p>
    <w:p>
      <w:pPr>
        <w:pStyle w:val="Heading2"/>
      </w:pPr>
      <w:r>
        <w:t>Methodology</w:t>
      </w:r>
    </w:p>
    <w:p>
      <w:pPr>
        <w:pStyle w:val="Heading3"/>
      </w:pPr>
      <w:r>
        <w:t>1. Overall Approach</w:t>
      </w:r>
    </w:p>
    <w:p>
      <w:r>
        <w:t xml:space="preserve">The assignment, as titled by UNIDO, is the </w:t>
      </w:r>
      <w:r>
        <w:rPr>
          <w:b/>
        </w:rPr>
        <w:t>Design of a Business Development Training Programme in Gedaref State, Sudan</w:t>
      </w:r>
      <w:r>
        <w:t xml:space="preserve"> — a design-stage commission, not a delivery or roll-out contract. Cortech's technical approach is built around this distinction: the output is a training programme document and its supporting instruments (curriculum, delivery modality, institutional linkages, and monitoring framework) that UNIDO and EC can subsequently commission for implementation, rather than a set of training sessions delivered directly to beneficiaries. This framing governs every phase below.</w:t>
      </w:r>
    </w:p>
    <w:p>
      <w:r>
        <w:t>The client has tagged the assignment across eleven sub-sectors spanning three sector groups — Business Centres/Incubators/Business Development/Business Plans/Clustering/Technology parks/Innovation Centres; SMEs/Start-ups; Employment/Labour; Curriculum; Policy/Planning/Systems/Institutions/Evaluation/Decentralisation; Technical/Industrial/Vocational/Professional education; Country Programming/Programme Development/Roadmap; Monitoring &amp; Evaluation &amp; Assessment/(impact) Studies/Project Audit/Survey; and Training/Capacity building/Documentation. Cortech treats this breadth as instructive: a design response confined to curriculum content alone would not answer the scope the client has signalled. The methodology therefore produces a training programme design that is simultaneously a curriculum product (content, modules, delivery sequencing), an institutional product (linkage to existing TVET and business development structures in Gedaref State), and a policy/M&amp;E product (a roadmap and evaluation framework enabling UNIDO/EC to track results once the programme is implemented).</w:t>
      </w:r>
    </w:p>
    <w:p>
      <w:r>
        <w:t>Cortech records, for transparency to the evaluation panel, that the substantive Terms of Reference — including the definitive scope of work, deliverables list, page limits, and any prescribed methodology — sit inside the referenced document RFx_7000008723.ZIP (donor reference 7000008723), which was not available to the drafting team at the time of writing. The phasing, instruments, and outputs set out below are therefore Cortech's proposed technical approach to the confirmed assignment parameters (title, 48-week estimated duration, Gedaref State location, EC/UNIDO funding, and the sector tags above) and will be reconciled against the full annex pack, including any client-prescribed methodology or reporting template, immediately upon its retrieval and before finalisation of the submitted proposal.</w:t>
      </w:r>
    </w:p>
    <w:p>
      <w:pPr>
        <w:pStyle w:val="Heading3"/>
      </w:pPr>
      <w:r>
        <w:t>2. Phase-by-Phase Breakdown</w:t>
      </w:r>
    </w:p>
    <w:p>
      <w:r>
        <w:rPr>
          <w:b/>
        </w:rPr>
        <w:t>Phase 1 — Inception (indicative weeks 1–6).</w:t>
      </w:r>
      <w:r>
        <w:t xml:space="preserve"> Cortech reviews all available secondary material on Gedaref State's economic base, SME and start-up landscape, existing TVET and business development service provision, and any prior UNIDO/EC programming in the state or in Sudan more broadly. The Inception Phase concludes with an Inception Report setting out the confirmed scope of work (once the full ToR is in hand), a validated stakeholder map, a sampling frame for the needs assessment, and a detailed workplan aligned to the 48-week duration. This report is presented to UNIDO for sign-off before fieldwork begins.</w:t>
      </w:r>
    </w:p>
    <w:p>
      <w:r>
        <w:rPr>
          <w:b/>
        </w:rPr>
        <w:t>Phase 2 — Field Assessment (indicative weeks 7–18).</w:t>
      </w:r>
      <w:r>
        <w:t xml:space="preserve"> A structured needs assessment is conducted in Gedaref State to establish the skills, market, and institutional gaps the training programme must address. Instruments are digitised in KoboToolbox and administered by locally recruited enumerators trained by Cortech on tool use, consent procedures, and data quality protocols before deployment.</w:t>
      </w:r>
    </w:p>
    <w:p>
      <w:r>
        <w:rPr>
          <w:b/>
        </w:rPr>
        <w:t>Phase 3 — Programme Design and Analysis (indicative weeks 19–32).</w:t>
      </w:r>
      <w:r>
        <w:t xml:space="preserve"> Quantitative assessment data is cleaned and analysed in SPSS; qualitative transcripts from Key Informant Interviews (KIIs) and Focus Group Discussions (FGDs) are coded thematically in NVivo. Findings are triangulated across data sources to identify the priority business development competencies, sub-sectors, and target segments the training programme should prioritise, and to specify the institutional home(s) through which the programme can be delivered.</w:t>
      </w:r>
    </w:p>
    <w:p>
      <w:r>
        <w:rPr>
          <w:b/>
        </w:rPr>
        <w:t>Phase 4 — Validation and Reporting (indicative weeks 33–48).</w:t>
      </w:r>
      <w:r>
        <w:t xml:space="preserve"> A draft Business Development Training Programme design is circulated to UNIDO and key Gedaref State stakeholders for review, tested through a validation workshop, revised, and finalised. The phase closes with submission of the final design package and a completion/handover note.</w:t>
      </w:r>
    </w:p>
    <w:p>
      <w:pPr>
        <w:pStyle w:val="Heading3"/>
      </w:pPr>
      <w:r>
        <w:t>3. Deliverable-Specific Methods</w:t>
      </w:r>
    </w:p>
    <w:p>
      <w:r>
        <w:t>The tender documents available to Cortech confirm a single aggregate deliverable — the Business Development Training Programme design for Gedaref State — over the 48-week duration, without a granular deliverables schedule. Cortech has structured this single deliverable into component outputs mapped to the client's sector tags, to be reconciled against the definitive deliverables list once RFx_7000008723.ZIP is reviewed:</w:t>
      </w:r>
    </w:p>
    <w:p>
      <w:pPr>
        <w:pStyle w:val="ListBullet"/>
      </w:pPr>
      <w:r>
        <w:rPr>
          <w:b/>
        </w:rPr>
        <w:t>Business Development / SME and Start-up Needs Assessment</w:t>
      </w:r>
      <w:r>
        <w:t xml:space="preserve"> (covering the "Business Centres/Incubators/Business Development/Business Plans/Clustering" and "SMEs/Start-ups" tags): KoboToolbox-administered survey of SMEs and start-ups operating in Gedaref State, supplemented by KIIs with business development service providers and incubator/technology-park operators where such structures exist locally. Output: a Needs Assessment Report identifying priority training content and delivery constraints, analysed in SPSS for quantitative patterns and NVivo for qualitative themes drawn from KII transcripts.</w:t>
      </w:r>
    </w:p>
    <w:p>
      <w:pPr>
        <w:pStyle w:val="ListBullet"/>
      </w:pPr>
      <w:r>
        <w:rPr>
          <w:b/>
        </w:rPr>
        <w:t>Employment and Labour Market Alignment</w:t>
      </w:r>
      <w:r>
        <w:t xml:space="preserve"> (covering "Employment/Labour"): FGDs with employers and labour-market intermediaries in Gedaref State to confirm the training programme's alignment with local employment demand. Output: a labour-market alignment note feeding directly into module selection in the curriculum design step.</w:t>
      </w:r>
    </w:p>
    <w:p>
      <w:pPr>
        <w:pStyle w:val="ListBullet"/>
      </w:pPr>
      <w:r>
        <w:rPr>
          <w:b/>
        </w:rPr>
        <w:t>Curriculum and Training Design</w:t>
      </w:r>
      <w:r>
        <w:t xml:space="preserve"> (covering "Curriculum" and "Technical/Industrial/Vocational/Professional education"): Drawing on Cortech's curriculum development work on the AECF-funded assignment training IIW-SS investees on safeguarding and referral mechanisms in Sudan and South Sudan (2024), and on the business development, strategy, and programme design services delivered for Danish Refugee Council Somalia across Kenya, Somalia, Ethiopia, Sudan, and South Sudan (2025), Cortech produces a modular curriculum framework, facilitator guidance, and participant materials, structured for delivery through the TVET and vocational institutions identified during the Field Assessment Phase.</w:t>
      </w:r>
    </w:p>
    <w:p>
      <w:pPr>
        <w:pStyle w:val="ListBullet"/>
      </w:pPr>
      <w:r>
        <w:rPr>
          <w:b/>
        </w:rPr>
        <w:t>Institutional and Policy Alignment</w:t>
      </w:r>
      <w:r>
        <w:t xml:space="preserve"> (covering "Policy/Planning/Systems/Institutions/Evaluation/Decentralisation" and "Country Programming/Programme Development/Roadmap"): a policy-fit review mapping the proposed programme against relevant national and Gedaref State-level institutional structures, produced through document review and KIIs with institutional counterparts, output as an institutional linkage annex to the main design document.</w:t>
      </w:r>
    </w:p>
    <w:p>
      <w:pPr>
        <w:pStyle w:val="ListBullet"/>
      </w:pPr>
      <w:r>
        <w:rPr>
          <w:b/>
        </w:rPr>
        <w:t>Monitoring and Evaluation Framework</w:t>
      </w:r>
      <w:r>
        <w:t xml:space="preserve"> (covering "Monitoring &amp; Evaluation &amp; Assessment/(impact) Studies/Project Audit/Survey"): an M&amp;E framework for the designed programme, built on the OECD DAC criteria (Relevance, Effectiveness, Efficiency, Impact, Sustainability), specifying indicators, data sources, and a monitoring roadmap that UNIDO can activate once the programme moves to implementation.</w:t>
      </w:r>
    </w:p>
    <w:p>
      <w:pPr>
        <w:pStyle w:val="ListBullet"/>
      </w:pPr>
      <w:r>
        <w:rPr>
          <w:b/>
        </w:rPr>
        <w:t>Training/Capacity Building and Documentation</w:t>
      </w:r>
      <w:r>
        <w:t xml:space="preserve"> (covering "Training/Capacity building/Documentation"): a documentation package summarising the design process, methodology, and evidence base, consistent with the documentation-of-practice approach Cortech applied for GREDO's green skills employment intervention in Baidoa, Somalia (2025).</w:t>
      </w:r>
    </w:p>
    <w:p>
      <w:pPr>
        <w:pStyle w:val="Heading3"/>
      </w:pPr>
      <w:r>
        <w:t>4. Data Quality Assurance</w:t>
      </w:r>
    </w:p>
    <w:p>
      <w:r>
        <w:t>All primary data collection instruments are piloted with a small sample of respondents in Gedaref State before full deployment, with the pilot used to revise question wording, skip logic, and translation. KoboToolbox forms include built-in range and consistency checks, GPS-stamping of interview locations, and daily server-side data quality review by a Cortech data manager during the Field Assessment Phase. SPSS datasets are subject to double-entry verification checks on a sample of records and outlier review before analysis. NVivo coding is conducted against a shared codebook agreed at Inception, with inter-coder consistency checked on a sample of transcripts by a second analyst. Draft outputs at each phase (Inception Report, Needs Assessment Report, draft programme design) are subject to internal technical review by a senior Cortech reviewer not directly engaged in fieldwork before submission to UNIDO, and each submission is logged against the workplan to track adherence to the 48-week duration.</w:t>
      </w:r>
    </w:p>
    <w:p>
      <w:pPr>
        <w:pStyle w:val="Heading3"/>
      </w:pPr>
      <w:r>
        <w:t>5. Ethical Considerations</w:t>
      </w:r>
    </w:p>
    <w:p>
      <w:r>
        <w:t>Fieldwork in Gedaref State is conducted under informed consent procedures administered in the respondent's preferred language, with participation voluntary and withdrawal permitted at any stage without consequence to the respondent. Enumerators are trained on Cortech's child safeguarding policy and PSEA (Protection from Sexual Exploitation and Abuse) compliance standards prior to deployment, consistent with the safeguards Cortech applied on its Sudan/South Sudan safeguarding and referral-mechanism assignment for AECF (2024). Data is stored on password-protected servers with access limited to the assigned Cortech team, and any personally identifiable information collected during the needs assessment is disaggregated and anonymised before inclusion in analysis outputs or the final design document. Given the operating context in Sudan, Cortech's field team applies a do-no-harm protocol that includes context-sensitivity briefings for enumerators and a standing arrangement to adjust or pause fieldwork locations in consultation with UNIDO should local conditions in Gedaref State require it.</w:t>
      </w:r>
    </w:p>
    <w:p>
      <w:r>
        <w:br w:type="page"/>
      </w:r>
    </w:p>
    <w:p>
      <w:pPr>
        <w:pStyle w:val="Heading1"/>
      </w:pPr>
      <w:r>
        <w:t>Sampling Strategy &amp; Data Analysis Plan</w:t>
      </w:r>
    </w:p>
    <w:p>
      <w:pPr>
        <w:pStyle w:val="Heading2"/>
      </w:pPr>
      <w:r>
        <w:t>SAMPLING AND SELECTION APPROACH</w:t>
      </w:r>
    </w:p>
    <w:p>
      <w:r>
        <w:t>The design of the Business Development Training Programme in Gedaref State, Sudan is a qualitative, consultative assignment rather than a population-level measurement exercise, and it does not require a probability sample. Cortech will therefore not calculate a sample size against a confidence interval or margin of error, since the objective is not to estimate a population parameter for the SME or business development services (BDS) landscape in Gedaref State but to capture the range of institutional perspectives, curriculum needs, labour-market signals, and delivery constraints that must inform a training design that is credible to those who will use it. Key informant interview (KII) and focus group discussion (FGD) participants will instead be purposively selected to maximise the diversity of stakeholder types relevant to the sector tags UNIDO has attached to this assignment — business development/SME support, employment/labour, curriculum and TVET, and policy/planning/institutions. This will include state-level government counterparts, chambers of commerce and business associations, TVET and vocational training providers operating in Gedaref State, existing business incubators or enterprise support structures where these are confirmed to exist, and a purposive cross-section of SME owners and start-up operators stratified by sector of activity, business size, and gender, to the extent the final stakeholder mapping — to be confirmed during inception in consultation with UNIDO — allows. Selection criteria, the rationale for each category's inclusion, and any deviations from the planned list will be documented transparently in the inception report, consistent with Cortech's standard practice on non-probability qualitative assignments. Should the full Terms of Reference in RFx_7000008723.ZIP specify a defined beneficiary population, quota, or disaggregation requirement not visible in the documents available to Cortech at proposal stage, the selection logic set out here will be revised accordingly during inception without altering the underlying purposive rationale.</w:t>
      </w:r>
    </w:p>
    <w:p>
      <w:pPr>
        <w:pStyle w:val="Heading2"/>
      </w:pPr>
      <w:r>
        <w:t>SECTION 2 — DATA ANALYSIS PLAN</w:t>
      </w:r>
    </w:p>
    <w:p>
      <w:r>
        <w:t>Quantitative inputs to the training design — where secondary labour-market data, SME registration figures, or existing baseline statistics for Gedaref State are made available by UNIDO or partner institutions — will be cleaned, coded, and entered into SPSS. Analysis will be descriptive in the first instance, generating frequencies, cross-tabulations, and disaggregated summaries by sector of activity, enterprise size, and gender, to characterise the business development and employment/labour landscape the training programme must serve. Where sufficient secondary data permit, inferential procedures such as cross-tabulation significance testing will be used to test associations between enterprise characteristics (sector, size, ownership) and reported constraints such as access to finance, skills gaps, or market access — informing which curriculum modules and delivery formats the design should prioritise.</w:t>
      </w:r>
    </w:p>
    <w:p>
      <w:r>
        <w:t>Qualitative data from KIIs and FGDs will be recorded, transcribed, and coded in NVivo using a coding framework structured around the assignment's core design questions: institutional readiness, curriculum content priorities, delivery modality preferences, and monitoring and evaluation requirements for the eventual programme. Thematic analysis will proceed inductively within these a priori nodes, allowing sub-themes — for example, differentiated needs of women-led versus male-led enterprises, or gaps between existing TVET curricula and market demand — to emerge from the data rather than being imposed on it. Coding will be conducted jointly by at least two members of the analysis team with periodic cross-checking to maintain coding consistency.</w:t>
      </w:r>
    </w:p>
    <w:p>
      <w:r>
        <w:t>Triangulation will occur at the interpretation stage: quantitative patterns from secondary/administrative data will be tested against qualitative explanations offered by stakeholders, and convergence or divergence between the two will be explicitly flagged in the design report rather than resolved by default toward one data source. Where quantitative and qualitative findings diverge — for instance, administrative data suggesting adequate training coverage against KII testimony describing unmet demand — both will be presented, with the design team's judgement on programme implications stated transparently rather than concealed behind an averaged conclusion.</w:t>
      </w:r>
    </w:p>
    <w:p>
      <w:r>
        <w:br w:type="page"/>
      </w:r>
    </w:p>
    <w:p>
      <w:pPr>
        <w:pStyle w:val="Heading1"/>
      </w:pPr>
      <w:r>
        <w:t>Quality Assurance &amp; Ethical Considerations</w:t>
      </w:r>
    </w:p>
    <w:p>
      <w:pPr>
        <w:pStyle w:val="Heading2"/>
      </w:pPr>
      <w:r>
        <w:t>SECTION 1 — QUALITY ASSURANCE FRAMEWORK</w:t>
      </w:r>
    </w:p>
    <w:p>
      <w:r>
        <w:t>Cortech Consulting Group applies a phase-anchored quality assurance system to the design of the Business Development Training Programme in Gedaref State, Sudan, so that each output is checked against a defined standard before it is submitted to UNIDO for review. The supplied tender documents do not reproduce a scoring matrix, deliverable list, or QA clause — this sits, if specified, within RFx_7000008723.ZIP — so the framework below reflects Cortech's own design-assurance procedure, applied to the 48-week duration stated in the notice, and will be reconciled against any client-specified quality standard once the full ToR is confirmed.</w:t>
      </w:r>
    </w:p>
    <w:p>
      <w:r>
        <w:t xml:space="preserve">During the </w:t>
      </w:r>
      <w:r>
        <w:rPr>
          <w:b/>
        </w:rPr>
        <w:t>Inception Phase</w:t>
      </w:r>
      <w:r>
        <w:t>, the technical approach, work plan, and stakeholder engagement schedule for Gedaref State are reviewed by a second senior Cortech reviewer before the inception report is submitted, checking that the design logic addresses the full breadth of sectors UNIDO has tagged — business development/SME support, curriculum, TVET, employment/labour, and policy/institutional planning — rather than a narrow training-curriculum lens.</w:t>
      </w:r>
    </w:p>
    <w:p>
      <w:r>
        <w:t xml:space="preserve">In the </w:t>
      </w:r>
      <w:r>
        <w:rPr>
          <w:b/>
        </w:rPr>
        <w:t>Diagnostic and Needs Assessment Phase</w:t>
      </w:r>
      <w:r>
        <w:t>, primary data (stakeholder consultations with SME actors, training institutions, and relevant Gedaref State authorities) is quality-checked at the point of collection using structured tools, with a second-level desk review of transcripts and consultation notes before findings are consolidated.</w:t>
      </w:r>
    </w:p>
    <w:p>
      <w:r>
        <w:t xml:space="preserve">In the </w:t>
      </w:r>
      <w:r>
        <w:rPr>
          <w:b/>
        </w:rPr>
        <w:t>Programme Design Phase</w:t>
      </w:r>
      <w:r>
        <w:t>, draft curriculum and training-architecture components undergo internal technical peer review by an expert not directly responsible for drafting, checking coherence between diagnostic findings, learning objectives, and delivery modalities.</w:t>
      </w:r>
    </w:p>
    <w:p>
      <w:r>
        <w:t xml:space="preserve">In the </w:t>
      </w:r>
      <w:r>
        <w:rPr>
          <w:b/>
        </w:rPr>
        <w:t>Validation Phase</w:t>
      </w:r>
      <w:r>
        <w:t>, draft outputs are shared with UNIDO for a structured feedback loop, with review comments logged and tracked to closure before finalization.</w:t>
      </w:r>
    </w:p>
    <w:p>
      <w:r>
        <w:t xml:space="preserve">In the </w:t>
      </w:r>
      <w:r>
        <w:rPr>
          <w:b/>
        </w:rPr>
        <w:t>Finalization Phase</w:t>
      </w:r>
      <w:r>
        <w:t>, the completed programme design package undergoes a final compliance check against the agreed deliverable specification prior to submission, with version control maintained throughout.</w:t>
      </w:r>
    </w:p>
    <w:p>
      <w:pPr>
        <w:pStyle w:val="Heading2"/>
      </w:pPr>
      <w:r>
        <w:t>SECTION 2 — ETHICAL CONSIDERATIONS AND SAFEGUARDING</w:t>
      </w:r>
    </w:p>
    <w:p>
      <w:r>
        <w:t>The supplied tender documents do not state an explicit ethical-clearance, data-protection, or safeguarding requirement — this is expected, if applicable, to sit within RFx_7000008723.ZIP, which has not been made available to Cortech at the time of drafting. In its absence, Cortech applies its standing organisational safeguards as the operating baseline for this assignment and will align to any additional clause UNIDO specifies once the full pack is reviewed.</w:t>
      </w:r>
    </w:p>
    <w:p>
      <w:r>
        <w:t>Cortech is ISO certified, maintains a child safeguarding policy, and is PSEA policy compliant; these apply throughout the design process in Gedaref State, including during stakeholder consultations that may involve youth entering the SME/Start-up economy referenced in the sector tagging. All Cortech personnel and any subcontracted local resource persons engaged for consultations in Gedaref State will sign confidentiality undertakings and Cortech's Code of Conduct prior to fieldwork, and will receive a briefing on PSEA, informed consent procedures, and referral pathways before engaging any respondent.</w:t>
      </w:r>
    </w:p>
    <w:p>
      <w:r>
        <w:t>Participation by SME owners, training providers, employment/labour stakeholders, and government counterparts consulted during the design process will be voluntary and preceded by informed consent, covering the purpose of the consultation, its role in the training programme design, confidentiality provisions, and the right to withdraw. Personal and business data gathered from SME respondents will be stored on access-controlled systems, anonymised in reporting outputs, and retained only for the purposes of this design assignment, consistent with data-protection practice appropriate to EC-funded engagements; the specific data-protection regime applicable under EC (DGs and Agencies other than EuropeAid/INTPA) funding rules will be confirmed against the full tender pack. Given Sudan's fragile operating context, do-no-harm assessment will precede any stakeholder engagement in Gedaref State, and consultation scheduling will be adjusted to local security conditions as advised by Cortech's in-country arrangements.</w:t>
      </w:r>
    </w:p>
    <w:p>
      <w:r>
        <w:br w:type="page"/>
      </w:r>
    </w:p>
    <w:p>
      <w:pPr>
        <w:pStyle w:val="Heading1"/>
      </w:pPr>
      <w:r>
        <w:t>Risk Management</w:t>
      </w:r>
    </w:p>
    <w:p>
      <w:pPr>
        <w:pStyle w:val="Heading2"/>
      </w:pPr>
      <w:r>
        <w:t>Risk Management and Mitigation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Security</w:t>
            </w:r>
          </w:p>
        </w:tc>
        <w:tc>
          <w:tcPr>
            <w:tcW w:type="dxa" w:w="1728"/>
          </w:tcPr>
          <w:p>
            <w:r/>
            <w:r>
              <w:t>Gedaref State sits within a wider Sudan operating environment subject to population displacement, access restrictions, and periodic insecurity that can affect movement of design-team personnel and local counterparts between Gedaref town and outlying localities.</w:t>
            </w:r>
          </w:p>
        </w:tc>
        <w:tc>
          <w:tcPr>
            <w:tcW w:type="dxa" w:w="1728"/>
          </w:tcPr>
          <w:p>
            <w:r/>
            <w:r>
              <w:t>Medium</w:t>
            </w:r>
          </w:p>
        </w:tc>
        <w:tc>
          <w:tcPr>
            <w:tcW w:type="dxa" w:w="1728"/>
          </w:tcPr>
          <w:p>
            <w:r/>
            <w:r>
              <w:t>High</w:t>
            </w:r>
          </w:p>
        </w:tc>
        <w:tc>
          <w:tcPr>
            <w:tcW w:type="dxa" w:w="1728"/>
          </w:tcPr>
          <w:p>
            <w:r/>
            <w:r>
              <w:t>Cortech will confirm current UNIDO/UN Department of Safety and Security access advisories for Gedaref State before any field mission is scheduled, engage a Sudan-based/Sudanese associate expert to lead local liaison and movement planning, and build flexible, remotely-deliverable design-consultation formats (phone/online stakeholder interviews) into the inception plan so that in-person fieldwork is not a single point of failure.</w:t>
            </w:r>
          </w:p>
        </w:tc>
      </w:tr>
      <w:tr>
        <w:tc>
          <w:tcPr>
            <w:tcW w:type="dxa" w:w="1728"/>
          </w:tcPr>
          <w:p>
            <w:r/>
            <w:r>
              <w:t>Data Quality and Availability</w:t>
            </w:r>
          </w:p>
        </w:tc>
        <w:tc>
          <w:tcPr>
            <w:tcW w:type="dxa" w:w="1728"/>
          </w:tcPr>
          <w:p>
            <w:r/>
            <w:r>
              <w:t>Baseline information on existing SME support structures, business development service providers, and TVET/curriculum assets in Gedaref State may be incomplete, outdated, or dispersed across multiple state and federal institutions, weakening the evidence base for programme design.</w:t>
            </w:r>
          </w:p>
        </w:tc>
        <w:tc>
          <w:tcPr>
            <w:tcW w:type="dxa" w:w="1728"/>
          </w:tcPr>
          <w:p>
            <w:r/>
            <w:r>
              <w:t>Medium</w:t>
            </w:r>
          </w:p>
        </w:tc>
        <w:tc>
          <w:tcPr>
            <w:tcW w:type="dxa" w:w="1728"/>
          </w:tcPr>
          <w:p>
            <w:r/>
            <w:r>
              <w:t>Medium</w:t>
            </w:r>
          </w:p>
        </w:tc>
        <w:tc>
          <w:tcPr>
            <w:tcW w:type="dxa" w:w="1728"/>
          </w:tcPr>
          <w:p>
            <w:r/>
            <w:r>
              <w:t>The design team will triangulate secondary data (state economic profiles, prior UNIDO/EC programming records, chamber of commerce registries) with primary key-informant interviews and a structured institutional mapping exercise, cross-checking findings across at least two independent sources before they are used to justify design choices in deliverables.</w:t>
            </w:r>
          </w:p>
        </w:tc>
      </w:tr>
      <w:tr>
        <w:tc>
          <w:tcPr>
            <w:tcW w:type="dxa" w:w="1728"/>
          </w:tcPr>
          <w:p>
            <w:r/>
            <w:r>
              <w:t>Government and Stakeholder Engagement</w:t>
            </w:r>
          </w:p>
        </w:tc>
        <w:tc>
          <w:tcPr>
            <w:tcW w:type="dxa" w:w="1728"/>
          </w:tcPr>
          <w:p>
            <w:r/>
            <w:r>
              <w:t>Multi-level engagement is required across Gedaref State authorities, federal ministries relevant to SME/employment/TVET policy, and UNIDO/EC counterparts; misalignment or delayed sign-off at any level can stall validation of the training programme design.</w:t>
            </w:r>
          </w:p>
        </w:tc>
        <w:tc>
          <w:tcPr>
            <w:tcW w:type="dxa" w:w="1728"/>
          </w:tcPr>
          <w:p>
            <w:r/>
            <w:r>
              <w:t>Medium</w:t>
            </w:r>
          </w:p>
        </w:tc>
        <w:tc>
          <w:tcPr>
            <w:tcW w:type="dxa" w:w="1728"/>
          </w:tcPr>
          <w:p>
            <w:r/>
            <w:r>
              <w:t>High</w:t>
            </w:r>
          </w:p>
        </w:tc>
        <w:tc>
          <w:tcPr>
            <w:tcW w:type="dxa" w:w="1728"/>
          </w:tcPr>
          <w:p>
            <w:r/>
            <w:r>
              <w:t>Cortech will establish a stakeholder engagement and validation protocol at inception, mapping formal approval gates against the workplan, and will hold structured consultation and validation workshops with named state and federal counterparts at each design milestone rather than only at the final deliverable stage.</w:t>
            </w:r>
          </w:p>
        </w:tc>
      </w:tr>
      <w:tr>
        <w:tc>
          <w:tcPr>
            <w:tcW w:type="dxa" w:w="1728"/>
          </w:tcPr>
          <w:p>
            <w:r/>
            <w:r>
              <w:t>Community and Beneficiary Participation</w:t>
            </w:r>
          </w:p>
        </w:tc>
        <w:tc>
          <w:tcPr>
            <w:tcW w:type="dxa" w:w="1728"/>
          </w:tcPr>
          <w:p>
            <w:r/>
            <w:r>
              <w:t>SME owners, start-up operators, and prospective TVET/business-training participants in Gedaref State may have limited availability for consultation due to seasonal agricultural/trading cycles or displacement-related mobility.</w:t>
            </w:r>
          </w:p>
        </w:tc>
        <w:tc>
          <w:tcPr>
            <w:tcW w:type="dxa" w:w="1728"/>
          </w:tcPr>
          <w:p>
            <w:r/>
            <w:r>
              <w:t>Medium</w:t>
            </w:r>
          </w:p>
        </w:tc>
        <w:tc>
          <w:tcPr>
            <w:tcW w:type="dxa" w:w="1728"/>
          </w:tcPr>
          <w:p>
            <w:r/>
            <w:r>
              <w:t>Medium</w:t>
            </w:r>
          </w:p>
        </w:tc>
        <w:tc>
          <w:tcPr>
            <w:tcW w:type="dxa" w:w="1728"/>
          </w:tcPr>
          <w:p>
            <w:r/>
            <w:r>
              <w:t>Consultation scheduling will be aligned with local market and agricultural calendars identified during the inception phase, using purposive, gender- and youth-disaggregated sampling of SME and start-up respondents to ensure representative input despite constrained windows.</w:t>
            </w:r>
          </w:p>
        </w:tc>
      </w:tr>
      <w:tr>
        <w:tc>
          <w:tcPr>
            <w:tcW w:type="dxa" w:w="1728"/>
          </w:tcPr>
          <w:p>
            <w:r/>
            <w:r>
              <w:t>Timeline, Sequencing and Approval Gates</w:t>
            </w:r>
          </w:p>
        </w:tc>
        <w:tc>
          <w:tcPr>
            <w:tcW w:type="dxa" w:w="1728"/>
          </w:tcPr>
          <w:p>
            <w:r/>
            <w:r>
              <w:t>The 48-week estimated duration spans multiple sequential design stages (diagnostic, curriculum architecture, validation, finalisation); delays in UNIDO/EC review or clearance at any stage can compress downstream activities.</w:t>
            </w:r>
          </w:p>
        </w:tc>
        <w:tc>
          <w:tcPr>
            <w:tcW w:type="dxa" w:w="1728"/>
          </w:tcPr>
          <w:p>
            <w:r/>
            <w:r>
              <w:t>Medium</w:t>
            </w:r>
          </w:p>
        </w:tc>
        <w:tc>
          <w:tcPr>
            <w:tcW w:type="dxa" w:w="1728"/>
          </w:tcPr>
          <w:p>
            <w:r/>
            <w:r>
              <w:t>High</w:t>
            </w:r>
          </w:p>
        </w:tc>
        <w:tc>
          <w:tcPr>
            <w:tcW w:type="dxa" w:w="1728"/>
          </w:tcPr>
          <w:p>
            <w:r/>
            <w:r>
              <w:t>The workplan will build defined review-and-clearance windows into the Gantt chart at each deliverable gate, with buffer sequencing between dependent phases and early submission of draft deliverables to allow parallel internal quality review and client feedback cycles.</w:t>
            </w:r>
          </w:p>
        </w:tc>
      </w:tr>
      <w:tr>
        <w:tc>
          <w:tcPr>
            <w:tcW w:type="dxa" w:w="1728"/>
          </w:tcPr>
          <w:p>
            <w:r/>
            <w:r>
              <w:t>Team Availability and Mobilisation</w:t>
            </w:r>
          </w:p>
        </w:tc>
        <w:tc>
          <w:tcPr>
            <w:tcW w:type="dxa" w:w="1728"/>
          </w:tcPr>
          <w:p>
            <w:r/>
            <w:r>
              <w:t>Sourcing experts combining business development/SME, curriculum design, TVET, and M&amp;E competencies for sustained engagement across a 48-week assignment carries a risk of key-expert turnover or scheduling conflict.</w:t>
            </w:r>
          </w:p>
        </w:tc>
        <w:tc>
          <w:tcPr>
            <w:tcW w:type="dxa" w:w="1728"/>
          </w:tcPr>
          <w:p>
            <w:r/>
            <w:r>
              <w:t>Low</w:t>
            </w:r>
          </w:p>
        </w:tc>
        <w:tc>
          <w:tcPr>
            <w:tcW w:type="dxa" w:w="1728"/>
          </w:tcPr>
          <w:p>
            <w:r/>
            <w:r>
              <w:t>Medium</w:t>
            </w:r>
          </w:p>
        </w:tc>
        <w:tc>
          <w:tcPr>
            <w:tcW w:type="dxa" w:w="1728"/>
          </w:tcPr>
          <w:p>
            <w:r/>
            <w:r>
              <w:t>Core personnel will be contracted with defined availability commitments mapped against the workplan, backed by identified alternate experts from Cortech's network-consultant roster to ensure continuity if a named expert becomes unavailable.</w:t>
            </w:r>
          </w:p>
        </w:tc>
      </w:tr>
      <w:tr>
        <w:tc>
          <w:tcPr>
            <w:tcW w:type="dxa" w:w="1728"/>
          </w:tcPr>
          <w:p>
            <w:r/>
            <w:r>
              <w:t>Scope Breadth and Institutional Alignment</w:t>
            </w:r>
          </w:p>
        </w:tc>
        <w:tc>
          <w:tcPr>
            <w:tcW w:type="dxa" w:w="1728"/>
          </w:tcPr>
          <w:p>
            <w:r/>
            <w:r>
              <w:t>The assignment spans business development/SME support, employment/labour, curriculum, TVET, and policy/institutional planning; a design that privileges one dimension risks producing a training programme inconsistent with the sector breadth UNIDO/EC has flagged.</w:t>
            </w:r>
          </w:p>
        </w:tc>
        <w:tc>
          <w:tcPr>
            <w:tcW w:type="dxa" w:w="1728"/>
          </w:tcPr>
          <w:p>
            <w:r/>
            <w:r>
              <w:t>Medium</w:t>
            </w:r>
          </w:p>
        </w:tc>
        <w:tc>
          <w:tcPr>
            <w:tcW w:type="dxa" w:w="1728"/>
          </w:tcPr>
          <w:p>
            <w:r/>
            <w:r>
              <w:t>Medium</w:t>
            </w:r>
          </w:p>
        </w:tc>
        <w:tc>
          <w:tcPr>
            <w:tcW w:type="dxa" w:w="1728"/>
          </w:tcPr>
          <w:p>
            <w:r/>
            <w:r>
              <w:t>The design methodology will explicitly cross-reference each design output against all flagged sector dimensions during internal quality review, with a dedicated policy/institutional alignment check before any deliverable is submitted to UNIDO.</w:t>
            </w:r>
          </w:p>
        </w:tc>
      </w:tr>
    </w:tbl>
    <w:p>
      <w:r>
        <w:t>Cortech Consulting Group treats risk management for the Design of a Business Development Training Programme in Gedaref State, Sudan as a live, adaptive function rather than a static register completed at inception. A designated risk focal point within the core team will maintain a running risk log through the 48-week assignment, updated at each workplan milestone, with material changes in the Sudan operating context communicated promptly to UNIDO for joint decision-making on schedule or method adjustments. Internal review meetings at each design phase gate will assess emerging access, data, or stakeholder-engagement constraints and record corrective actions before they affect deliverable timelines.</w:t>
      </w:r>
    </w:p>
    <w:p>
      <w:r>
        <w:t>This approach is deliberately weighted toward the risks most consequential to a design-stage assignment: stakeholder validation and government engagement gates, data adequacy for curriculum and policy design choices, and sequencing discipline across a near-year-long timeframe. Cortech's mitigation measures rely on local liaison capacity, flexible consultation formats, and structured validation checkpoints rather than on schedule compression or scope reduction, preserving the technical integrity of the final Business Development Training Programme design while protecting delivery against the operational realities of Gedaref State and the wider Sudan context.</w:t>
      </w:r>
    </w:p>
    <w:p>
      <w:r>
        <w:br w:type="page"/>
      </w:r>
    </w:p>
    <w:p>
      <w:pPr>
        <w:pStyle w:val="Heading1"/>
      </w:pPr>
      <w:r>
        <w:t>Proposed Team &amp; Core Experts</w:t>
      </w:r>
    </w:p>
    <w:p>
      <w:pPr>
        <w:pStyle w:val="Heading2"/>
      </w:pPr>
      <w:r>
        <w:t>Overall Team Strength Against the Stated Personnel Bar</w:t>
      </w:r>
    </w:p>
    <w:p>
      <w:r>
        <w:t>The substantive Terms of Reference for this assignment — including any mandatory qualification thresholds, minimum years of experience, degree requirements, or named position descriptions for key experts — sit within RFx_7000008723.ZIP, which was not available to Cortech Consulting Group at the time of drafting this proposal. In the absence of a stated personnel matrix, Cortech addresses the standard scoring dimension of "proposed team" by assembling a composition that matches the full breadth of sectors UNIDO has tagged against this procurement: Business Centres/Incubators/Business Development/Business Plans/Clustering/Technology parks/Innovation Centres, SMEs/Start-ups, Employment/Labour, Curriculum, Technical/Industrial/Vocational/Professional education, Policy/Planning/Systems/Institutions/Evaluation/Decentralisation, and Monitoring &amp; Evaluation &amp; Assessment. The team draws on Cortech's core staff complement and network-consultant bench, structured around a Team Leader accountable for the overall design output, supported by specialists covering curriculum/TVET design, SME and livelihoods economic inclusion, and monitoring, evaluation and learning — the same functional split Cortech applied on its Provision of Business Development, Strategy and Program Design Services assignment for Danish Refugee Council Somalia (2025, spanning Kenya, Somalia, Ethiopia, Sudan and South Sudan) and its curriculum development work under the AECF-commissioned Training of IIW-SS Investees assignment (2024, Sudan and South Sudan). Final CVs, qualifications, and named nominations for each position will be confirmed against the mandatory personnel criteria once RFx_7000008723.ZIP is retrieved and reviewed, ahead of the 04 September 2026, 17:00 Vienna time deadline.</w:t>
      </w:r>
    </w:p>
    <w:p>
      <w:pPr>
        <w:pStyle w:val="Heading2"/>
      </w:pPr>
      <w:r>
        <w:t>Team Leader / Business Development Training Design Lead</w:t>
      </w:r>
    </w:p>
    <w:p>
      <w:r>
        <w:t>The Team Leader will hold overall responsibility for the design methodology, quality of deliverables, and liaison with UNIDO throughout the assignment. This role draws on the same leadership function Cortech deployed on the Danish Refugee Council Somalia business development and program design assignment, where a senior advisor structured strategy, livelihoods, and resilience-building workstreams into a single coherent design output across five East African and Horn of Africa contexts. The Team Leader will coordinate the curriculum, SME/livelihoods, and MEL specialists into a single design product, sign off on each phase deliverable, and maintain the primary reporting line to the UNIDO contact point. This satisfies the client's implied requirement for a single accountable design lead capable of integrating the training programme's business development, employment/labour, and institutional dimensions into one coherent output.</w:t>
      </w:r>
    </w:p>
    <w:p>
      <w:pPr>
        <w:pStyle w:val="Heading2"/>
      </w:pPr>
      <w:r>
        <w:t>Curriculum and TVET Development Specialist</w:t>
      </w:r>
    </w:p>
    <w:p>
      <w:r>
        <w:t>This specialist will lead development of the training curriculum architecture, learning modules, and delivery structure, drawing on Cortech's documented curriculum-development work under the AECF IIW-SS assignment, where tailored curriculum content was built for agribusiness-sector investees in South Sudan and Sudan. The specialist's remit on this assignment covers translating the Business Development Training Programme concept into a structured curriculum aligned to the Technical/Industrial/Vocational/Professional education and Curriculum sector tags UNIDO has attached to this procurement. This role directly satisfies the curriculum-design dimension of the assignment scope.</w:t>
      </w:r>
    </w:p>
    <w:p>
      <w:pPr>
        <w:pStyle w:val="Heading2"/>
      </w:pPr>
      <w:r>
        <w:t>SME and Livelihoods Economic Inclusion Specialist</w:t>
      </w:r>
    </w:p>
    <w:p>
      <w:r>
        <w:t>This specialist will design the SME/start-up support and employment/labour components of the training programme, applying livelihoods and economic inclusion methodology carried across Cortech's Documentation of Best Practices under the Green Skills for Sustainable Employment Opportunities intervention in Baidoa, Somalia (2025, DANIDA-funded), which addressed youth employment and green skills training design. On this assignment, the specialist ensures the training design reflects practical SME and business development realities rather than generic curriculum content, satisfying the SMEs/Start-ups and Employment/Labour sector tags.</w:t>
      </w:r>
    </w:p>
    <w:p>
      <w:pPr>
        <w:pStyle w:val="Heading2"/>
      </w:pPr>
      <w:r>
        <w:t>Monitoring, Evaluation and Learning Specialist</w:t>
      </w:r>
    </w:p>
    <w:p>
      <w:r>
        <w:t>The MEL Specialist will build the monitoring and evaluation framework into the training programme design from inception, ensuring the design itself is evaluable — consistent with Cortech's role as MEAL Partner for the Somali Civic Engagement Facility (2026) and OECD DAC-aligned evaluation practice applied on the IGAD land governance evaluation (2025). This satisfies the Monitoring &amp; Evaluation &amp; Assessment/(impact) Studies sector tag attached to the procurement, ensuring the design phase produces a programme that is measurable at implementation.</w:t>
      </w:r>
    </w:p>
    <w:p>
      <w:pPr>
        <w:pStyle w:val="Heading2"/>
      </w:pPr>
      <w:r>
        <w:t>External Specialist Recruitment</w:t>
      </w:r>
    </w:p>
    <w:p>
      <w:r>
        <w:t>Cortech has no registered office in Sudan and will recruit a Gedaref State-based or Sudan-based local specialist — a business development or vocational training practitioner with direct Gedaref State context knowledge — to embed local institutional and market realities into the design and validate curriculum content with local business development stakeholders. This recruitment will be finalised once the mandatory ToR requirements in RFx_7000008723.ZIP are confirmed.</w:t>
      </w:r>
    </w:p>
    <w:p>
      <w:pPr>
        <w:pStyle w:val="Heading2"/>
      </w:pPr>
      <w:r>
        <w:t>Availability and Commitment</w:t>
      </w:r>
    </w:p>
    <w:p>
      <w:r>
        <w:t>The core team and network-consultant bench are available for immediate mobilisation, consistent with Cortech's rapid mobilisation capacity demonstrated on prior Sudan and South Sudan assignments (AECF, 2024). Team members will commit dedicated time across the full 48-week estimated duration, with the Team Leader maintaining continuous engagement from inception through final design handover, and specialist inputs sequenced against the design phases once the detailed workplan is confirmed against the full ToR.</w:t>
      </w:r>
    </w:p>
    <w:p>
      <w:r>
        <w:br w:type="page"/>
      </w:r>
    </w:p>
    <w:p>
      <w:pPr>
        <w:pStyle w:val="Heading1"/>
      </w:pPr>
      <w:r>
        <w:t>Work Plan &amp; Timeline</w:t>
      </w:r>
    </w:p>
    <w:p>
      <w:pPr>
        <w:pStyle w:val="Heading2"/>
      </w:pPr>
      <w:r>
        <w:t>Work Plan Narrative</w:t>
      </w:r>
    </w:p>
    <w:p>
      <w:r>
        <w:t>The 48-week duration stated for "Provision of Services related Design of a Business Development Training Programme in Gedaref State, Sudan" (donor reference 7000008723) is treated by Cortech as the binding envelope for all design activities, from contract signature to submission of the final Business Development Training Programme design. Because the substantive Terms of Reference sit inside RFx_7000008723.ZIP and were not available for review at drafting stage, the phase breakdown below sequences the assignment against the deliverable the notice itself names — "Design of a Business Development Training Programme" — and against the sector breadth UNIDO has tagged (business development/SME and start-up support, employment/labour, curriculum, technical/industrial/vocational/professional education, policy/planning/systems/institutions, monitoring and evaluation, and capacity building/training). Cortech will confirm exact calendar dates, approval gates, and any client-fixed milestones against the full RFx pack immediately upon its retrieval, and will adjust the schedule below only where the ToR fixes a different sequence or date; it does not alter the 48-week ceiling.</w:t>
      </w:r>
    </w:p>
    <w:p>
      <w:r>
        <w:rPr>
          <w:b/>
        </w:rPr>
        <w:t>Phase 1 — Inception and Contextual Diagnostic (Weeks 1–6).</w:t>
      </w:r>
      <w:r>
        <w:t xml:space="preserve"> Activities: contract-start briefing with UNIDO, desk review of Gedaref State's SME, TVET, and labour-market context, and confirmation of the design's purpose, end-users, and decision-use with UNIDO — a point flagged as not yet confirmed from the material supplied and requiring early clarification. Output: Inception Report covering methodology, stakeholder map, and work plan, submitted for UNIDO approval before Phase 2 proceeds.</w:t>
      </w:r>
    </w:p>
    <w:p>
      <w:r>
        <w:rPr>
          <w:b/>
        </w:rPr>
        <w:t>Phase 2 — Stakeholder Consultation and Needs Assessment (Weeks 5–14).</w:t>
      </w:r>
      <w:r>
        <w:t xml:space="preserve"> Activities: consultations with SMEs and start-ups, TVET providers, employment and labour actors, and relevant Gedaref State institutions; a labour-market and skills-gap assessment; and mapping of existing policy, curriculum, and institutional frameworks the training programme must align with. This phase overlaps with the tail of Phase 1 to allow field logistics to begin once the Inception Report is approved. Output: Needs Assessment and Gap Analysis Report.</w:t>
      </w:r>
    </w:p>
    <w:p>
      <w:r>
        <w:rPr>
          <w:b/>
        </w:rPr>
        <w:t>Phase 3 — Curriculum and Training Programme Design (Weeks 13–28).</w:t>
      </w:r>
      <w:r>
        <w:t xml:space="preserve"> Activities: drafting training modules, delivery pathways, and institutional arrangements for the Business Development Training Programme, cross-checked against the curriculum, TVET, and policy/planning tags in the sector list. Output: Draft Training Programme Design, including a Monitoring and Evaluation framework aligned to OECD DAC-consistent indicators.</w:t>
      </w:r>
    </w:p>
    <w:p>
      <w:r>
        <w:rPr>
          <w:b/>
        </w:rPr>
        <w:t>Phase 4 — Validation and Piloting Framework (Weeks 27–36).</w:t>
      </w:r>
      <w:r>
        <w:t xml:space="preserve"> Activities: a validation workshop with UNIDO, Gedaref State stakeholders, and beneficiary representatives; revision of the design based on feedback; and development of a piloting/roll-out roadmap (design only, consistent with the "Design," not "delivery," framing of the assignment). Output: Validated Training Programme Design and piloting roadmap.</w:t>
      </w:r>
    </w:p>
    <w:p>
      <w:r>
        <w:rPr>
          <w:b/>
        </w:rPr>
        <w:t>Phase 5 — Finalization and Handover (Weeks 35–46).</w:t>
      </w:r>
      <w:r>
        <w:t xml:space="preserve"> Activities: incorporation of final UNIDO comments, finalization of the M&amp;E framework, and preparation of the handover package. Output: Final Business Development Training Programme Design Report.</w:t>
      </w:r>
    </w:p>
    <w:p>
      <w:r>
        <w:rPr>
          <w:b/>
        </w:rPr>
        <w:t>Phase 6 — Closeout (Weeks 45–48).</w:t>
      </w:r>
      <w:r>
        <w:t xml:space="preserve"> Activities: final dissemination/presentation to UNIDO and closeout documentation. Output: Submission of the Final Report and formal contract closeout.</w:t>
      </w:r>
    </w:p>
    <w:p>
      <w:r>
        <w:t>Sequential dependencies govern the approval gates: field consultation does not begin until the Inception Report is approved, and design drafting does not begin until the Needs Assessment is accepted, mirroring the gated logic Cortech applies on ToR-based design assignments. Within each phase, sub-activities — such as stakeholder consultations across multiple institutional categories, or parallel drafting of curriculum content and the M&amp;E framework — run concurrently to protect the 48-week ceiling. Milestone dates will be recalculated from the actual contract-signature date once known; the tender's own fixed date — 04 September 2026, 17:00 Vienna time — governs only the proposal submission, not the assignment timeline, and is not treated as a project milestone in this work plan.</w:t>
      </w:r>
    </w:p>
    <w:p>
      <w:pPr>
        <w:pStyle w:val="Heading2"/>
      </w:pPr>
      <w:r>
        <w:t>Gantt Chart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r>
              <w:rPr>
                <w:b/>
              </w:rPr>
              <w:t>Activity</w:t>
            </w:r>
          </w:p>
        </w:tc>
        <w:tc>
          <w:tcPr>
            <w:tcW w:type="dxa" w:w="665"/>
          </w:tcPr>
          <w:p>
            <w:r>
              <w:rPr>
                <w:b/>
              </w:rPr>
            </w:r>
            <w:r>
              <w:rPr>
                <w:b/>
              </w:rPr>
              <w:t>M1 (W1-4)</w:t>
            </w:r>
          </w:p>
        </w:tc>
        <w:tc>
          <w:tcPr>
            <w:tcW w:type="dxa" w:w="665"/>
          </w:tcPr>
          <w:p>
            <w:r>
              <w:rPr>
                <w:b/>
              </w:rPr>
            </w:r>
            <w:r>
              <w:rPr>
                <w:b/>
              </w:rPr>
              <w:t>M2 (W5-8)</w:t>
            </w:r>
          </w:p>
        </w:tc>
        <w:tc>
          <w:tcPr>
            <w:tcW w:type="dxa" w:w="665"/>
          </w:tcPr>
          <w:p>
            <w:r>
              <w:rPr>
                <w:b/>
              </w:rPr>
            </w:r>
            <w:r>
              <w:rPr>
                <w:b/>
              </w:rPr>
              <w:t>M3 (W9-12)</w:t>
            </w:r>
          </w:p>
        </w:tc>
        <w:tc>
          <w:tcPr>
            <w:tcW w:type="dxa" w:w="665"/>
          </w:tcPr>
          <w:p>
            <w:r>
              <w:rPr>
                <w:b/>
              </w:rPr>
            </w:r>
            <w:r>
              <w:rPr>
                <w:b/>
              </w:rPr>
              <w:t>M4 (W13-16)</w:t>
            </w:r>
          </w:p>
        </w:tc>
        <w:tc>
          <w:tcPr>
            <w:tcW w:type="dxa" w:w="665"/>
          </w:tcPr>
          <w:p>
            <w:r>
              <w:rPr>
                <w:b/>
              </w:rPr>
            </w:r>
            <w:r>
              <w:rPr>
                <w:b/>
              </w:rPr>
              <w:t>M5 (W17-20)</w:t>
            </w:r>
          </w:p>
        </w:tc>
        <w:tc>
          <w:tcPr>
            <w:tcW w:type="dxa" w:w="665"/>
          </w:tcPr>
          <w:p>
            <w:r>
              <w:rPr>
                <w:b/>
              </w:rPr>
            </w:r>
            <w:r>
              <w:rPr>
                <w:b/>
              </w:rPr>
              <w:t>M6 (W21-24)</w:t>
            </w:r>
          </w:p>
        </w:tc>
        <w:tc>
          <w:tcPr>
            <w:tcW w:type="dxa" w:w="665"/>
          </w:tcPr>
          <w:p>
            <w:r>
              <w:rPr>
                <w:b/>
              </w:rPr>
            </w:r>
            <w:r>
              <w:rPr>
                <w:b/>
              </w:rPr>
              <w:t>M7 (W25-28)</w:t>
            </w:r>
          </w:p>
        </w:tc>
        <w:tc>
          <w:tcPr>
            <w:tcW w:type="dxa" w:w="665"/>
          </w:tcPr>
          <w:p>
            <w:r>
              <w:rPr>
                <w:b/>
              </w:rPr>
            </w:r>
            <w:r>
              <w:rPr>
                <w:b/>
              </w:rPr>
              <w:t>M8 (W29-32)</w:t>
            </w:r>
          </w:p>
        </w:tc>
        <w:tc>
          <w:tcPr>
            <w:tcW w:type="dxa" w:w="665"/>
          </w:tcPr>
          <w:p>
            <w:r>
              <w:rPr>
                <w:b/>
              </w:rPr>
            </w:r>
            <w:r>
              <w:rPr>
                <w:b/>
              </w:rPr>
              <w:t>M9 (W33-36)</w:t>
            </w:r>
          </w:p>
        </w:tc>
        <w:tc>
          <w:tcPr>
            <w:tcW w:type="dxa" w:w="665"/>
          </w:tcPr>
          <w:p>
            <w:r>
              <w:rPr>
                <w:b/>
              </w:rPr>
            </w:r>
            <w:r>
              <w:rPr>
                <w:b/>
              </w:rPr>
              <w:t>M10 (W37-40)</w:t>
            </w:r>
          </w:p>
        </w:tc>
        <w:tc>
          <w:tcPr>
            <w:tcW w:type="dxa" w:w="665"/>
          </w:tcPr>
          <w:p>
            <w:r>
              <w:rPr>
                <w:b/>
              </w:rPr>
            </w:r>
            <w:r>
              <w:rPr>
                <w:b/>
              </w:rPr>
              <w:t>M11 (W41-44)</w:t>
            </w:r>
          </w:p>
        </w:tc>
        <w:tc>
          <w:tcPr>
            <w:tcW w:type="dxa" w:w="665"/>
          </w:tcPr>
          <w:p>
            <w:r>
              <w:rPr>
                <w:b/>
              </w:rPr>
            </w:r>
            <w:r>
              <w:rPr>
                <w:b/>
              </w:rPr>
              <w:t>M12 (W45-48)</w:t>
            </w:r>
          </w:p>
        </w:tc>
      </w:tr>
      <w:tr>
        <w:tc>
          <w:tcPr>
            <w:tcW w:type="dxa" w:w="665"/>
          </w:tcPr>
          <w:p>
            <w:r/>
            <w:r>
              <w:t>Contract signing &amp; kick-off</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Desk review &amp; context diagnostic</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Inception Report &amp; approval gate</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Stakeholder mapping &amp; consultations, Gedaref State</w:t>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Labour-market &amp; skills-gap assessment</w:t>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Needs Assessment &amp; Gap Analysis Report</w:t>
            </w:r>
          </w:p>
        </w:tc>
        <w:tc>
          <w:tcPr>
            <w:tcW w:type="dxa" w:w="665"/>
          </w:tcPr>
          <w:p>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Curriculum &amp; training module design</w:t>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Policy/institutional alignment review</w:t>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M&amp;E framework design</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Validation workshop, Gedaref State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Revision of design per stakeholder feedback</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r>
      <w:tr>
        <w:tc>
          <w:tcPr>
            <w:tcW w:type="dxa" w:w="665"/>
          </w:tcPr>
          <w:p>
            <w:r/>
            <w:r>
              <w:t>Piloting/roll-out roadmap design</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r>
      <w:tr>
        <w:tc>
          <w:tcPr>
            <w:tcW w:type="dxa" w:w="665"/>
          </w:tcPr>
          <w:p>
            <w:r/>
            <w:r>
              <w:t>Final Training Programme Design Report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r>
      <w:tr>
        <w:tc>
          <w:tcPr>
            <w:tcW w:type="dxa" w:w="665"/>
          </w:tcPr>
          <w:p>
            <w:r/>
            <w:r>
              <w:t>UNIDO review &amp; finalization</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r>
      <w:tr>
        <w:tc>
          <w:tcPr>
            <w:tcW w:type="dxa" w:w="665"/>
          </w:tcPr>
          <w:p>
            <w:r/>
            <w:r>
              <w:t>Final dissemination event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p>
        </w:tc>
      </w:tr>
      <w:tr>
        <w:tc>
          <w:tcPr>
            <w:tcW w:type="dxa" w:w="665"/>
          </w:tcPr>
          <w:p>
            <w:r/>
            <w:r>
              <w:t>Submission of Final Report &amp; closeout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r>
    </w:tbl>
    <w:p>
      <w:r>
        <w:t>This phasing addresses the assignment's design-stage scope, its named sector breadth, and the 48-week ceiling directly, while flagging that exact approval-gate dates, milestone naming, and any mandatory submission format for deliverables remain to be confirmed against RFx_7000008723.ZIP before the schedule is finalized for contracting.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