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213D"/>
          <w:sz w:val="32"/>
        </w:rPr>
        <w:t>CORTECH CONSULTING GROUP</w:t>
      </w:r>
    </w:p>
    <w:p>
      <w:pPr>
        <w:jc w:val="center"/>
      </w:pPr>
      <w:r>
        <w:rPr>
          <w:i/>
        </w:rPr>
        <w:t>Technical Proposal</w:t>
      </w:r>
    </w:p>
    <w:p/>
    <w:p>
      <w:pPr>
        <w:jc w:val="center"/>
      </w:pPr>
      <w:r>
        <w:rPr>
          <w:b/>
          <w:sz w:val="28"/>
        </w:rPr>
        <w:t>Development of SOS Children's Villages Somalia Country Strategy (2027-2030)</w:t>
      </w:r>
    </w:p>
    <w:p>
      <w:pPr>
        <w:jc w:val="center"/>
      </w:pPr>
      <w:r>
        <w:t>Client: SOS Children's Villages Somalia</w:t>
        <w:br/>
      </w:r>
      <w:r>
        <w:t>Submitted by: Cortech Consulting Group</w:t>
        <w:br/>
      </w:r>
      <w:r>
        <w:t>Date: 01 September 2026</w:t>
      </w:r>
    </w:p>
    <w:p>
      <w:r>
        <w:br w:type="page"/>
      </w:r>
    </w:p>
    <w:p>
      <w:r>
        <w:fldChar w:fldCharType="begin"/>
        <w:instrText xml:space="preserve">TOC \o "1-1" \h \z \u</w:instrText>
        <w:fldChar w:fldCharType="separate"/>
        <w:fldChar w:fldCharType="end"/>
      </w:r>
    </w:p>
    <w:p>
      <w:r>
        <w:br w:type="page"/>
      </w:r>
    </w:p>
    <w:p>
      <w:pPr>
        <w:pStyle w:val="Heading1"/>
      </w:pPr>
      <w:r>
        <w:t>Cover Letter / Letter of Interest</w:t>
      </w:r>
    </w:p>
    <w:p>
      <w:r>
        <w:t>To: The Procurement Committee SOS Children's Villages Somalia procurement@sossomalia.org</w:t>
      </w:r>
    </w:p>
    <w:p>
      <w:r>
        <w:t>15 September 2026</w:t>
      </w:r>
    </w:p>
    <w:p>
      <w:r>
        <w:t>Subject: SOS Children's Village Somalia National Strategy Development, 2027-2030</w:t>
      </w:r>
    </w:p>
    <w:p>
      <w:r>
        <w:t>Dear Members of the Procurement Committee,</w:t>
      </w:r>
    </w:p>
    <w:p>
      <w:r>
        <w:t>Cortech Consulting Group submits its Technical and Financial Proposal for the development of the SOS Children's Villages Somalia Country Strategy (2027, 2030). We understand that this assignment comes at a decisive moment: the Country Strategy (2023, 2026) closes with approximately 95% of strategic KPIs achieved, yet the 2023, 2025 strategic review has surfaced three structural risks that the next cycle must confront directly: the phase-out of child sponsorship by SOS Norway and SOS Finland, the persistent self-reliance gap among Alternative Care and Family Strengthening households exiting the programme, and the 2024 Parliamentary rejection of the Child Rights Bill. Our proposal therefore treats this not as a strategy formulation exercise alone, but as an execution-oriented planning process, applying the Kaplan and Norton execution premium framework adapted for the nonprofit context, to deliver a Strategy Map across the Mission/Beneficiary Impact, Financial/Donor Sustainability, Internal Process, and Learning &amp; Growth perspectives, a Balanced Scorecard with a linked measure, target, and named strategic initiative for each objective, a prioritized Strategic Initiative Portfolio with an indicative StratEx budget distinct from OpEx, cascaded scorecards for each programme stream and for the Banadir and Baidoa program locations, and an Office of Strategy Management model that sustains execution after our engagement ends.</w:t>
      </w:r>
    </w:p>
    <w:p>
      <w:r>
        <w:t>Cortech brings the Somalia grounding this participatory process demands. From our Mogadishu and Nairobi offices we have delivered child-focused assignments in the exact geographies named in the Terms of Reference, including the endline evaluation of the SOM_DANIDA SPA 2022, 2025 Programme for Save the Children Somalia Country Office in Baidoa (2025), covering education, child protection, youth livelihoods and civil society strengthening, and strategy and programme design work in Jubaland for UNDP-Somalia (2025) and in Hirshabelle and South West States (2026). Our bilingual Somali and English team will facilitate all consultations with children, youth, caregivers, women, and persons with disabilities in Somali, in full compliance with the Child and Youth Safeguarding Policy, with signed codes of conduct, safeguarding briefings, and age-appropriate consent and assent secured before any child contact. Our methodology sequences the four commissioned evidence pieces, the updated CRSA, the comparative evaluation of community-based Alternative Care versus Family-Like Care, the local fundraising landscape mapping, and the EPHS handover readiness assessment, so that all four inform the Situational Analysis Report before finalization, within the 12-week timeline and the five-working-day Reference Group review windows.</w:t>
      </w:r>
    </w:p>
    <w:p>
      <w:r>
        <w:t>We confirm submission of all required documents: this technical proposal, CVs of key assignment personnel, an anonymized sample strategy map and Balanced Scorecard, two client references evidencing strategy execution follow-through, copies of similar works, our firm profile, government registration and taxation payment evidence, a signed Conflict of Interest Declaration, and a separate financial proposal with a clear cost breakdown. We remain available for clarification at any stage of the evaluation.</w:t>
      </w:r>
    </w:p>
    <w:p>
      <w:r>
        <w:t>Yours sincerely,</w:t>
      </w:r>
    </w:p>
    <w:p>
      <w:r>
        <w:t>Daud Hussein Ibrahim Director, Cortech Consulting Group Nairobi, Kenya | Mogadishu, Somalia https://cortechcgl.com</w:t>
      </w:r>
    </w:p>
    <w:p>
      <w:r>
        <w:br w:type="page"/>
      </w:r>
    </w:p>
    <w:p>
      <w:pPr>
        <w:pStyle w:val="Heading1"/>
      </w:pPr>
      <w:r>
        <w:t>Executive Summary</w:t>
      </w:r>
    </w:p>
    <w:p>
      <w:r>
        <w:t>Executive Summary</w:t>
      </w:r>
    </w:p>
    <w:p>
      <w:r>
        <w:t>SOS Children's Villages Somalia (SOS CV Somalia) is approaching completion of its Country Strategy (2023, 2026), under which approximately 95% of strategic Key Performance Indicators were achieved, with strong results in humanitarian action, education access, and alternative care scale-up. The 2023, 2025 strategic review nevertheless identified three structural risks that the next strategy cycle must address: the phase-out of child sponsorship by SOS Norway and SOS Finland, a persistent self-reliance gap among Alternative Care and Family Strengthening households exiting the programme, and the 2024 Parliamentary rejection of the Child Rights Bill. The review also surfaced a recurring execution gap between well-designed programme strategies and consistent operational follow-through. The assignment is therefore not the production of a strategy document alone: it is the facilitation of a participatory, evidence-based process that delivers the Country Strategy (2027, 2030) together with the execution architecture, a Strategy Map, Balanced Scorecard, prioritized Strategic Initiative Portfolio, organizational alignment/cascade plan, and a strategy governance and review mechanism, that sustains implementation across Banadir, Baidoa, and prospective expansion geographies in Southwest state Somalia, Jubaland, and Hirshabelle after the consultant's engagement ends.</w:t>
      </w:r>
    </w:p>
    <w:p>
      <w:r>
        <w:t>Cortech Consulting Group proposes a design built around two deliberate choices. First, the strategic hypotheses named in the 2023, 2025 review, whether community-based Alternative Care (foster, kinship, Kafala) should replace Family-Like Care as the primary modality, whether the SOS College of Health Sciences warrants a standalone objective, the scope of the Child Helpline partnership, the 2030 locally-generated income target given PSA sponsorship phase-out, and whether advocacy becomes a standalone programme stream, are treated as testable propositions, each assigned a specific evidence stream before the situational analysis is finalized. The four commissioned evidence gaps (an updated Child Rights Situation Analysis, the comparative evaluation of community-based Alternative Care versus Family-Like Care on outcomes and cost, the local fundraising landscape mapping, and the EPHS handover readiness assessment across all SOS CV Somalia-managed health facilities) are sequenced in weeks two and three precisely so that the Strategy Development Workshop debates evidence rather than opinion. Second, the Kaplan &amp; Norton execution premium framework, adapted for the humanitarian/nonprofit context, is applied end to end: every strategic objective across the four perspectives (Mission/Beneficiary Impact, Financial/Donor Sustainability, Internal Process, Learning &amp; Growth) carries a linked measure, target, and named strategic initiative with an indicative StratEx budget kept distinct from OpEx, cascaded scorecards for each programme stream and for the Banadir and Baidoa program locations, an interim NMT-level strategic-oversight mechanism pending Board establishment, and an Office of Strategy Management model with a defined cadence of operational and quarterly strategy review meetings. The draft strategy will be explicitly consistent with the Tier 1 actions already under way in 2026, building on rather than duplicating the PSA sponsorship transition plan, Advocacy Officer recruitment, and Board establishment process.</w:t>
      </w:r>
    </w:p>
    <w:p>
      <w:r>
        <w:t>The team pairs a Lead Consultant meeting the Section 9 requirements, an advanced degree, more than ten years in strategic planning and development consulting, contribution to national-level strategies, and working fluency in Balanced Scorecard and Strategy Map methodology, with a Somalia-based national co-consultant providing Somali-language facilitation for consultations with children, youth, caregivers, women, and persons with disabilities. The team is gender-balanced, operates from Cortech's Mogadishu and Nairobi offices, and works daily with the frameworks the ToR names: the 2026 HNO, HRP 2026, the National Transformation Plan 2025, 2029, EPHS, the 2024 Disability Act, and the SOS Children's Villages International Federation Strategy 2030. Cortech's grounding in the client's operating environment is evidenced by the Endline Evaluation of the SOM_DANIDA SPA 2022, 2025 Programme for Save the Children Somalia Country Office (2025), a multi-sectoral child protection, education, and youth livelihoods evaluation in Baidoa; the Education in Emergencies Anticipatory Action Consultancy for the Norwegian Refugee Council in Somalia (2025); and the Integrated Development Solutions assignment for UNDP-Somalia in Jubaland (2025). All facilitators will sign SOS CV Somalia's safeguarding code of conduct, complete the safeguarding briefing before any contact with children, and obtain age-appropriate informed consent/assent.</w:t>
      </w:r>
    </w:p>
    <w:p>
      <w:r>
        <w:t>Delivery follows the ToR's indicative 12-week sequence, with the five-working-day Strategy Development Reference Group review window built into every deliverable gate and contingency allowed for INSO-coordinated access constraints on field travel to Baidoa and outreach locations. Week one produces the Inception Report; weeks two and three the Situational Analysis Report incorporating the CRSA, PESTEL, SWOT, and stakeholder analysis; week four the 3-day Strategy Development Workshop for the programme and operational leadership team; weeks five and six the Strategic Assessment Report; weeks seven and eight the Draft Country Strategy with Strategy Map and Strategic Initiative Portfolio; weeks nine and ten the Validation Workshop and feedback integration; and weeks eleven and twelve the Final Country Strategy with the full deliverable set, including the Results Framework structured as a Balanced Scorecard, cascaded scorecards, the risk management framework, the communication and change management plan linked to Dynamics 365, the resource capacity and budget alignment plan, the strategy performance dashboard template, the implementation roadmap with its formal mid-cycle review checkpoint indicatively in 2029, and the executive presentation. Quality is controlled through internal peer review of every deliverable before submission, reporting to the National Director with day-to-day coordination through the Head of MEAL/National planning and review coordinator, and strict adherence to the data protection, confidentiality, and intellectual property conditions in the ToR. All cost matters, including professional fees, travel, and logistics, are presented with a clear breakdown in the separate financial proposal.</w:t>
      </w:r>
    </w:p>
    <w:p>
      <w:r>
        <w:br w:type="page"/>
      </w:r>
    </w:p>
    <w:p>
      <w:pPr>
        <w:pStyle w:val="Heading1"/>
      </w:pPr>
      <w:r>
        <w:t>Organisational Profile &amp; Track Record</w:t>
      </w:r>
    </w:p>
    <w:p>
      <w:r>
        <w:t>SECTION 1, ORGANISATIONAL PROFILE</w:t>
      </w:r>
    </w:p>
    <w:p>
      <w:r>
        <w:t>Cortech Consulting Group is an international advisory and research firm founded in 2015, operating from offices in Nairobi, Mogadishu, and London. The firm is a registered company in Kenya and the United Kingdom and is licensed to operate in Somalia; government registration documents and taxation payment evidence are provided under the firm and administrative documents required in Section 12 of this ToR. Cortech is ISO certified and maintains an organizational child safeguarding policy and PSEA policy, which allows the team to sign SOS CV Somalia's safeguarding code of conduct and complete the required safeguarding briefing without adjustment to internal practice before any consultation involving children takes place.</w:t>
      </w:r>
    </w:p>
    <w:p>
      <w:r>
        <w:t>Cortech's core service lines cover monitoring, evaluation and learning, research and assessment, policy analysis and advocacy, capacity building, health systems strengthening and nutrition, livelihoods and economic inclusion, and refugee, displacement and protection programming. This thematic spread maps directly onto the programme streams the Country Strategy (2027-2030) must address: child protection and Alternative Care, Family Strengthening, education, health, Humanitarian Action, and youth employability. The firm has delivered assignments for UNICEF, Save the Children Somalia Country Office, the Norwegian Refugee Council, UNDP, GIZ, the Danish Refugee Council, the Federal Government of Somalia, and the European Union, giving it working familiarity with the institutional donor and partner landscape named in this ToR, including the coordination architecture behind the 2026 HNO, HRP 2026, and the National Transformation Plan 2025-2029.</w:t>
      </w:r>
    </w:p>
    <w:p>
      <w:r>
        <w:t>Three characteristics distinguish Cortech for this assignment. First, a permanent Mogadishu office and a bilingual Somali and English team provide the Somali-language facilitation capacity the ToR requires for focus group discussions with children, caregivers, women, and persons with disabilities in Banadir and Baidoa, without reliance on an external subcontractor. Second, Cortech has repeatedly operated under security clearance and INSO access-negotiation protocols in insecure Somali locations, and builds access contingency into every fieldwork plan as this ToR requires. Third, the firm's methods bench, including KoboToolbox, SPSS, NVivo, and participatory action research, supports the evidence work this strategy process needs before the situational analysis is finalized: the updated Child Rights Situation Analysis, the comparative evidence on community-based Alternative Care versus Family-Like Care, the local fundraising landscape mapping, and the EPHS handover readiness assessment. Team composition for this assignment is gender balanced, consistent with the ToR's encouragement given the planned consultations with women, girls, and persons with disabilities.</w:t>
      </w:r>
    </w:p>
    <w:p>
      <w:r>
        <w:t>SECTION 2, RELATED PREVIOUS ASSIGNMENTS</w:t>
      </w:r>
    </w:p>
    <w:p>
      <w:r>
        <w:t>Project | Client | Country | Year | Scope delivered | Relevance to this assignment Endline Evaluation of the SOM_DANIDA SPA 2022-2025 Programme (Lot HUM and Lot CIV) | Save the Children Somalia Country Office | Somalia | 2025 | A 90-day mixed-methods endline evaluation of an integrated multi-sectoral programme in Baidoa covering education, child protection, youth livelihoods and civil society strengthening, grounded in child rights and ethical research standards, with KIIs and FGDs involving vulnerable children, adolescents and youth. | Demonstrates child-safe consultation practice in Baidoa, one of the two SOS CV Somalia program locations, across the same programme streams (child protection, education, youth) the Country Strategy (2027-2030) must cascade scorecards to. Institutional Consultancy to Undertake Assessment of Out of School Children (OOSC) and Adolescents in Dadaab, Kakuma and Kalobeyei Settlement Areas | UNICEF | Kenya | 2024 | Mixed-methods assessment across three refugee settlement locations combining household survey work, KIIs and FGDs with children and adolescents, with detailed risk management for mobility and security constraints and named tool selection for each data stream. | Evidences the safeguarding-compliant, age-appropriate consent and assent procedures this ToR requires for all child participants, and the access-constraint contingency planning required for field travel under SOS CV Somalia security clearance procedures. Somalia Education In Emergencies Anticipatory Action Consultancy, Education Cannot Wait Pilot Programme | Norwegian Refugee Council | Somalia | 2025 | Design and multi-stakeholder validation of Education in Emergencies Anticipatory Action frameworks for Somalia, drawing on cluster coordination structures, disaster risk reduction and climate adaptation evidence, and facilitated validation sessions with sector actors. | Shows framework design plus validation workshop facilitation with senior sector stakeholders, the same formulation-then-validation sequence prescribed in Task 2, and working knowledge of Somalia cluster priorities relevant to the 2026 HNO and HRP 2026. Endline Evaluation of 'Promoting the Resilience and Peaceful Co-existence of Communities Affected by the Climate Crisis' | Lutheran World Federation | Somalia, Horn of Africa | 2026 | Endline evaluation of a multi-sectoral humanitarian-development-peace nexus project across geographically dispersed and insecure Somali locations, applying OECD DAC criteria with mixed-methods data collection and ethical safeguards throughout. | Directly relevant to the ToR's climate resilience cross-cutting theme and the risk register themes of climate shocks and security/access that the updated risk management framework must carry forward. School Safety and Learning Continuity, Climate Smart Education Systems Initiative (CSESI) Somalia | Save the Children Somalia Country Office | Somalia | 2026 | Development of school safety and learning continuity materials for Somalia's education system, integrating climate adaptation and disaster risk reduction into fragile-context education programming, delivered with Somali-language contextual knowledge. | Demonstrates education systems strengthening capability aligned to the education programme stream and to MoECHE engagement foreseen in the stakeholder consultations for this strategy. Integrated Development Solutions for IDPs and Host Communities in Jubaland, Somalia | UNDP-Somalia | Somalia | 2025 | A 12-month integrated programme design for Jubaland structured in five sequential phases (inception, institutional strengthening, economic recovery, security/protection, MEL), linking governance, livelihoods and protection interventions for IDPs and host communities. | Provides direct working knowledge of Jubaland, one of the two states the situational analysis must assess for Family Strengthening expansion given the highest UASC caseloads, and shows phased, execution-oriented planning with a built-in MEL mechanism. Integrated Reproductive Health and Gender-Based Violence Response and Empowerment Programme for Women and Girls in Conflict-Affected Areas of Hirshabelle and South West States, Somalia | UNFPA Somalia | Somalia | 2026 | Design of integrated health and GBV response programming across conflict-affected areas of Hirshabelle and South West States, built on established coordination with UNICEF, humanitarian clusters and state-level authorities. | Supplies recent, direct programming knowledge of Hirshabelle and Southwest state Somalia, the two geographies named in this ToR for Family Strengthening and community-based Alternative Care expansion analysis, plus protection mainstreaming experience with women and girls.</w:t>
      </w:r>
    </w:p>
    <w:p>
      <w:r>
        <w:br w:type="page"/>
      </w:r>
    </w:p>
    <w:p>
      <w:pPr>
        <w:pStyle w:val="Heading1"/>
      </w:pPr>
      <w:r>
        <w:t>Introduction, Background &amp; Conceptual Framework</w:t>
      </w:r>
    </w:p>
    <w:p>
      <w:r>
        <w:t>SECTION 1: INTRODUCTION AND BACKGROUND</w:t>
      </w:r>
    </w:p>
    <w:p>
      <w:r>
        <w:t>5.1 Context and Strategic Importance</w:t>
      </w:r>
    </w:p>
    <w:p>
      <w:r>
        <w:t>SOS Children's Villages Somalia (SOS CV Somalia) delivers integrated programming in child protection, family strengthening, youth employability, education, health, emergency response, and community development from its Banadir and Baidoa program locations, within one of the most complex humanitarian and development environments in the world. The 2025 review of the Country Strategy (2023, 2026) recorded approximately 95% achievement of strategic Key Performance Indicators, with strong results in humanitarian action, education access, and alternative care scale-up, but it also surfaced three structural risks that must shape the next cycle: the phase-out of child sponsorship by SOS Norway and SOS Finland, a persistent self-reliance gap among Alternative Care and Family Strengthening households exiting the programme, and the 2024 Parliamentary rejection of the Child Rights Bill. The Country Strategy (2027, 2030) must therefore be developed against the 2026 Somalia Humanitarian Needs Overview (2026 HNO), the Humanitarian Response Plan (HRP 2026), the National Transformation Plan 2025, 2029, the SDGs, and the SOS Children's Villages International Federation Strategy 2030, at a moment when Somalia's 2024 Disability Act and evidence of exclusion risks for children with disabilities in Baidoa vulnerability assessments raise the bar for disability inclusion.</w:t>
      </w:r>
    </w:p>
    <w:p>
      <w:r>
        <w:t>5.2 Purpose and Objectives</w:t>
      </w:r>
    </w:p>
    <w:p>
      <w:r>
        <w:t>The purpose of this consultancy is to facilitate the development of a comprehensive, results-oriented, and future-focused Country Strategy (2027, 2030) that will guide SOS CV Somalia's strategic priorities, programming, partnerships, advocacy, organizational development, and resource mobilization efforts. The assignment requires a participatory, evidence-based, and inclusive process spanning a comprehensive desk review, a situational analysis grounded in PESTEL and SWOT, extensive consultations with internal and external stakeholders from children and caregivers through line ministries (MoH, MoECHE, MOFHRD, MOYS, MOLSA), institutional donors (ECHO, GAC, FCDO, BMZ), PSAs (CVW, SOS Norway, SOS Sweden), UNICEF, the Somalia Child right Coalitions (SCRC), the Joining Forces Alliance (JFA) Somalia chapter, and private sector actors such as Hormuud telecom. Distinctively, the ToR requires an execution-oriented planning approach per the Kaplan &amp; Norton execution premium framework, adapted for the humanitarian and nonprofit context, so that the strategy document is paired with a concrete mechanism for sustained implementation.</w:t>
      </w:r>
    </w:p>
    <w:p>
      <w:r>
        <w:t>5.3 Our Interpretation of the Assignment</w:t>
      </w:r>
    </w:p>
    <w:p>
      <w:r>
        <w:t>Cortech reads this assignment as a response to a diagnosed execution gap, not a strategy-drafting exercise: the 2023, 2025 Strategic Review found well-designed programme strategies undermined by inconsistent operational follow-through, citing the Family Strengthening self-reliance design gap, the under-resourced advocacy function, and delayed rollout of finalized care guidelines. The Strategy Map, Balanced Scorecard, Strategic Initiative Portfolio with StratEx distinct from OpEx, cascaded scorecards for each programme stream and for the Banadir and Baidoa locations, and the Office of Strategy Management model are therefore the substance of the assignment, on equal footing with the strategy narrative itself. One implication the documents imply but do not spell out is a hard sequencing constraint inside the 12-week timeline: the four targeted evidence pieces, an updated Child Rights Situation Analysis (the last full CRSA dates to 2016), a comparative evaluation of community-based Alternative Care versus Family-Like Care on outcomes and cost, a mapping of the local fundraising and funding landscape, and an EPHS handover readiness assessment across all SOS CV Somalia-managed health facilities, must all be commissioned or incorporated before the Situational Analysis Report can be finalized in week three, which means their scoping must begin during contracting and inception in week one, in parallel with safeguarding briefings and security clearance for Baidoa travel under INSO access-negotiation protocols. A second implication is that the strategy must be drafted around a moving baseline, since Tier 1 recommendations from the review, the PSA sponsorship transition plan, recruitment of a dedicated Advocacy Officer, and initiation of the Board of Directors establishment process, are being implemented in parallel during 2026 and must be built on rather than duplicated, including through an interim NMT-level strategic-oversight mechanism pending Board establishment.</w:t>
      </w:r>
    </w:p>
    <w:p>
      <w:r>
        <w:t>5.4 Key Evaluation Questions</w:t>
      </w:r>
    </w:p>
    <w:p>
      <w:r>
        <w:t>The ToR frames the analytical core of the assignment as the explicit testing of the strategic hypotheses identified in the 2023, 2025 strategy review, which we will treat as the guiding questions for the situational analysis, workshops, and drafting:</w:t>
      </w:r>
    </w:p>
    <w:p>
      <w:pPr>
        <w:pStyle w:val="ListNumber"/>
      </w:pPr>
      <w:r>
        <w:t>Whether community-based care (foster, kinship, Kafala) should become the primary Alternative Care modality in place of Family-Like Care.</w:t>
      </w:r>
    </w:p>
    <w:p>
      <w:pPr>
        <w:pStyle w:val="ListNumber"/>
      </w:pPr>
      <w:r>
        <w:t>Whether the SOS College of Health Sciences warrants a standalone strategic objective.</w:t>
      </w:r>
    </w:p>
    <w:p>
      <w:pPr>
        <w:pStyle w:val="ListNumber"/>
      </w:pPr>
      <w:r>
        <w:t>The scope of SOS CV Somalia's role in the national Child Helpline partnership.</w:t>
      </w:r>
    </w:p>
    <w:p>
      <w:pPr>
        <w:pStyle w:val="ListNumber"/>
      </w:pPr>
      <w:r>
        <w:t>The target proportion of locally-generated income by 2030 given PSA sponsorship phase-out.</w:t>
      </w:r>
    </w:p>
    <w:p>
      <w:pPr>
        <w:pStyle w:val="ListNumber"/>
      </w:pPr>
      <w:r>
        <w:t>Whether advocacy should be elevated to a standalone programme stream with dedicated budget and staffing.</w:t>
      </w:r>
    </w:p>
    <w:p>
      <w:r>
        <w:t>Alongside these, the analysis will address the geographic expansion questions named in the ToR: operationalization of community-based Alternative Care programming in Southwest state Somalia, and potential Family Strengthening expansion into Jubaland and Hirshabelle, where unaccompanied and separated children (UASC) caseloads are highest.</w:t>
      </w:r>
    </w:p>
    <w:p>
      <w:r>
        <w:t>5.5 Deliverables</w:t>
      </w:r>
    </w:p>
    <w:p>
      <w:r>
        <w:t>Cortech will produce the full deliverable set in the ToR, each submitted in draft to the Strategy Development Reference Group with the standard five working days review period before finalization:</w:t>
      </w:r>
    </w:p>
    <w:p>
      <w:pPr>
        <w:pStyle w:val="ListNumber"/>
      </w:pPr>
      <w:r>
        <w:t>Inception Report (methodology, work plan, consultation framework and tools).</w:t>
      </w:r>
    </w:p>
    <w:p>
      <w:pPr>
        <w:pStyle w:val="ListNumber"/>
      </w:pPr>
      <w:r>
        <w:t>Situational Analysis Report (desk review, Child rights Situational Analysis (CRSA), stakeholder analysis, contextual analysis, SWOT Analysis, PESTLE Analysis).</w:t>
      </w:r>
    </w:p>
    <w:p>
      <w:pPr>
        <w:pStyle w:val="ListNumber"/>
      </w:pPr>
      <w:r>
        <w:t>Strategy Development Workshop: 3 days for the SOS Somalia programme and operational leadership team.</w:t>
      </w:r>
    </w:p>
    <w:p>
      <w:pPr>
        <w:pStyle w:val="ListNumber"/>
      </w:pPr>
      <w:r>
        <w:t>Strategic Assessment Report (key findings, lessons learned, SWOT and strategic recommendations).</w:t>
      </w:r>
    </w:p>
    <w:p>
      <w:pPr>
        <w:pStyle w:val="ListNumber"/>
      </w:pPr>
      <w:r>
        <w:t>Draft Country Strategy (2027, 2030).</w:t>
      </w:r>
    </w:p>
    <w:p>
      <w:pPr>
        <w:pStyle w:val="ListNumber"/>
      </w:pPr>
      <w:r>
        <w:t>Validation Workshop Report.</w:t>
      </w:r>
    </w:p>
    <w:p>
      <w:pPr>
        <w:pStyle w:val="ListNumber"/>
      </w:pPr>
      <w:r>
        <w:t>Final Country Strategy (2027, 2030).</w:t>
      </w:r>
    </w:p>
    <w:p>
      <w:pPr>
        <w:pStyle w:val="ListNumber"/>
      </w:pPr>
      <w:r>
        <w:t>Results Framework and KPI matrix, structured as a Balanced Scorecard.</w:t>
      </w:r>
    </w:p>
    <w:p>
      <w:pPr>
        <w:pStyle w:val="ListNumber"/>
      </w:pPr>
      <w:r>
        <w:t>Risk management framework, updating the risk register on funding volatility, security and access, climate shocks, programmatic self-reliance gaps, advocacy and policy risk, and cybersecurity.</w:t>
      </w:r>
    </w:p>
    <w:p>
      <w:pPr>
        <w:pStyle w:val="ListNumber"/>
      </w:pPr>
      <w:r>
        <w:t>Strategy map linking Mission/Beneficiary Impact, Financial/Donor Sustainability, Internal Process, and Learning &amp; Growth objectives.</w:t>
      </w:r>
    </w:p>
    <w:p>
      <w:pPr>
        <w:pStyle w:val="ListNumber"/>
      </w:pPr>
      <w:r>
        <w:t>Strategic initiative portfolio and StratEx budget, distinct from core operating budget.</w:t>
      </w:r>
    </w:p>
    <w:p>
      <w:pPr>
        <w:pStyle w:val="ListNumber"/>
      </w:pPr>
      <w:r>
        <w:t>Organizational alignment and strategy governance plan, including the interim strategic-oversight mechanism and Office of Strategy Management model.</w:t>
      </w:r>
    </w:p>
    <w:p>
      <w:pPr>
        <w:pStyle w:val="ListNumber"/>
      </w:pPr>
      <w:r>
        <w:t>Communication and change management plan, including linkage of individual performance objectives to strategic objectives via the Dynamics 365 performance management system.</w:t>
      </w:r>
    </w:p>
    <w:p>
      <w:pPr>
        <w:pStyle w:val="ListNumber"/>
      </w:pPr>
      <w:r>
        <w:t>Cascaded balanced scorecards for each programme stream and for the Banadir and Baidoa office and program locations.</w:t>
      </w:r>
    </w:p>
    <w:p>
      <w:pPr>
        <w:pStyle w:val="ListNumber"/>
      </w:pPr>
      <w:r>
        <w:t>Resource capacity and budget alignment plan distinguishing StratEx from OpEx.</w:t>
      </w:r>
    </w:p>
    <w:p>
      <w:pPr>
        <w:pStyle w:val="ListNumber"/>
      </w:pPr>
      <w:r>
        <w:t>Strategy performance dashboard template for quarterly strategy review meetings.</w:t>
      </w:r>
    </w:p>
    <w:p>
      <w:pPr>
        <w:pStyle w:val="ListNumber"/>
      </w:pPr>
      <w:r>
        <w:t>Implementation roadmap, including the formal mid-cycle strategy review checkpoint (indicatively 2029) that re-tests Strategy Map and Theory of Change causal assumptions against MEAL evidence, in addition to and distinct from routine quarterly strategy review meetings.</w:t>
      </w:r>
    </w:p>
    <w:p>
      <w:pPr>
        <w:pStyle w:val="ListNumber"/>
      </w:pPr>
      <w:r>
        <w:t>PowerPoint executive presentation of the strategy.</w:t>
      </w:r>
    </w:p>
    <w:p>
      <w:r>
        <w:t>5.6 Understanding of Success</w:t>
      </w:r>
    </w:p>
    <w:p>
      <w:r>
        <w:t>Success is not a well-written strategy document; it is a strategy that SOS CV Somalia can execute after our engagement ends. Concretely, that means each strategic objective carries a linked measure, target, and named strategic initiative with named ownership rather than a standalone list of indicators; the national scorecard cascades cleanly into Banadir and Baidoa location plans, programme-stream scorecards, and individual staff performance objectives; and a defined governance cadence of frequent tactical operational review meetings and quarterly strategy review meetings is owned by a lightweight Office of Strategy Management function. Success also means the five strategic hypotheses have been genuinely tested against commissioned evidence rather than restated, the resource mobilization strategy credibly addresses funding concentration risk, multi-year donor funding cycles, and scale-up of local and digital mechanisms such as the Impact Fund for Children, and the National Director, NMT, and Strategy Development Reference Group have visibly owned every stage of the process.</w:t>
      </w:r>
    </w:p>
    <w:p>
      <w:r>
        <w:t>SECTION 2: CONCEPTUAL FRAMEWORK</w:t>
      </w:r>
    </w:p>
    <w:p>
      <w:r>
        <w:t>Cortech will anchor the assignment in the framework the ToR itself prescribes: the Kaplan &amp; Norton execution premium framework, adapted for the humanitarian and nonprofit context, integrated with results-based management as codified in SOS CV Somalia's own Results-Based Project Management Regulation (RBPMR). The execution premium cycle structures the entire 12 weeks. Stage one, develop the strategy, corresponds to the desk review, PESTEL, SWOT, stakeholder mapping, and hypothesis testing that produce the Situational Analysis and Strategic Assessment Reports. Stage two, translate the strategy, produces the Strategy Map across the four nonprofit-adapted perspectives of Mission/Beneficiary Impact, Financial/Donor Sustainability, Internal Process, and Learning &amp; Growth, together with the Balanced Scorecard in which every objective carries a linked measure, target, and named strategic initiative. Stage three, align the organization, produces the cascade plan for Banadir and Baidoa and each programme stream, connected to individual performance objectives through Dynamics 365. Stage four, plan operations, produces the Strategic Initiative Portfolio with its indicative StratEx budget held distinct from OpEx, and the resource capacity and budget alignment plan. Stages five and six, monitor and learn, then test and adapt, are institutionalized in the operational and quarterly strategy review meeting cadence, the strategy performance dashboard template, and the 2029 mid-cycle checkpoint at which causal assumptions are re-tested against MEAL evidence.</w:t>
      </w:r>
    </w:p>
    <w:p>
      <w:r>
        <w:t>We treat the Strategy Map and the Theory of Change as the ToR does: distinct instruments where the Strategy Map feeds into the Theory of Change. The Theory of Change articulates how SOS CV Somalia's interventions produce change for children, youth, families, and communities, including the causal pathways behind contested choices such as community-based care (foster, kinship, Kafala) versus Family-Like Care; the Strategy Map expresses the organizational cause-and-effect logic by which Learning &amp; Growth investments drive Internal Process improvements that deliver Financial/Donor Sustainability and ultimately Mission/Beneficiary Impact. Both are disciplined by the RBPMR and by the MEAL framework deliverable.</w:t>
      </w:r>
    </w:p>
    <w:p>
      <w:r>
        <w:t>This framework fits the assignment because it directly answers the diagnosed problem. The 2023, 2025 review did not find weak strategy; it found an execution gap between sound design and operational follow-through. A conventional strategic-planning lens would reproduce that gap. The execution premium lens converts each hypothesis test into an owned initiative, each initiative into a scorecard line, and each scorecard line into a governance routine that the interim NMT-level oversight mechanism, and eventually the Board of Directors, can sustain without external support.</w:t>
      </w:r>
    </w:p>
    <w:p>
      <w:r>
        <w:br w:type="page"/>
      </w:r>
    </w:p>
    <w:p>
      <w:pPr>
        <w:pStyle w:val="Heading1"/>
      </w:pPr>
      <w:r>
        <w:t>Technical Methodology</w:t>
      </w:r>
    </w:p>
    <w:p>
      <w:r>
        <w:t>PROPOSED APPROACH AND METHODOLOGY</w:t>
      </w:r>
    </w:p>
    <w:p>
      <w:pPr>
        <w:pStyle w:val="ListNumber"/>
      </w:pPr>
      <w:r>
        <w:t>Overall Approach</w:t>
      </w:r>
    </w:p>
    <w:p>
      <w:r>
        <w:t>Cortech Consulting proposes a participatory, evidence-based, and execution-oriented approach to developing the SOS CV Somalia Country Strategy (2027, 2030), designed around the central finding of the 2023, 2025 Strategic Review: that the organization's principal challenge is not strategy formulation but a recurring execution gap between well-designed programme strategies and consistent operational follow-through. Our design therefore pairs the conventional strategic planning cycle (desk review, situational analysis, consultation, visioning, drafting, validation) with the Kaplan &amp; Norton execution premium framework, adapted for the humanitarian and nonprofit context. Every strategic objective agreed through the participatory process will leave the process carrying a linked measure, target, and named strategic initiative on a Balanced Scorecard, positioned within a multi-perspective Strategy Map (Mission/Beneficiary Impact, Financial/Donor Sustainability, Internal Process, Learning &amp; Growth), and connected to a governance mechanism, the Office of Strategy Management function and the defined cadence of operational and quarterly strategy review meetings, that sustains execution after our engagement ends. We treat the Strategy Map as distinct from, and feeding into, the Theory of Change, and the Results Framework as a Balanced Scorecard rather than a standalone list of indicators, exactly as the ToR requires.</w:t>
      </w:r>
    </w:p>
    <w:p>
      <w:r>
        <w:t>Second, the process is structured as a hypothesis-testing exercise, not a blank-page visioning retreat. The five strategic hypotheses from the 2023, 2025 review, whether community-based Alternative Care (foster, kinship, Kafala) should become the primary modality in place of Family-Like Care; whether the SOS College of Health Sciences warrants a standalone strategic objective; the scope of SOS CV Somalia's role in the national Child Helpline partnership; the target proportion of locally-generated income by 2030 given PSA sponsorship phase-out; and whether advocacy should become a standalone programme stream, will each be framed at inception as a testable proposition with defined evidence requirements, then adjudicated against the four commissioned evidence pieces and consultation findings during the 3-day Strategy Development Workshop. Third, the process is sequenced to respect the ToR's gates: the four targeted evidence pieces are commissioned in Week 1 and completed before the Situational Analysis Report is finalized; every deliverable passes through the Strategy Development Reference Group with the standard five-working-day review window built into the workplan; and the draft strategy is checked for consistency with the parallel 2026 Tier 1 actions (PSA sponsorship transition plan, Advocacy Officer recruitment, Board of Directors establishment process) so that it builds on rather than duplicates them.</w:t>
      </w:r>
    </w:p>
    <w:p>
      <w:pPr>
        <w:pStyle w:val="ListNumber"/>
      </w:pPr>
      <w:r>
        <w:t>Phase-by-Phase Breakdown</w:t>
      </w:r>
    </w:p>
    <w:p>
      <w:r>
        <w:t>Phase 1, Contracting and Inception (Week 1). The Team Leader and national co-consultant hold an inception meeting with the National Director and the Head of MEAL/National planning and review coordinator, receive the reference materials (the 2023, 2025 MA Somalia national strategic review and forward intelligence report, RBPMR, annual reports 2023, 2025, the current National Strategy 2023, 2026, Federation Strategy 2030 guidance, the National Transformation Plan 2025, 2029, and internal MEAL, financial, and risk documentation), and agree the consultation frame with the Strategy Development Reference Group. All team members, enumerators, and facilitators sign the Child and Youth Safeguarding Policy code of conduct and complete the safeguarding briefing in Week 1, before any child contact. Output: Inception Report containing methodology, work plan, consultation framework and tools, the hypothesis-testing matrix, and terms of reference for the four commissioned evidence pieces.</w:t>
      </w:r>
    </w:p>
    <w:p>
      <w:r>
        <w:t>Phase 2, Situational Analysis (Weeks 2, 3). Parallel workstreams: (1) structured desk review coded in NVivo against a framework covering PESTEL, SWOT, the child rights and protection landscape, funding and partnership analysis, and the organizational readiness dimensions named in the ToR (Board re-establishment progress, staff turnover, Dynamics 365 migration, supply chain resilience for emergency nutrition and health commodities); (2) the four targeted evidence pieces, an updated Child Rights Situation Analysis refreshing the 2016 CRSA, a comparative evaluation of community-based Alternative Care versus Family-Like Care on outcomes and cost, a mapping of the local fundraising and funding landscape in Somalia including digital mechanisms such as the Impact Fund for Children, and an EPHS handover readiness assessment across all SOS CV Somalia-managed health facilities; (3) stakeholder consultations, approximately 30 to 35 key informant interviews with the NMT, programme leads, line ministries (MoH, MoECHE, MOFHRD, MOYS, MOLSA), institutional donors (ECHO, GAC, FCDO, BMZ), PSAs (CVW, SOS Norway, SOS Sweden), UNICEF, SCRC, the JFA Somalia chapter, and Hormuud telecom, plus 10 to 12 focus group discussions with children, youth, caregivers, women, persons with disabilities, and community-based organizations in Banadir and Baidoa, facilitated in Somali by our national co-consultants. FGD attendance registers and structured consultation records are captured digitally in KoboToolbox; qualitative transcripts are coded in NVivo; any quantitative reanalysis of MEAL datasets (for example, Family Strengthening self-reliance exit data) is run in SPSS. The analysis explicitly covers geographic expansion opportunities: community-based Alternative Care in Southwest state Somalia and Family Strengthening expansion into Jubaland and Hirshabelle, where UASC caseloads are highest. Output: Situational Analysis Report.</w:t>
      </w:r>
    </w:p>
    <w:p>
      <w:r>
        <w:t>Phase 3, Strategy Development Workshop and Strategic Assessment (Weeks 4, 6). We facilitate the 3-day strategy development workshop for the SOS Somalia programme and operational leadership team. Day 1 validates the situational analysis and adjudicates the five strategic hypotheses against the commissioned evidence; Day 2 builds the draft Strategy Map across the four perspectives and the Theory of Change; Day 3 drafts objectives with measure, target, and named strategic initiative, and screens candidate initiatives for the Strategic Initiative Portfolio. Outputs: Strategy Development Workshop report and, in Weeks 5, 6, the Strategic Assessment Report consolidating key findings, lessons learned, SWOT, and strategic recommendations.</w:t>
      </w:r>
    </w:p>
    <w:p>
      <w:r>
        <w:t>Phase 4, Drafting (Weeks 7, 8). The Team Leader drafts the Country Strategy (2027, 2030) with vision, mission, values, positioning, Theory of Change, Strategy Map, strategic priorities and objectives, cross-cutting themes (gender, age, and diversity mainstreaming; protection mainstreaming; climate resilience; disability inclusion anchored in the 2024 Disability Act and the Baidoa vulnerability assessment findings on children with disabilities), localization, partnerships, advocacy and influencing, resource mobilization addressing funding concentration risk and multi-year funding cycles, and organizational development. The Strategic Initiative Portfolio with indicative StratEx recommendations, kept distinct from core OpEx, is drafted in parallel.</w:t>
      </w:r>
    </w:p>
    <w:p>
      <w:r>
        <w:t>Phase 5, Validation and Finalization (Weeks 9, 12). A validation workshop with internal and external stakeholders reviews the draft; feedback is logged in a comment-disposition matrix showing how each input was addressed. Weeks 11, 12 deliver the final package: Final Country Strategy, Results Framework and KPI matrix structured as a Balanced Scorecard, risk management framework updating the register across funding volatility, security/access, climate shocks, programmatic self-reliance gaps, advocacy/policy risk, and cybersecurity, cascaded balanced scorecards per programme stream and for the Banadir and Baidoa program locations, organizational alignment and strategy governance plan (including the interim NMT-level strategy committee pending Board establishment and its transition to full Board governance), communication and change management plan linked to Dynamics 365 performance management, resource capacity and budget alignment plan distinguishing StratEx from OpEx, strategy performance dashboard template for quarterly strategy review meetings, implementation roadmap with the formal mid-cycle 2029 checkpoint re-testing Strategy Map and Theory of Change causal assumptions against MEAL evidence (distinct from routine quarterly reviews), and the executive PowerPoint presentation.</w:t>
      </w:r>
    </w:p>
    <w:p>
      <w:pPr>
        <w:pStyle w:val="ListNumber"/>
      </w:pPr>
      <w:r>
        <w:t>Method by Deliverable</w:t>
      </w:r>
    </w:p>
    <w:p>
      <w:r>
        <w:t>Each deliverable is produced by a named method: the Inception Report from the inception meeting and document handover; the Situational Analysis Report from NVivo-coded desk review, the four commissioned evidence pieces, KIIs, and Kobo-recorded FGDs; the Strategy Map and Theory of Change from facilitated cause-and-effect mapping on Workshop Day 2; the Balanced Scorecard and Strategic Initiative Portfolio from Day 3 objective-setting and initiative screening scored on impact and feasibility; cascaded scorecards from follow-up working sessions with each programme stream lead and the Banadir and Baidoa location managers; governance, communication, and capacity plans from structured design sessions with the NMT and HR; and the roadmap and dashboard from a final integration session with the Head of MEAL/National planning and review coordinator, so that the review cadence is owned internally before we exit.</w:t>
      </w:r>
    </w:p>
    <w:p>
      <w:pPr>
        <w:pStyle w:val="ListNumber"/>
      </w:pPr>
      <w:r>
        <w:t>Data Quality Assurance</w:t>
      </w:r>
    </w:p>
    <w:p>
      <w:r>
        <w:t>Quality is assured through: (1) triangulation of every strategic recommendation across at least two independent sources (desk review, commissioned evidence, KII, FGD); (2) daily debriefs during fieldwork and same-day upload of KoboToolbox records with logic checks; (3) dual coding of a sample of NVivo transcripts to test inter-coder reliability; (4) internal peer review of every deliverable by a Cortech senior reviewer not embedded in the assignment before submission to the Reference Group; and (5) an audit trail linking each hypothesis verdict, scorecard measure, and initiative back to its evidence base, so the Reference Group can interrogate provenance during its five-day review.</w:t>
      </w:r>
    </w:p>
    <w:p>
      <w:pPr>
        <w:pStyle w:val="ListNumber"/>
      </w:pPr>
      <w:r>
        <w:t>Ethical Considerations</w:t>
      </w:r>
    </w:p>
    <w:p>
      <w:r>
        <w:t>All consultations involving children and youth follow SOS CV Somalia's Child and Youth Safeguarding Policy: signed code of conduct and completed safeguarding briefing for all team members before child contact, age-appropriate informed consent and assent protocols in Somali, same-sex facilitation for FGDs with women and girls supported by our gender-balanced team, and referral pathways agreed with SOS CV Somalia in advance. Individual responses are anonymized in all reporting; organizational, donor, and personal data are held confidentially and not retained beyond the assignment; all deliverables remain the sole property of SOS Children's Villages Somalia. Field travel, including to Baidoa, follows SOS CV Somalia security clearance procedures and INSO access-negotiation protocols where relevant, and the workplan carries contingency for access constraints, with remote KII and FGD modalities pre-designed as fallback so the 12-week timeline holds.</w:t>
      </w:r>
    </w:p>
    <w:p>
      <w:r>
        <w:br w:type="page"/>
      </w:r>
    </w:p>
    <w:p>
      <w:pPr>
        <w:pStyle w:val="Heading1"/>
      </w:pPr>
      <w:r>
        <w:t>Sampling Strategy &amp; Data Analysis Plan</w:t>
      </w:r>
    </w:p>
    <w:p>
      <w:r>
        <w:t>SAMPLING AND PARTICIPANT SELECTION</w:t>
      </w:r>
    </w:p>
    <w:p>
      <w:r>
        <w:t>This assignment is a strategy development process, not a population survey, and does not require a probability sample. Consultation participants will instead be selected purposively against a stakeholder map agreed with the Head of MEAL/National planning and review coordinator at inception, ensuring coverage of every constituency named in the ToR: children, youth, caregivers, women, persons with disabilities, and community-based organizations at community level in Banadir and Baidoa; SOS CV Somalia management and staff across programme streams; line ministries (MoH, MoECHE, MOFHRD, MOYS, MOLSA); institutional donors (ECHO, GAC, FCDO, BMZ); PSA partners including CVW, SOS Norway and SOS Sweden; UNICEF, the Somalia Child right Coalitions (SCRC) and the Joining Forces Alliance (JFA) Somalia chapter; and private sector actors such as Hormuud telecom. Selection criteria will privilege maximum variation (by gender, age, disability status, care modality, and location) and information richness on the five strategic hypotheses the process must test. FGDs with children and youth will be gender-segregated, facilitated in Somali by our national co-consultants, and conducted only after the safeguarding briefing, signed code of conduct, and age-appropriate informed consent/assent required under SOS CV Somalia's Child and Youth Safeguarding Policy. Any purposive quotas and the final consultation matrix will be documented in the Inception Report for Strategy Development Reference Group approval.</w:t>
      </w:r>
    </w:p>
    <w:p>
      <w:r>
        <w:t>SECTION 2, DATA ANALYSIS PLAN</w:t>
      </w:r>
    </w:p>
    <w:p>
      <w:r>
        <w:t>Quantitative data for this assignment derives principally from secondary sources: KPI achievement data from the 2023, 2025 MA Somalia national strategic review, MA Somalia annual reports 2023, 2024 and 2025, MEAL and financial records, and the four commissioned evidence pieces (the updated CRSA, the comparative evaluation of community-based Alternative Care versus Family-Like Care on outcomes and cost, the local fundraising and funding landscape mapping, and the EPHS handover readiness assessment). These datasets will be cleaned, coded and analyzed in SPSS, with Excel supporting data organization. Analysis will be primarily descriptive: trend analysis of KPI performance across the 2023, 2026 strategy period, cross-tabulations of programme outcomes by location (Banadir, Baidoa), care modality, gender, age and disability status, and cost-per-outcome comparisons between care models to inform the hypothesis on whether community-based care (foster, kinship, Kafala) should become the primary Alternative Care modality. Where sample sizes in the commissioned studies permit, we will apply chi-square and t-tests to establish whether observed differences between care modalities or between exiting and continuing Family Strengthening households are statistically significant, directly informing the self-reliance gap analysis. Funding data will be analyzed for concentration risk, modelling scenarios for locally-generated income shares by 2030 under PSA sponsorship phase-out.</w:t>
      </w:r>
    </w:p>
    <w:p>
      <w:r>
        <w:t>Qualitative data from KIIs, FGDs and workshop outputs will be transcribed, translated from Somali where required, and coded in NVivo using a hybrid framework: deductive codes drawn from the PESTEL and SWOT domains, the four Balanced Scorecard perspectives, and the five strategic hypotheses, complemented by inductive codes for emergent themes. All individual responses will be anonymized in coding and reporting, consistent with the data protection conditions in Section 11.</w:t>
      </w:r>
    </w:p>
    <w:p>
      <w:r>
        <w:t>Triangulation will be systematic rather than incidental. We will construct an evidence matrix mapping each strategic hypothesis and each SWOT/PESTEL finding against at least three independent sources (document, quantitative dataset, stakeholder group), flagging convergence, divergence and gaps. Divergent findings will not be smoothed over; they will be tabled for adjudication at the 3-day strategy development workshop, so that strategic choices in the Draft Country Strategy (2027, 2030) rest on tested, contested and validated evidence rather than single-source assertion. The full analysis protocol, coding framework and evidence matrix template will be presented in the Inception Report for review by the Strategy Development Reference Group within the standard five working day window.</w:t>
      </w:r>
    </w:p>
    <w:p>
      <w:r>
        <w:br w:type="page"/>
      </w:r>
    </w:p>
    <w:p>
      <w:pPr>
        <w:pStyle w:val="Heading1"/>
      </w:pPr>
      <w:r>
        <w:t>Quality Assurance &amp; Ethical Considerations</w:t>
      </w:r>
    </w:p>
    <w:p>
      <w:r>
        <w:t>QUALITY ASSURANCE FRAMEWORK</w:t>
      </w:r>
    </w:p>
    <w:p>
      <w:r>
        <w:t>Cortech Consulting Group applies an ISO-certified quality management system to every deliverable produced under this assignment, with quality gates tied to the specific stage-review arrangement the ToR establishes: submission of each deliverable in draft to the Strategy Development Reference Group, a five-working-day review window, and formal approval before the next stage begins. Our internal quality process runs one step ahead of that external gate so that the Reference Group receives documents that have already passed peer review.</w:t>
      </w:r>
    </w:p>
    <w:p>
      <w:r>
        <w:t>During the Contracting and Inception phase (Week 1), the Team Leader and the Head of MEAL/National planning and review coordinator will jointly agree quality benchmarks for each of the eighteen deliverables, including the requirement that the Results Framework be structured as a Balanced Scorecard with a linked measure, target, and named strategic initiative for every objective, and that the Strategy Map remain distinct from, and feed into, the Theory of Change. The Inception Report will carry a deliverable acceptance matrix reflecting these benchmarks.</w:t>
      </w:r>
    </w:p>
    <w:p>
      <w:r>
        <w:t>During the Situational Analysis phase (Weeks 2-3), data quality checks include source triangulation across the desk review, the four commissioned evidence pieces (updated CRSA, community-based Alternative Care versus Family-Like Care comparison, local fundraising landscape mapping, EPHS handover readiness assessment), key informant interviews, and focus group discussions. All qualitative data are coded in NVivo with a second-coder consistency check on at least 20 percent of transcripts; consultation logs are reconciled weekly against the stakeholder map to confirm coverage of children, youth, caregivers, women, persons with disabilities, and community-based organizations in both Banadir and Baidoa.</w:t>
      </w:r>
    </w:p>
    <w:p>
      <w:r>
        <w:t>At the Strategic Assessment, Draft Country Strategy, and Validation stages, every document passes internal peer review by a senior consultant not engaged in drafting, followed by a completeness check against the ToR deliverable table before release to the Reference Group. Client feedback is logged in a comments-resolution matrix showing how each Reference Group and validation workshop comment was addressed, giving the National Director a transparent audit trail from draft to Final Country Strategy (2027-2030).</w:t>
      </w:r>
    </w:p>
    <w:p>
      <w:r>
        <w:t>ETHICAL CONSIDERATIONS AND SAFEGUARDING</w:t>
      </w:r>
    </w:p>
    <w:p>
      <w:r>
        <w:t>This assignment involves direct consultation with children, youth, caregivers, women, and persons with disabilities, including focus group discussions in Banadir and Baidoa and evidence gathering on unaccompanied and separated children (UASC). Cortech Consulting Group is ISO certified and maintains an organizational child safeguarding policy and PSEA policy; these will operate alongside, and be subordinated to, SOS CV Somalia's Child and Youth Safeguarding Policy for the duration of the engagement.</w:t>
      </w:r>
    </w:p>
    <w:p>
      <w:r>
        <w:t>The ToR requires that "the consultant and any enumerators or facilitators engaged shall sign the organization's safeguarding code of conduct and complete a safeguarding briefing prior to engaging directly with children and shall obtain age-appropriate informed consent/assent for all child participants." We will meet this in full: all team members, including the national co-consultant and any Somali-language facilitators, will sign the safeguarding code of conduct during Week 1, complete the safeguarding briefing before any child contact, and be trained on referral pathways so that any disclosure or protection concern is escalated immediately through SOS CV Somalia's designated safeguarding focal point rather than handled by the team.</w:t>
      </w:r>
    </w:p>
    <w:p>
      <w:r>
        <w:t>Informed consent will be obtained from all adult participants in Somali or English as appropriate; for children, consent will be sought from parents or legal guardians and age-appropriate assent from the children themselves, using plain-language scripts reviewed at inception. Participation is voluntary and may be withdrawn at any point without consequence. FGDs with women, girls, and persons with disabilities will be facilitated by female team members, consistent with the ToR's expectation of a gender-balanced team, and disability-inclusive facilitation will reflect the exclusion risks for children with disabilities identified in the Baidoa vulnerability assessments and the requirements of the 2024 Disability Act.</w:t>
      </w:r>
    </w:p>
    <w:p>
      <w:r>
        <w:t>On data protection, we will meet the ToR's confidentiality conditions in full: all organizational, donor, and personal data will be treated as confidential, individual responses anonymized in every report, and no confidential internal documents retained beyond the assignment. All deliverables, data, and materials remain the sole property of SOS Children's Villages Somalia. Field travel will follow SOS CV Somalia security clearance procedures and, where relevant, INSO access-negotiation protocols, with do-no-harm considerations governing the timing, location, and composition of all community consultations.</w:t>
      </w:r>
    </w:p>
    <w:p>
      <w:r>
        <w:br w:type="page"/>
      </w:r>
    </w:p>
    <w:p>
      <w:pPr>
        <w:pStyle w:val="Heading1"/>
      </w:pPr>
      <w:r>
        <w:t>Risk Management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Risk Category</w:t>
            </w:r>
          </w:p>
        </w:tc>
        <w:tc>
          <w:tcPr>
            <w:tcW w:type="dxa" w:w="1728"/>
          </w:tcPr>
          <w:p>
            <w:r>
              <w:rPr>
                <w:b/>
              </w:rPr>
            </w:r>
            <w:r>
              <w:rPr>
                <w:b/>
              </w:rPr>
              <w:t>Description</w:t>
            </w:r>
          </w:p>
        </w:tc>
        <w:tc>
          <w:tcPr>
            <w:tcW w:type="dxa" w:w="1728"/>
          </w:tcPr>
          <w:p>
            <w:r>
              <w:rPr>
                <w:b/>
              </w:rPr>
            </w:r>
            <w:r>
              <w:rPr>
                <w:b/>
              </w:rPr>
              <w:t>Likelihood</w:t>
            </w:r>
          </w:p>
        </w:tc>
        <w:tc>
          <w:tcPr>
            <w:tcW w:type="dxa" w:w="1728"/>
          </w:tcPr>
          <w:p>
            <w:r>
              <w:rPr>
                <w:b/>
              </w:rPr>
            </w:r>
            <w:r>
              <w:rPr>
                <w:b/>
              </w:rPr>
              <w:t>Impact</w:t>
            </w:r>
          </w:p>
        </w:tc>
        <w:tc>
          <w:tcPr>
            <w:tcW w:type="dxa" w:w="1728"/>
          </w:tcPr>
          <w:p>
            <w:r>
              <w:rPr>
                <w:b/>
              </w:rPr>
            </w:r>
            <w:r>
              <w:rPr>
                <w:b/>
              </w:rPr>
              <w:t>Mitigation</w:t>
            </w:r>
          </w:p>
        </w:tc>
      </w:tr>
      <w:tr>
        <w:tc>
          <w:tcPr>
            <w:tcW w:type="dxa" w:w="1728"/>
          </w:tcPr>
          <w:p>
            <w:r/>
            <w:r>
              <w:t>Security and field access</w:t>
            </w:r>
          </w:p>
        </w:tc>
        <w:tc>
          <w:tcPr>
            <w:tcW w:type="dxa" w:w="1728"/>
          </w:tcPr>
          <w:p>
            <w:r/>
            <w:r>
              <w:t>Insecurity or access constraints in Baidoa and outreach locations, and in the expansion-analysis areas of Southwest state Somalia, Jubaland and Hirshabelle, may delay or prevent planned KIIs, FGDs and site visits, including the EPHS handover readiness assessment of SOS CV Somalia-managed health facilities.</w:t>
            </w:r>
          </w:p>
        </w:tc>
        <w:tc>
          <w:tcPr>
            <w:tcW w:type="dxa" w:w="1728"/>
          </w:tcPr>
          <w:p>
            <w:r/>
            <w:r>
              <w:t>Medium</w:t>
            </w:r>
          </w:p>
        </w:tc>
        <w:tc>
          <w:tcPr>
            <w:tcW w:type="dxa" w:w="1728"/>
          </w:tcPr>
          <w:p>
            <w:r/>
            <w:r>
              <w:t>High</w:t>
            </w:r>
          </w:p>
        </w:tc>
        <w:tc>
          <w:tcPr>
            <w:tcW w:type="dxa" w:w="1728"/>
          </w:tcPr>
          <w:p>
            <w:r/>
            <w:r>
              <w:t>All field movement will follow SOS CV Somalia security clearance procedures and, where relevant, INSO access-negotiation protocols. The workplan builds in explicit contingency days for access constraints; remote KIIs and locally recruited Somali-speaking facilitators in Banadir and Baidoa will substitute for travel where clearance is withheld, with consultation coverage tracked against the stakeholder map so no respondent group is silently dropped.</w:t>
            </w:r>
          </w:p>
        </w:tc>
      </w:tr>
      <w:tr>
        <w:tc>
          <w:tcPr>
            <w:tcW w:type="dxa" w:w="1728"/>
          </w:tcPr>
          <w:p>
            <w:r/>
            <w:r>
              <w:t>Data quality and evidence gaps</w:t>
            </w:r>
          </w:p>
        </w:tc>
        <w:tc>
          <w:tcPr>
            <w:tcW w:type="dxa" w:w="1728"/>
          </w:tcPr>
          <w:p>
            <w:r/>
            <w:r>
              <w:t>The four commissioned evidence pieces (updated CRSA, community-based Alternative Care versus Family-Like Care comparison, local fundraising landscape mapping, EPHS handover readiness) may return incomplete or uneven data, weakening the Situational Analysis Report.</w:t>
            </w:r>
          </w:p>
        </w:tc>
        <w:tc>
          <w:tcPr>
            <w:tcW w:type="dxa" w:w="1728"/>
          </w:tcPr>
          <w:p>
            <w:r/>
            <w:r>
              <w:t>Medium</w:t>
            </w:r>
          </w:p>
        </w:tc>
        <w:tc>
          <w:tcPr>
            <w:tcW w:type="dxa" w:w="1728"/>
          </w:tcPr>
          <w:p>
            <w:r/>
            <w:r>
              <w:t>High</w:t>
            </w:r>
          </w:p>
        </w:tc>
        <w:tc>
          <w:tcPr>
            <w:tcW w:type="dxa" w:w="1728"/>
          </w:tcPr>
          <w:p>
            <w:r/>
            <w:r>
              <w:t>Each evidence piece is scoped at inception with a defined protocol, data sources and quality checklist agreed with the Head of MEAL/National planning and review coordinator; triangulation against the 2023-2025 review, MA Somalia annual reports 2023-2025, the 2026 HNO and HRP 2026 will flag gaps before the situational analysis is finalized, as the ToR requires.</w:t>
            </w:r>
          </w:p>
        </w:tc>
      </w:tr>
      <w:tr>
        <w:tc>
          <w:tcPr>
            <w:tcW w:type="dxa" w:w="1728"/>
          </w:tcPr>
          <w:p>
            <w:r/>
            <w:r>
              <w:t>Government and stakeholder engagement</w:t>
            </w:r>
          </w:p>
        </w:tc>
        <w:tc>
          <w:tcPr>
            <w:tcW w:type="dxa" w:w="1728"/>
          </w:tcPr>
          <w:p>
            <w:r/>
            <w:r>
              <w:t>Line ministries (MoH, MoECHE, MOFHRD, MOYS, MOLSA) and institutional donors (ECHO, GAC, FCDO, BMZ) may be slow to grant interviews within the two-week situational analysis window.</w:t>
            </w:r>
          </w:p>
        </w:tc>
        <w:tc>
          <w:tcPr>
            <w:tcW w:type="dxa" w:w="1728"/>
          </w:tcPr>
          <w:p>
            <w:r/>
            <w:r>
              <w:t>High</w:t>
            </w:r>
          </w:p>
        </w:tc>
        <w:tc>
          <w:tcPr>
            <w:tcW w:type="dxa" w:w="1728"/>
          </w:tcPr>
          <w:p>
            <w:r/>
            <w:r>
              <w:t>Medium</w:t>
            </w:r>
          </w:p>
        </w:tc>
        <w:tc>
          <w:tcPr>
            <w:tcW w:type="dxa" w:w="1728"/>
          </w:tcPr>
          <w:p>
            <w:r/>
            <w:r>
              <w:t>Introduction letters and scheduling begin at contract signature through the National Director's office; interviews are booked in parallel rather than sequentially, with written or virtual inputs accepted from stakeholders unavailable in person, and PSA consultations (CVW, SOS Norway, SOS Sweden) conducted remotely across time zones.</w:t>
            </w:r>
          </w:p>
        </w:tc>
      </w:tr>
      <w:tr>
        <w:tc>
          <w:tcPr>
            <w:tcW w:type="dxa" w:w="1728"/>
          </w:tcPr>
          <w:p>
            <w:r/>
            <w:r>
              <w:t>Community and child participation</w:t>
            </w:r>
          </w:p>
        </w:tc>
        <w:tc>
          <w:tcPr>
            <w:tcW w:type="dxa" w:w="1728"/>
          </w:tcPr>
          <w:p>
            <w:r/>
            <w:r>
              <w:t>FGDs with children, youth, caregivers, women and persons with disabilities may under-represent key voices, particularly children with disabilities given the exclusion risks identified in Baidoa vulnerability assessments.</w:t>
            </w:r>
          </w:p>
        </w:tc>
        <w:tc>
          <w:tcPr>
            <w:tcW w:type="dxa" w:w="1728"/>
          </w:tcPr>
          <w:p>
            <w:r/>
            <w:r>
              <w:t>Medium</w:t>
            </w:r>
          </w:p>
        </w:tc>
        <w:tc>
          <w:tcPr>
            <w:tcW w:type="dxa" w:w="1728"/>
          </w:tcPr>
          <w:p>
            <w:r/>
            <w:r>
              <w:t>High</w:t>
            </w:r>
          </w:p>
        </w:tc>
        <w:tc>
          <w:tcPr>
            <w:tcW w:type="dxa" w:w="1728"/>
          </w:tcPr>
          <w:p>
            <w:r/>
            <w:r>
              <w:t>All facilitators sign the Child and Youth Safeguarding Policy code of conduct and complete the safeguarding briefing before any child contact; age-appropriate consent/assent procedures, Somali-language facilitation, gender-balanced facilitation pairs and accessible venues and formats are specified in the inception-stage consultation framework.</w:t>
            </w:r>
          </w:p>
        </w:tc>
      </w:tr>
      <w:tr>
        <w:tc>
          <w:tcPr>
            <w:tcW w:type="dxa" w:w="1728"/>
          </w:tcPr>
          <w:p>
            <w:r/>
            <w:r>
              <w:t>Timeline and approval gates</w:t>
            </w:r>
          </w:p>
        </w:tc>
        <w:tc>
          <w:tcPr>
            <w:tcW w:type="dxa" w:w="1728"/>
          </w:tcPr>
          <w:p>
            <w:r/>
            <w:r>
              <w:t>Eighteen deliverables pass through Strategy Development Reference Group review, each with a five-working-day window; slippage at any gate compresses the 12-week schedule.</w:t>
            </w:r>
          </w:p>
        </w:tc>
        <w:tc>
          <w:tcPr>
            <w:tcW w:type="dxa" w:w="1728"/>
          </w:tcPr>
          <w:p>
            <w:r/>
            <w:r>
              <w:t>High</w:t>
            </w:r>
          </w:p>
        </w:tc>
        <w:tc>
          <w:tcPr>
            <w:tcW w:type="dxa" w:w="1728"/>
          </w:tcPr>
          <w:p>
            <w:r/>
            <w:r>
              <w:t>Medium</w:t>
            </w:r>
          </w:p>
        </w:tc>
        <w:tc>
          <w:tcPr>
            <w:tcW w:type="dxa" w:w="1728"/>
          </w:tcPr>
          <w:p>
            <w:r/>
            <w:r>
              <w:t>The Gantt chart hard-codes each five-day review window; deliverables are submitted in rolling batches, a consolidated comment matrix is maintained per deliverable, and weekly coordination calls with the Head of MEAL/National planning and review coordinator surface bottlenecks before they cascade.</w:t>
            </w:r>
          </w:p>
        </w:tc>
      </w:tr>
      <w:tr>
        <w:tc>
          <w:tcPr>
            <w:tcW w:type="dxa" w:w="1728"/>
          </w:tcPr>
          <w:p>
            <w:r/>
            <w:r>
              <w:t>Duplication of Tier 1 actions</w:t>
            </w:r>
          </w:p>
        </w:tc>
        <w:tc>
          <w:tcPr>
            <w:tcW w:type="dxa" w:w="1728"/>
          </w:tcPr>
          <w:p>
            <w:r/>
            <w:r>
              <w:t>The strategy could inadvertently duplicate the 2026 in-progress Tier 1 recommendations (PSA sponsorship transition plan, Advocacy Officer recruitment, Board of Directors establishment).</w:t>
            </w:r>
          </w:p>
        </w:tc>
        <w:tc>
          <w:tcPr>
            <w:tcW w:type="dxa" w:w="1728"/>
          </w:tcPr>
          <w:p>
            <w:r/>
            <w:r>
              <w:t>Medium</w:t>
            </w:r>
          </w:p>
        </w:tc>
        <w:tc>
          <w:tcPr>
            <w:tcW w:type="dxa" w:w="1728"/>
          </w:tcPr>
          <w:p>
            <w:r/>
            <w:r>
              <w:t>Medium</w:t>
            </w:r>
          </w:p>
        </w:tc>
        <w:tc>
          <w:tcPr>
            <w:tcW w:type="dxa" w:w="1728"/>
          </w:tcPr>
          <w:p>
            <w:r/>
            <w:r>
              <w:t>A Tier 1 status check is a standing inception-report item and workshop input; the draft strategy and the interim NMT-level strategic-oversight recommendation are explicitly cross-referenced against these actions before Reference Group submission.</w:t>
            </w:r>
          </w:p>
        </w:tc>
      </w:tr>
      <w:tr>
        <w:tc>
          <w:tcPr>
            <w:tcW w:type="dxa" w:w="1728"/>
          </w:tcPr>
          <w:p>
            <w:r/>
            <w:r>
              <w:t>Team availability</w:t>
            </w:r>
          </w:p>
        </w:tc>
        <w:tc>
          <w:tcPr>
            <w:tcW w:type="dxa" w:w="1728"/>
          </w:tcPr>
          <w:p>
            <w:r/>
            <w:r>
              <w:t>Illness or unavailability of the Lead Consultant or national co-consultant mid-assignment.</w:t>
            </w:r>
          </w:p>
        </w:tc>
        <w:tc>
          <w:tcPr>
            <w:tcW w:type="dxa" w:w="1728"/>
          </w:tcPr>
          <w:p>
            <w:r/>
            <w:r>
              <w:t>Low</w:t>
            </w:r>
          </w:p>
        </w:tc>
        <w:tc>
          <w:tcPr>
            <w:tcW w:type="dxa" w:w="1728"/>
          </w:tcPr>
          <w:p>
            <w:r/>
            <w:r>
              <w:t>High</w:t>
            </w:r>
          </w:p>
        </w:tc>
        <w:tc>
          <w:tcPr>
            <w:tcW w:type="dxa" w:w="1728"/>
          </w:tcPr>
          <w:p>
            <w:r/>
            <w:r>
              <w:t>Named alternates with equivalent Somalia strategy and facilitation experience are identified at inception from Cortech's Mogadishu-based network; all working files sit on a shared drive so handover imposes no loss of continuity.</w:t>
            </w:r>
          </w:p>
        </w:tc>
      </w:tr>
      <w:tr>
        <w:tc>
          <w:tcPr>
            <w:tcW w:type="dxa" w:w="1728"/>
          </w:tcPr>
          <w:p>
            <w:r/>
            <w:r>
              <w:t>Contested strategic hypotheses</w:t>
            </w:r>
          </w:p>
        </w:tc>
        <w:tc>
          <w:tcPr>
            <w:tcW w:type="dxa" w:w="1728"/>
          </w:tcPr>
          <w:p>
            <w:r/>
            <w:r>
              <w:t>Divergent stakeholder positions on the five strategic hypotheses (care modality, SOS College of Health Sciences, Child Helpline scope, locally-generated income target, standalone advocacy stream) could stall the drafting phase.</w:t>
            </w:r>
          </w:p>
        </w:tc>
        <w:tc>
          <w:tcPr>
            <w:tcW w:type="dxa" w:w="1728"/>
          </w:tcPr>
          <w:p>
            <w:r/>
            <w:r>
              <w:t>Medium</w:t>
            </w:r>
          </w:p>
        </w:tc>
        <w:tc>
          <w:tcPr>
            <w:tcW w:type="dxa" w:w="1728"/>
          </w:tcPr>
          <w:p>
            <w:r/>
            <w:r>
              <w:t>Medium</w:t>
            </w:r>
          </w:p>
        </w:tc>
        <w:tc>
          <w:tcPr>
            <w:tcW w:type="dxa" w:w="1728"/>
          </w:tcPr>
          <w:p>
            <w:r/>
            <w:r>
              <w:t>Each hypothesis is tested against commissioned evidence and presented as a structured decision paper at the 3-day strategy development workshop, with the Reference Group recording an explicit position per hypothesis before drafting begins.</w:t>
            </w:r>
          </w:p>
        </w:tc>
      </w:tr>
    </w:tbl>
    <w:p>
      <w:r>
        <w:t>Cortech Consulting Group recognizes that facilitating the Country Strategy (2027-2030) in Somalia's fluid operating environment carries contextual, methodological, ethical and process risks that must be managed deliberately rather than reactively. A live risk register, seeded from the table above and aligned with the risk themes carried forward from the 2023-2025 review (funding volatility, security/access, climate shocks, programmatic self-reliance gaps, advocacy/policy risk, cybersecurity), will be maintained throughout the assignment, reviewed at weekly internal meetings, and shared with the Head of MEAL/National planning and review coordinator so that emerging issues reach the National Director and the Strategy Development Reference Group with proposed corrective actions, not just problems.</w:t>
      </w:r>
    </w:p>
    <w:p>
      <w:r>
        <w:t>Because this is an execution-oriented planning assignment, risk management is also built into the product itself: the Risk Management Framework deliverable will translate these assignment-level lessons into an updated organizational risk register with probability and impact ratings and named mitigation measures, linked to the Balanced Scorecard and Strategy Performance Dashboard Template so that risk review becomes a standing element of the quarterly strategy review meetings after Cortech's engagement ends. Data protection and confidentiality obligations, anonymization of individual responses, and full compliance with the Child and Youth Safeguarding Policy apply across every phase from desk review through the validation workshop to final submission.</w:t>
      </w:r>
    </w:p>
    <w:p>
      <w:r>
        <w:br w:type="page"/>
      </w:r>
    </w:p>
    <w:p>
      <w:pPr>
        <w:pStyle w:val="Heading1"/>
      </w:pPr>
      <w:r>
        <w:t>Proposed Team &amp; Core Experts</w:t>
      </w:r>
    </w:p>
    <w:p>
      <w:r>
        <w:t>PROPOSED CORE PERSONNEL FOR THE ASSIGNMENT</w:t>
      </w:r>
    </w:p>
    <w:p>
      <w:r>
        <w:t>Cortech Consulting Group has structured a two-person core team that responds directly to the qualification requirements set out in Section 9 of the Terms of Reference and to the general conditions on Somali-language facilitation capacity in Section 11. The team pairs a senior strategy development specialist, responsible for the execution-oriented planning architecture the ToR requires, including the Strategy Map, Balanced Scorecard, Strategic Initiative Portfolio, and organizational alignment and strategy governance plan, with a national co-consultant based in Somalia who will lead Somali-language facilitation of focus group discussions with children, youth, caregivers, women, and persons with disabilities in the Banadir and Baidoa program locations. Both team members will sign SOS CV Somalia's safeguarding code of conduct and complete the required safeguarding briefing prior to any direct engagement with children, and both will complete the Conflict of Interest Declaration covering engagements with donors, government bodies, and partners named in the ToR. Detailed CVs are annexed as required under Section 12.A.</w:t>
      </w:r>
    </w:p>
    <w:p>
      <w:r>
        <w:t>Abdullahi I. Mohamed, Lead Consultant / Team Leader (Strategy Development Specialist). Abdullahi holds an advanced degree in a field directly relevant to this assignment and brings more than ten years of experience in strategic planning, policy formulation, and development consulting across Somalia and the wider Horn of Africa, including national-level strategy and planning processes conducted with government institutions and international organizations. He is responsible for overall technical leadership of the assignment: the desk review and situational analysis (PESTEL, SWOT, stakeholder mapping), design and facilitation of the 3-day strategy development workshop for the SOS Somalia programme and operational leadership team, drafting of the Theory of Change and the distinct nonprofit-adapted Strategy Map across the Mission/Beneficiary Impact, Financial/Donor Sustainability, Internal Process, and Learning &amp; Growth perspectives, and structuring of the Results Framework as a Balanced Scorecard with a linked measure, target, and named strategic initiative for each objective. He will serve as the primary liaison with the National Director and the Head of MEAL/National planning and review coordinator, and will present each deliverable to the Strategy Development Reference Group within the agreed five-working-day review cycles. His prior work includes strategy and framework development engagements in Somalia grounded in the 2026 HNO, HRP 2026, and the National Transformation Plan 2025-2029 context, and he satisfies the Section 9 requirement for a lead consultant with a minimum of ten years of relevant experience and proven experience of a similar national strategy development process. Evidence of his prior contribution to the required 2-3 national-level strategies, policies, or development plans is documented in the annexed CV; where an individual engagement cannot be independently referenced it is marked [NOT VERIFIED] rather than asserted.</w:t>
      </w:r>
    </w:p>
    <w:p>
      <w:r>
        <w:t>Ahmed Adan Hassan, National Co-Consultant / Somali-language Facilitator. Ahmed is a Somalia-based consultant with substantive experience in participatory research, community engagement, and consultations with children, youth, and caregivers in fragile settings, including field engagements in Baidoa and Mogadishu delivered under Cortech's Somalia portfolio, such as the Endline Evaluation of the SOM_DANIDA SPA 2022-2025 Programme for Save the Children Somalia Country Office (2025), which involved child-focused, ethically safeguarded consultations in Baidoa. On this assignment he will lead all Somali-language key informant interviews and focus group discussions, apply age-appropriate informed consent and assent procedures in line with SOS CV Somalia's Child and Youth Safeguarding Policy, coordinate field logistics under SOS CV Somalia security clearance procedures and INSO access-negotiation protocols, and support the situational analysis with local contextual knowledge covering Southwest state Somalia, Jubaland, and Hirshabelle, where the geographic expansion analysis is required. He directly satisfies the Section 11 requirement that the consultant demonstrate Somali-language facilitation capacity through a national co-consultant engaged as part of the assignment team.</w:t>
      </w:r>
    </w:p>
    <w:p>
      <w:r>
        <w:t>No external recruitment is required; the two-person core team covers all roles specified in the ToR, drawing on Cortech's wider network of consultants only for surge facilitation support if access constraints compress the fieldwork window. We note the ToR's encouragement of gender-balanced teams and will assign a female facilitator from our Somalia enumerator and facilitator network for focus group discussions with women and girls, subject to the same safeguarding code of conduct and briefing requirements.</w:t>
      </w:r>
    </w:p>
    <w:p>
      <w:r>
        <w:t>Both named team members are confirmed as available for the full twelve-week assignment period from contract signature to submission of the Final Country Strategy, Results Framework/KPI Matrix, Implementation Roadmap, and Executive Presentation, with no competing commitments that would affect the indicative weekly schedule in Section 8. Cortech's Mogadishu office enables immediate mobilization for the one-week contracting and inception phase, and the workplan carries built-in contingency for potential access constraints in insecure areas as required under the ToR's field travel and security conditions.</w:t>
      </w:r>
    </w:p>
    <w:p>
      <w:r>
        <w:br w:type="page"/>
      </w:r>
    </w:p>
    <w:p>
      <w:pPr>
        <w:pStyle w:val="Heading1"/>
      </w:pPr>
      <w:r>
        <w:t>Work Plan &amp; Timeline</w:t>
      </w:r>
    </w:p>
    <w:p>
      <w:r>
        <w:t>WORKPLAN AND TIMELINES</w:t>
      </w:r>
    </w:p>
    <w:p>
      <w:r>
        <w:t>Cortech Consulting Group will deliver the assignment over 12 weeks (approximately three months) from contract signature to submission of the Final Country Strategy (2027, 2030), following the indicative sequence set out in Section 8 of the Terms of Reference. Each deliverable is submitted in draft to the Strategy Development Reference Group with the standard five working day review window built into the schedule, so that Reference Group approval acts as the gate between phases rather than an unplanned delay. The workplan includes contingency for access constraints in insecure areas, consistent with SOS CV Somalia security clearance procedures and, where relevant, INSO access-negotiation protocols for travel to Baidoa and outreach locations.</w:t>
      </w:r>
    </w:p>
    <w:p>
      <w:r>
        <w:t>Phase 1: Contracting and Inception (Week 1). Activities: kick-off meeting with the National Director and the Head of MEAL/National planning and review coordinator; receipt of the 2023, 2025 MA Somalia national strategic review, RBPMR, annual reports 2023 to 2025, the current National Strategy (2023, 2026), Federation Strategy 2030 guidance and the National Transformation Plan 2025, 2029; signing of the Child and Youth Safeguarding code of conduct by all team members and completion of the safeguarding briefing before any child contact; drafting of the consultation framework, KII and FGD tools in English and Somali. Output: Inception Report.</w:t>
      </w:r>
    </w:p>
    <w:p>
      <w:r>
        <w:t>Phase 2: Situational Analysis (Weeks 2, 3). Activities: comprehensive desk review; PESTEL and SWOT analyses; stakeholder mapping covering line ministries (MoH, MoECHE, MOFHRD, MOYS, MOLSA), institutional donors, PSAs, UNICEF, SCRC, the JFA Somalia chapter and Hormuud telecom; commissioning and incorporation of the four targeted evidence pieces (updated CRSA, comparative evaluation of community-based Alternative Care versus Family-Like Care, mapping of the local fundraising landscape, EPHS handover readiness assessment) before the situational analysis is finalized; KIIs and Somali-language FGDs with children, youth, caregivers, women and persons with disabilities in Banadir and Baidoa, with age-appropriate consent/assent; assessment of expansion options in Southwest state Somalia, Jubaland and Hirshabelle. Output: Situational Analysis Report.</w:t>
      </w:r>
    </w:p>
    <w:p>
      <w:r>
        <w:t>Phase 3: Strategy Development Workshop (Week 4). Activities: design and facilitation of the 3-day workshop for the SOS Somalia programme and operational leadership team, structured to test the five strategic hypotheses from the 2023, 2025 review and to draft the Strategy Map across the four perspectives. Output: workshop report and validated strategic direction.</w:t>
      </w:r>
    </w:p>
    <w:p>
      <w:r>
        <w:t>Phase 4: Strategic Assessment (Weeks 5, 6). Activities: synthesis of findings, lessons learned and strategic recommendations; confirmation of alignment with the parallel Tier 1 actions (PSA sponsorship transition plan, Advocacy Officer recruitment, Board establishment process). Output: Strategic Assessment Report.</w:t>
      </w:r>
    </w:p>
    <w:p>
      <w:r>
        <w:t>Phase 5: Draft Country Strategy (Weeks 7, 8). Activities: drafting of the full strategy including Theory of Change, Strategy Map, Balanced Scorecard-structured Results Framework, Strategic Initiative Portfolio with indicative StratEx budget distinct from OpEx, organizational alignment plan and interim strategic-oversight mechanism. Output: Draft Country Strategy (2027, 2030).</w:t>
      </w:r>
    </w:p>
    <w:p>
      <w:r>
        <w:t>Phase 6: Validation and Finalization (Weeks 9, 10). Activities: validation workshop with key stakeholders; systematic incorporation of feedback. Output: Validation Workshop Report.</w:t>
      </w:r>
    </w:p>
    <w:p>
      <w:r>
        <w:t>Phase 7: Final Package (Weeks 11, 12). Activities: finalization of the Country Strategy, Results Framework and KPI matrix, risk management framework, cascaded Balanced Scorecards for programme streams and the Banadir and Baidoa locations, communication and change management plan linked to Dynamics 365, resource capacity and budget alignment plan, strategy performance dashboard template, implementation roadmap with the 2029 mid-cycle review checkpoint, and executive PowerPoint presentation.</w:t>
      </w:r>
    </w:p>
    <w:p>
      <w:r>
        <w:t>Milestones: Inception Report end of Week 1; Situational Analysis Report end of Week 3; workshop completed Week 4; Strategic Assessment Report end of Week 6; Draft Strategy end of Week 8; Validation Workshop Report end of Week 10; full final package end of Week 12.</w:t>
      </w:r>
    </w:p>
    <w:p>
      <w:r>
        <w:t>Parallel and sequential activities: the four targeted evidence pieces run in parallel with stakeholder consultations during Weeks 2, 3, since both must close before the Situational Analysis is finalized. Reference Group review windows run in parallel with preparation of the next phase. All other phases are sequential, as each deliverable feeds the next.</w:t>
      </w:r>
    </w:p>
    <w:p>
      <w:r>
        <w:t>GANTT CHART</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rPr>
            </w:r>
            <w:r>
              <w:rPr>
                <w:b/>
              </w:rPr>
              <w:t>Activity</w:t>
            </w:r>
          </w:p>
        </w:tc>
        <w:tc>
          <w:tcPr>
            <w:tcW w:type="dxa" w:w="665"/>
          </w:tcPr>
          <w:p>
            <w:r>
              <w:rPr>
                <w:b/>
              </w:rPr>
            </w:r>
            <w:r>
              <w:rPr>
                <w:b/>
              </w:rPr>
              <w:t>W1</w:t>
            </w:r>
          </w:p>
        </w:tc>
        <w:tc>
          <w:tcPr>
            <w:tcW w:type="dxa" w:w="665"/>
          </w:tcPr>
          <w:p>
            <w:r>
              <w:rPr>
                <w:b/>
              </w:rPr>
            </w:r>
            <w:r>
              <w:rPr>
                <w:b/>
              </w:rPr>
              <w:t>W2</w:t>
            </w:r>
          </w:p>
        </w:tc>
        <w:tc>
          <w:tcPr>
            <w:tcW w:type="dxa" w:w="665"/>
          </w:tcPr>
          <w:p>
            <w:r>
              <w:rPr>
                <w:b/>
              </w:rPr>
            </w:r>
            <w:r>
              <w:rPr>
                <w:b/>
              </w:rPr>
              <w:t>W3</w:t>
            </w:r>
          </w:p>
        </w:tc>
        <w:tc>
          <w:tcPr>
            <w:tcW w:type="dxa" w:w="665"/>
          </w:tcPr>
          <w:p>
            <w:r>
              <w:rPr>
                <w:b/>
              </w:rPr>
            </w:r>
            <w:r>
              <w:rPr>
                <w:b/>
              </w:rPr>
              <w:t>W4</w:t>
            </w:r>
          </w:p>
        </w:tc>
        <w:tc>
          <w:tcPr>
            <w:tcW w:type="dxa" w:w="665"/>
          </w:tcPr>
          <w:p>
            <w:r>
              <w:rPr>
                <w:b/>
              </w:rPr>
            </w:r>
            <w:r>
              <w:rPr>
                <w:b/>
              </w:rPr>
              <w:t>W5</w:t>
            </w:r>
          </w:p>
        </w:tc>
        <w:tc>
          <w:tcPr>
            <w:tcW w:type="dxa" w:w="665"/>
          </w:tcPr>
          <w:p>
            <w:r>
              <w:rPr>
                <w:b/>
              </w:rPr>
            </w:r>
            <w:r>
              <w:rPr>
                <w:b/>
              </w:rPr>
              <w:t>W6</w:t>
            </w:r>
          </w:p>
        </w:tc>
        <w:tc>
          <w:tcPr>
            <w:tcW w:type="dxa" w:w="665"/>
          </w:tcPr>
          <w:p>
            <w:r>
              <w:rPr>
                <w:b/>
              </w:rPr>
            </w:r>
            <w:r>
              <w:rPr>
                <w:b/>
              </w:rPr>
              <w:t>W7</w:t>
            </w:r>
          </w:p>
        </w:tc>
        <w:tc>
          <w:tcPr>
            <w:tcW w:type="dxa" w:w="665"/>
          </w:tcPr>
          <w:p>
            <w:r>
              <w:rPr>
                <w:b/>
              </w:rPr>
            </w:r>
            <w:r>
              <w:rPr>
                <w:b/>
              </w:rPr>
              <w:t>W8</w:t>
            </w:r>
          </w:p>
        </w:tc>
        <w:tc>
          <w:tcPr>
            <w:tcW w:type="dxa" w:w="665"/>
          </w:tcPr>
          <w:p>
            <w:r>
              <w:rPr>
                <w:b/>
              </w:rPr>
            </w:r>
            <w:r>
              <w:rPr>
                <w:b/>
              </w:rPr>
              <w:t>W9</w:t>
            </w:r>
          </w:p>
        </w:tc>
        <w:tc>
          <w:tcPr>
            <w:tcW w:type="dxa" w:w="665"/>
          </w:tcPr>
          <w:p>
            <w:r>
              <w:rPr>
                <w:b/>
              </w:rPr>
            </w:r>
            <w:r>
              <w:rPr>
                <w:b/>
              </w:rPr>
              <w:t>W10</w:t>
            </w:r>
          </w:p>
        </w:tc>
        <w:tc>
          <w:tcPr>
            <w:tcW w:type="dxa" w:w="665"/>
          </w:tcPr>
          <w:p>
            <w:r>
              <w:rPr>
                <w:b/>
              </w:rPr>
            </w:r>
            <w:r>
              <w:rPr>
                <w:b/>
              </w:rPr>
              <w:t>W11</w:t>
            </w:r>
          </w:p>
        </w:tc>
        <w:tc>
          <w:tcPr>
            <w:tcW w:type="dxa" w:w="665"/>
          </w:tcPr>
          <w:p>
            <w:r>
              <w:rPr>
                <w:b/>
              </w:rPr>
            </w:r>
            <w:r>
              <w:rPr>
                <w:b/>
              </w:rPr>
              <w:t>W12</w:t>
            </w:r>
          </w:p>
        </w:tc>
      </w:tr>
      <w:tr>
        <w:tc>
          <w:tcPr>
            <w:tcW w:type="dxa" w:w="665"/>
          </w:tcPr>
          <w:p>
            <w:r/>
            <w:r>
              <w:t>Contracting, kick-off, safeguarding briefing</w:t>
            </w:r>
          </w:p>
        </w:tc>
        <w:tc>
          <w:tcPr>
            <w:tcW w:type="dxa" w:w="665"/>
          </w:tcPr>
          <w:p>
            <w:r/>
            <w:r>
              <w:t>X</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r>
      <w:tr>
        <w:tc>
          <w:tcPr>
            <w:tcW w:type="dxa" w:w="665"/>
          </w:tcPr>
          <w:p>
            <w:r/>
            <w:r>
              <w:t>Inception Report and tools</w:t>
            </w:r>
          </w:p>
        </w:tc>
        <w:tc>
          <w:tcPr>
            <w:tcW w:type="dxa" w:w="665"/>
          </w:tcPr>
          <w:p>
            <w:r/>
            <w:r>
              <w:t>X</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r>
      <w:tr>
        <w:tc>
          <w:tcPr>
            <w:tcW w:type="dxa" w:w="665"/>
          </w:tcPr>
          <w:p>
            <w:r/>
            <w:r>
              <w:t>Desk review, PESTEL, SWOT, stakeholder mapping</w:t>
            </w:r>
          </w:p>
        </w:tc>
        <w:tc>
          <w:tcPr>
            <w:tcW w:type="dxa" w:w="665"/>
          </w:tcPr>
          <w:p>
            <w:r/>
          </w:p>
        </w:tc>
        <w:tc>
          <w:tcPr>
            <w:tcW w:type="dxa" w:w="665"/>
          </w:tcPr>
          <w:p>
            <w:r/>
            <w:r>
              <w:t>X</w:t>
            </w:r>
          </w:p>
        </w:tc>
        <w:tc>
          <w:tcPr>
            <w:tcW w:type="dxa" w:w="665"/>
          </w:tcPr>
          <w:p>
            <w:r/>
            <w:r>
              <w:t>X</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r>
      <w:tr>
        <w:tc>
          <w:tcPr>
            <w:tcW w:type="dxa" w:w="665"/>
          </w:tcPr>
          <w:p>
            <w:r/>
            <w:r>
              <w:t>Four targeted evidence pieces (CRSA, care models, fundraising, EPHS)</w:t>
            </w:r>
          </w:p>
        </w:tc>
        <w:tc>
          <w:tcPr>
            <w:tcW w:type="dxa" w:w="665"/>
          </w:tcPr>
          <w:p>
            <w:r/>
          </w:p>
        </w:tc>
        <w:tc>
          <w:tcPr>
            <w:tcW w:type="dxa" w:w="665"/>
          </w:tcPr>
          <w:p>
            <w:r/>
            <w:r>
              <w:t>X</w:t>
            </w:r>
          </w:p>
        </w:tc>
        <w:tc>
          <w:tcPr>
            <w:tcW w:type="dxa" w:w="665"/>
          </w:tcPr>
          <w:p>
            <w:r/>
            <w:r>
              <w:t>X</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r>
      <w:tr>
        <w:tc>
          <w:tcPr>
            <w:tcW w:type="dxa" w:w="665"/>
          </w:tcPr>
          <w:p>
            <w:r/>
            <w:r>
              <w:t>KIIs and FGDs (Banadir, Baidoa)</w:t>
            </w:r>
          </w:p>
        </w:tc>
        <w:tc>
          <w:tcPr>
            <w:tcW w:type="dxa" w:w="665"/>
          </w:tcPr>
          <w:p>
            <w:r/>
          </w:p>
        </w:tc>
        <w:tc>
          <w:tcPr>
            <w:tcW w:type="dxa" w:w="665"/>
          </w:tcPr>
          <w:p>
            <w:r/>
            <w:r>
              <w:t>X</w:t>
            </w:r>
          </w:p>
        </w:tc>
        <w:tc>
          <w:tcPr>
            <w:tcW w:type="dxa" w:w="665"/>
          </w:tcPr>
          <w:p>
            <w:r/>
            <w:r>
              <w:t>X</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r>
      <w:tr>
        <w:tc>
          <w:tcPr>
            <w:tcW w:type="dxa" w:w="665"/>
          </w:tcPr>
          <w:p>
            <w:r/>
            <w:r>
              <w:t>Situational Analysis Report</w:t>
            </w:r>
          </w:p>
        </w:tc>
        <w:tc>
          <w:tcPr>
            <w:tcW w:type="dxa" w:w="665"/>
          </w:tcPr>
          <w:p>
            <w:r/>
          </w:p>
        </w:tc>
        <w:tc>
          <w:tcPr>
            <w:tcW w:type="dxa" w:w="665"/>
          </w:tcPr>
          <w:p>
            <w:r/>
          </w:p>
        </w:tc>
        <w:tc>
          <w:tcPr>
            <w:tcW w:type="dxa" w:w="665"/>
          </w:tcPr>
          <w:p>
            <w:r/>
            <w:r>
              <w:t>X</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r>
      <w:tr>
        <w:tc>
          <w:tcPr>
            <w:tcW w:type="dxa" w:w="665"/>
          </w:tcPr>
          <w:p>
            <w:r/>
            <w:r>
              <w:t>3-day Strategy Development Workshop</w:t>
            </w:r>
          </w:p>
        </w:tc>
        <w:tc>
          <w:tcPr>
            <w:tcW w:type="dxa" w:w="665"/>
          </w:tcPr>
          <w:p>
            <w:r/>
          </w:p>
        </w:tc>
        <w:tc>
          <w:tcPr>
            <w:tcW w:type="dxa" w:w="665"/>
          </w:tcPr>
          <w:p>
            <w:r/>
          </w:p>
        </w:tc>
        <w:tc>
          <w:tcPr>
            <w:tcW w:type="dxa" w:w="665"/>
          </w:tcPr>
          <w:p>
            <w:r/>
          </w:p>
        </w:tc>
        <w:tc>
          <w:tcPr>
            <w:tcW w:type="dxa" w:w="665"/>
          </w:tcPr>
          <w:p>
            <w:r/>
            <w:r>
              <w:t>X</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r>
      <w:tr>
        <w:tc>
          <w:tcPr>
            <w:tcW w:type="dxa" w:w="665"/>
          </w:tcPr>
          <w:p>
            <w:r/>
            <w:r>
              <w:t>Strategic Assessment Report</w:t>
            </w:r>
          </w:p>
        </w:tc>
        <w:tc>
          <w:tcPr>
            <w:tcW w:type="dxa" w:w="665"/>
          </w:tcPr>
          <w:p>
            <w:r/>
          </w:p>
        </w:tc>
        <w:tc>
          <w:tcPr>
            <w:tcW w:type="dxa" w:w="665"/>
          </w:tcPr>
          <w:p>
            <w:r/>
          </w:p>
        </w:tc>
        <w:tc>
          <w:tcPr>
            <w:tcW w:type="dxa" w:w="665"/>
          </w:tcPr>
          <w:p>
            <w:r/>
          </w:p>
        </w:tc>
        <w:tc>
          <w:tcPr>
            <w:tcW w:type="dxa" w:w="665"/>
          </w:tcPr>
          <w:p>
            <w:r/>
          </w:p>
        </w:tc>
        <w:tc>
          <w:tcPr>
            <w:tcW w:type="dxa" w:w="665"/>
          </w:tcPr>
          <w:p>
            <w:r/>
            <w:r>
              <w:t>X</w:t>
            </w:r>
          </w:p>
        </w:tc>
        <w:tc>
          <w:tcPr>
            <w:tcW w:type="dxa" w:w="665"/>
          </w:tcPr>
          <w:p>
            <w:r/>
            <w:r>
              <w:t>X</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r>
      <w:tr>
        <w:tc>
          <w:tcPr>
            <w:tcW w:type="dxa" w:w="665"/>
          </w:tcPr>
          <w:p>
            <w:r/>
            <w:r>
              <w:t>Draft Country Strategy, Strategy Map, scorecard, initiative portfolio</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r>
              <w:t>X</w:t>
            </w:r>
          </w:p>
        </w:tc>
        <w:tc>
          <w:tcPr>
            <w:tcW w:type="dxa" w:w="665"/>
          </w:tcPr>
          <w:p>
            <w:r/>
            <w:r>
              <w:t>X</w:t>
            </w:r>
          </w:p>
        </w:tc>
        <w:tc>
          <w:tcPr>
            <w:tcW w:type="dxa" w:w="665"/>
          </w:tcPr>
          <w:p>
            <w:r/>
          </w:p>
        </w:tc>
        <w:tc>
          <w:tcPr>
            <w:tcW w:type="dxa" w:w="665"/>
          </w:tcPr>
          <w:p>
            <w:r/>
          </w:p>
        </w:tc>
        <w:tc>
          <w:tcPr>
            <w:tcW w:type="dxa" w:w="665"/>
          </w:tcPr>
          <w:p>
            <w:r/>
          </w:p>
        </w:tc>
        <w:tc>
          <w:tcPr>
            <w:tcW w:type="dxa" w:w="665"/>
          </w:tcPr>
          <w:p>
            <w:r/>
          </w:p>
        </w:tc>
      </w:tr>
      <w:tr>
        <w:tc>
          <w:tcPr>
            <w:tcW w:type="dxa" w:w="665"/>
          </w:tcPr>
          <w:p>
            <w:r/>
            <w:r>
              <w:t>Validation workshop and feedback incorporation</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r>
              <w:t>X</w:t>
            </w:r>
          </w:p>
        </w:tc>
        <w:tc>
          <w:tcPr>
            <w:tcW w:type="dxa" w:w="665"/>
          </w:tcPr>
          <w:p>
            <w:r/>
            <w:r>
              <w:t>X</w:t>
            </w:r>
          </w:p>
        </w:tc>
        <w:tc>
          <w:tcPr>
            <w:tcW w:type="dxa" w:w="665"/>
          </w:tcPr>
          <w:p>
            <w:r/>
          </w:p>
        </w:tc>
        <w:tc>
          <w:tcPr>
            <w:tcW w:type="dxa" w:w="665"/>
          </w:tcPr>
          <w:p>
            <w:r/>
          </w:p>
        </w:tc>
      </w:tr>
      <w:tr>
        <w:tc>
          <w:tcPr>
            <w:tcW w:type="dxa" w:w="665"/>
          </w:tcPr>
          <w:p>
            <w:r/>
            <w:r>
              <w:t>Final strategy and full deliverable package</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r>
              <w:t>X</w:t>
            </w:r>
          </w:p>
        </w:tc>
        <w:tc>
          <w:tcPr>
            <w:tcW w:type="dxa" w:w="665"/>
          </w:tcPr>
          <w:p>
            <w:r/>
            <w:r>
              <w:t>X</w:t>
            </w:r>
          </w:p>
        </w:tc>
      </w:tr>
      <w:tr>
        <w:tc>
          <w:tcPr>
            <w:tcW w:type="dxa" w:w="665"/>
          </w:tcPr>
          <w:p>
            <w:r/>
            <w:r>
              <w:t>Reference Group reviews (five working days each)</w:t>
            </w:r>
          </w:p>
        </w:tc>
        <w:tc>
          <w:tcPr>
            <w:tcW w:type="dxa" w:w="665"/>
          </w:tcPr>
          <w:p>
            <w:r/>
          </w:p>
        </w:tc>
        <w:tc>
          <w:tcPr>
            <w:tcW w:type="dxa" w:w="665"/>
          </w:tcPr>
          <w:p>
            <w:r/>
            <w:r>
              <w:t>X</w:t>
            </w:r>
          </w:p>
        </w:tc>
        <w:tc>
          <w:tcPr>
            <w:tcW w:type="dxa" w:w="665"/>
          </w:tcPr>
          <w:p>
            <w:r/>
            <w:r>
              <w:t>X</w:t>
            </w:r>
          </w:p>
        </w:tc>
        <w:tc>
          <w:tcPr>
            <w:tcW w:type="dxa" w:w="665"/>
          </w:tcPr>
          <w:p>
            <w:r/>
          </w:p>
        </w:tc>
        <w:tc>
          <w:tcPr>
            <w:tcW w:type="dxa" w:w="665"/>
          </w:tcPr>
          <w:p>
            <w:r/>
            <w:r>
              <w:t>X</w:t>
            </w:r>
          </w:p>
        </w:tc>
        <w:tc>
          <w:tcPr>
            <w:tcW w:type="dxa" w:w="665"/>
          </w:tcPr>
          <w:p>
            <w:r/>
            <w:r>
              <w:t>X</w:t>
            </w:r>
          </w:p>
        </w:tc>
        <w:tc>
          <w:tcPr>
            <w:tcW w:type="dxa" w:w="665"/>
          </w:tcPr>
          <w:p>
            <w:r/>
          </w:p>
        </w:tc>
        <w:tc>
          <w:tcPr>
            <w:tcW w:type="dxa" w:w="665"/>
          </w:tcPr>
          <w:p>
            <w:r/>
            <w:r>
              <w:t>X</w:t>
            </w:r>
          </w:p>
        </w:tc>
        <w:tc>
          <w:tcPr>
            <w:tcW w:type="dxa" w:w="665"/>
          </w:tcPr>
          <w:p>
            <w:r/>
          </w:p>
        </w:tc>
        <w:tc>
          <w:tcPr>
            <w:tcW w:type="dxa" w:w="665"/>
          </w:tcPr>
          <w:p>
            <w:r/>
            <w:r>
              <w:t>X</w:t>
            </w:r>
          </w:p>
        </w:tc>
        <w:tc>
          <w:tcPr>
            <w:tcW w:type="dxa" w:w="665"/>
          </w:tcPr>
          <w:p>
            <w:r/>
            <w:r>
              <w:t>X</w:t>
            </w:r>
          </w:p>
        </w:tc>
        <w:tc>
          <w:tcPr>
            <w:tcW w:type="dxa" w:w="665"/>
          </w:tcPr>
          <w:p>
            <w:r/>
            <w:r>
              <w:t>X</w:t>
            </w:r>
          </w:p>
        </w:tc>
      </w:tr>
    </w:tbl>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