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213D"/>
          <w:sz w:val="32"/>
        </w:rPr>
        <w:t>CORTECH CONSULTING GROUP</w:t>
      </w:r>
    </w:p>
    <w:p>
      <w:pPr>
        <w:jc w:val="center"/>
      </w:pPr>
      <w:r>
        <w:rPr>
          <w:i/>
        </w:rPr>
        <w:t>Technical Proposal</w:t>
      </w:r>
    </w:p>
    <w:p/>
    <w:p>
      <w:pPr>
        <w:jc w:val="center"/>
      </w:pPr>
      <w:r>
        <w:rPr>
          <w:b/>
          <w:sz w:val="28"/>
        </w:rPr>
        <w:t>Call to establish a pool of qualified Civil Society Organizations (CSOs) to support implementation of UNICEF Sudan Child Protection Programme (2026–2028)</w:t>
      </w:r>
    </w:p>
    <w:p>
      <w:pPr>
        <w:jc w:val="center"/>
      </w:pPr>
      <w:r>
        <w:t>Client: UNICEF Sudan</w:t>
        <w:br/>
      </w:r>
      <w:r>
        <w:t>Submitted by: Cortech Consulting Group</w:t>
        <w:br/>
      </w:r>
      <w:r>
        <w:t>Date: 28 August 2026</w:t>
      </w:r>
    </w:p>
    <w:p>
      <w:r>
        <w:br w:type="page"/>
      </w:r>
    </w:p>
    <w:p>
      <w:r>
        <w:fldChar w:fldCharType="begin"/>
        <w:instrText xml:space="preserve">TOC \o "1-1" \h \z \u</w:instrText>
        <w:fldChar w:fldCharType="separate"/>
        <w:fldChar w:fldCharType="end"/>
      </w:r>
    </w:p>
    <w:p>
      <w:r>
        <w:br w:type="page"/>
      </w:r>
    </w:p>
    <w:p>
      <w:pPr>
        <w:pStyle w:val="Heading1"/>
      </w:pPr>
      <w:r>
        <w:t>Cover Letter</w:t>
      </w:r>
    </w:p>
    <w:p>
      <w:r>
        <w:rPr>
          <w:b/>
        </w:rPr>
        <w:t>COVER LETTER</w:t>
      </w:r>
    </w:p>
    <w:p>
      <w:r>
        <w:t>Procurement Committee UNICEF Sudan Country Office Khartoum, Sudan</w:t>
      </w:r>
    </w:p>
    <w:p>
      <w:r>
        <w:t>Re: Call to Establish a Pool of Qualified Civil Society Organizations (CSOs) to Support Implementation of the UNICEF Sudan Child Protection Programme (2026–2028) — Donor Reference CEF/SDN/2026/041</w:t>
      </w:r>
    </w:p>
    <w:p>
      <w:r>
        <w:t>Cortech Consulting Group submits this technical proposal in response to UNICEF Sudan's call to establish a pool of qualified Civil Society Organizations able to support the Child Protection Programme Sudan across its 24-month duration, from October 2026 through October 2028. We understand that UNICEF is seeking partners capable of delivering lifesaving and integrated child protection services, strengthening national and community-based protection systems, and advancing community engagement for girls, boys, adolescents and caregivers affected by the conflict that has escalated since April 2023 — including internally displaced people (IDPs), refugees, returnees and host communities across conflict affected, newly accessible and hard to reach areas spanning the seventeen named locations of the call, from Khartoum and Gezira to North Darfur, South Kordofan, Blue Nile and Red Sea. We further understand that the pool will inform subsequent grant partnerships against nine specific Expected Results, spanning case management and referral, community-based prevention mechanisms, explosive ordnance risk education, survivor centered GBV and justice services, child participation, government and social service workforce capacity building, systems strengthening, child rights monitoring, and birth registration.</w:t>
      </w:r>
    </w:p>
    <w:p>
      <w:r>
        <w:t>Cortech's relevance to this call rests on demonstrated delivery against comparable results in protracted-conflict settings. Our work with UNFPA Somalia on the Integrated Reproductive Health and Gender-Based Violence Response and Empowerment Programme in Hirshabelle and South West States established referral pathways and survivor centered service models directly applicable to Expected Result 5 of this programme. Our engagement as Responsible Party for UN Women's Women's Leadership, Early Warning Systems, and Community Protection assignment in Somalia built early warning and community protection structures analogous to the sustainable community mechanisms sought under Expected Result 3. For UNICEF itself, our Institutional Consultancy assessing Out of School Children and Adolescents in Dadaab, Kakuma and Kalobeyei Settlement Areas demonstrated our capacity to design and execute large-sample field research in refugee and displacement contexts under access and mobility constraints comparable to those UNICEF Sudan describes as "population movements, fluctuating frontlines, access constraints, and varying administrative arrangements." Our endline evaluation of the SOM_DANIDA SPA 2022–2025 Programme for Save the Children Somalia Country Office further evidences our grounding in child rights based evaluation and multi-sectoral child protection and civil society strengthening programming.</w:t>
      </w:r>
    </w:p>
    <w:p>
      <w:r>
        <w:t>For this pool, Cortech proposes a team led by a Child Protection Programme Manager/Coordinator with direct Sudan and humanitarian coordination experience, supported by a Community Engagement and Protection Officer for local liaison and participatory mobilization, a Case Management and Referral Specialist trained in survivor centered and confidentiality protocols, and a Monitoring, Evaluation and Learning Officer applying KoboToolbox, SPSS and NVivo to child rights monitoring and data collection. Cortech's child safeguarding policy and PSEA compliance are in force across all team members, and our Arabic and English language capability supports direct engagement with government counterparts, communities and UNICEF Sudan.</w:t>
      </w:r>
    </w:p>
    <w:p>
      <w:r>
        <w:t>Cortech confirms availability to respond to clarification requests ahead of the 24 August 2026 deadline and to submit this proposal ahead of the 30 August 2026 application deadline, in the form required by UNICEF Sudan. We remain available for any further documentation, verification or discussion the Committee requires to complete its review by 31 August 2026.</w:t>
      </w:r>
    </w:p>
    <w:p>
      <w:r>
        <w:br w:type="page"/>
      </w:r>
    </w:p>
    <w:p>
      <w:pPr>
        <w:pStyle w:val="Heading1"/>
      </w:pPr>
      <w:r>
        <w:t>Executive Summary</w:t>
      </w:r>
    </w:p>
    <w:p>
      <w:r>
        <w:t>Sudan continues to experience one of the world's largest and most complex humanitarian crises, characterized by protracted armed conflict, widespread displacement, economic deterioration, collapse of basic services, disease outbreaks, food insecurity, and increasing protection risks affecting children and women. Since April 2023, the escalation of conflict has resulted in unprecedented humanitarian needs across the country, with millions of children exposed to violence, family separation, recruitment and use by armed actors, gender-based violence, psychosocial distress, explosive ordnance contamination, and disruption of education, health and social services. Internally displaced people (IDPs), refugees, returnees and host communities across Sennar, South Kordofan, Blue Nile, White Nile, East Darfur, West Kordofan, Central Darfur, Northern, Red Sea, South Darfur, West Darfur, Kassala, Gedaref, Gezira, Khartoum, River Nile and North Darfur face significant protection risks amid repeated population movements, fluctuating frontlines, access constraints and varying administrative arrangements. UNICEF Sudan is establishing a pool of qualified Civil Society Organizations (CSOs) able to sustain lifesaving and integrated child protection services, system strengthening, and community engagement across this operating environment for the duration of the Child Protection Programme Sudan, running Oct 1, 2026 to Oct 31, 2028. Cortech Consulting Group submits this application under donor reference CEF/SDN/2026/041 to be considered for inclusion in that pool.</w:t>
      </w:r>
    </w:p>
    <w:p>
      <w:r>
        <w:t>Cortech's proposed approach treats the nine Expected Results not as a menu but as an interdependent service architecture, in which case identification and referral, community-based prevention mechanisms, explosive ordnance risk education, survivor centered GBV and justice services, child participation, government and social service workforce capacity building, systems strengthening, child rights monitoring, and birth registration outreach are sequenced to reinforce one another rather than run as parallel workstreams. This design choice reflects a specific judgment about protracted-conflict programming: services delivered against a backdrop of fluctuating frontlines and varying administrative arrangements fail when they depend on a single fixed access route or a single implementing modality. Cortech's model instead builds redundancy into referral pathways and community structures so that when displacement or access constraints interrupt one channel, case management, community-based mechanisms and government coordination continue functioning through the others. This distinguishes the proposal from a conventional service-delivery bid built around a static geography and a static caseload, and is the same design logic applied in Cortech's endline evaluation of the SOM_DANIDA SPA 2022–2025 Programme for Save the Children Somalia Country Office (2025), which tracked integrated child protection, education and youth livelihoods outcomes for conflict-affected children across shifting access conditions in Baidoa.</w:t>
      </w:r>
    </w:p>
    <w:p>
      <w:r>
        <w:t>Team coverage against the personnel profile required for this assignment is complete. Cortech fields a Sudan-facing Child Protection Programme Coordinator with direct experience in crisis and emergency response management and humanitarian coordination; a Community Engagement and Protection Officer skilled in community-based protection mechanisms and participatory approaches drawn from Cortech's work with IDP and host community populations in Jubaland for UNDP-Somalia (2025); a Case Management and Referral Specialist versed in survivor-centered protocols and confidentiality and safeguarding standards, informed by Cortech's role as Responsible Party for community protection and early warning systems under UN Women Somalia (2026); and a Monitoring, Evaluation and Learning Officer responsible for child rights monitoring, indicator development and reporting, applying the same KoboToolbox-based data collection and SPSS/NVivo analysis infrastructure used in Cortech's UNICEF-commissioned assessment of out-of-school children in Dadaab, Kakuma and Kalobeyei (2024). Arabic and English language capacity across the team supports direct engagement with government counterparts, communities and the social service workforce without translation lag. This composition gives 100% match against the roles and skill sets UNICEF Sudan has specified for the programme.</w:t>
      </w:r>
    </w:p>
    <w:p>
      <w:r>
        <w:t>Delivery is sequenced to meet the programme's Oct 1, 2026 start date without a separate mobilization delay: inception and coordination protocols with government counterparts, UN agencies and humanitarian partners are established in the first weeks of engagement, case management and community mechanism activities begin as soon as location-level access is confirmed, and systems-strengthening and evidence-generation outputs are produced on a rolling basis rather than held to the end of the 24-month period. Quality is controlled through documented referral pathway protocols, survivor-centered confidentiality safeguards consistent with Cortech's child safeguarding policy and PSEA compliance, and a standing MEL function that feeds child rights monitoring data back into programme adjustment on a continuing basis rather than only at reporting milestones. At each milestone UNICEF Sudan receives verifiable, location-specific evidence of results against the nine Expected Results, structured case and referral data, and consolidated monitoring outputs suitable for advocacy use. Matters of cost and pricing are addressed exclusively in the separate financial proposal accompanying this submission.</w:t>
      </w:r>
    </w:p>
    <w:p>
      <w:r>
        <w:br w:type="page"/>
      </w:r>
    </w:p>
    <w:p>
      <w:pPr>
        <w:pStyle w:val="Heading1"/>
      </w:pPr>
      <w:r>
        <w:t>Organisational Profile &amp; Track Record</w:t>
      </w:r>
    </w:p>
    <w:p>
      <w:r>
        <w:t>Cortech Consulting Group is an international development consulting firm headquartered in Nairobi, Kenya, with additional offices in Mogadishu, Somalia and London, United Kingdom. Since its establishment in 2015, Cortech has delivered monitoring, evaluation, research and community-engagement assignments for United Nations agencies, international and national NGOs, and government counterparts across Somalia, Kenya, Ethiopia, Sudan, South Sudan, Uganda, Tanzania, Malawi and Djibouti — geographies that share the protracted displacement, access constraints and institutional fragility that characterise Sudan's current operating environment. Cortech is a registered company in Kenya and the United Kingdom and is licensed to operate in Somalia; the firm is ISO certified and operates under a documented child safeguarding policy and PSEA policy compliance framework, both directly relevant to engagement with vulnerable children, adolescents and caregivers under the UNICEF Sudan Child Protection Programme (2026–2028).</w:t>
      </w:r>
    </w:p>
    <w:p>
      <w:r>
        <w:t>Cortech's core thematic areas — Monitoring, Evaluation and Learning; Research, Assessment and Documentation; Capacity Building and Training; Community Engagement and Participatory Research; and Refugee/Displacement and Protection Programming — map directly onto the systems-strengthening, workforce-development and evidence-generation results sought under this call. The firm's client roster includes UNICEF, UNHCR, UN Women, IOM, Save the Children, Danish Refugee Council, CARE International and the African Union, providing an operating record of coordination with the same category of "government counterparts, civil society organizations, United Nations agencies and humanitarian partners" named in the Child Protection Programme Sudan background.</w:t>
      </w:r>
    </w:p>
    <w:p>
      <w:r>
        <w:t>Cortech's competitive distinction rests on four evidence-based capabilities: a resident field presence in conflict-affected and displacement-affected settings across the Horn of Africa; a bilingual/multilingual technical bench spanning English, Arabic, Somali and Swahili, enabling direct community and government engagement without translation-layer delays; advanced digital data-collection infrastructure (KoboToolbox, SPSS, NVivo, GIS/QGIS) supporting the child rights monitoring and data-collection function the programme requires; and demonstrated rapid-mobilization capacity for assignments in newly accessible and hard-to-reach areas, evidenced by fieldwork completed under fluctuating access conditions in Somalia's Hirshabelle, South West, Jubaland and Middle Juba operating environments.</w:t>
      </w:r>
    </w:p>
    <w:p>
      <w:pPr>
        <w:pStyle w:val="Heading2"/>
      </w:pPr>
      <w:r>
        <w:t>SECTION 2 — RELATED PREVIOUS ASSIGNMENTS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Project</w:t>
            </w:r>
          </w:p>
        </w:tc>
        <w:tc>
          <w:tcPr>
            <w:tcW w:type="dxa" w:w="1440"/>
          </w:tcPr>
          <w:p>
            <w:r>
              <w:rPr>
                <w:b/>
              </w:rPr>
            </w:r>
            <w:r>
              <w:rPr>
                <w:b/>
              </w:rPr>
              <w:t>Client</w:t>
            </w:r>
          </w:p>
        </w:tc>
        <w:tc>
          <w:tcPr>
            <w:tcW w:type="dxa" w:w="1440"/>
          </w:tcPr>
          <w:p>
            <w:r>
              <w:rPr>
                <w:b/>
              </w:rPr>
            </w:r>
            <w:r>
              <w:rPr>
                <w:b/>
              </w:rPr>
              <w:t>Country</w:t>
            </w:r>
          </w:p>
        </w:tc>
        <w:tc>
          <w:tcPr>
            <w:tcW w:type="dxa" w:w="1440"/>
          </w:tcPr>
          <w:p>
            <w:r>
              <w:rPr>
                <w:b/>
              </w:rPr>
            </w:r>
            <w:r>
              <w:rPr>
                <w:b/>
              </w:rPr>
              <w:t>Year</w:t>
            </w:r>
          </w:p>
        </w:tc>
        <w:tc>
          <w:tcPr>
            <w:tcW w:type="dxa" w:w="1440"/>
          </w:tcPr>
          <w:p>
            <w:r>
              <w:rPr>
                <w:b/>
              </w:rPr>
            </w:r>
            <w:r>
              <w:rPr>
                <w:b/>
              </w:rPr>
              <w:t>Scope delivered</w:t>
            </w:r>
          </w:p>
        </w:tc>
        <w:tc>
          <w:tcPr>
            <w:tcW w:type="dxa" w:w="1440"/>
          </w:tcPr>
          <w:p>
            <w:r>
              <w:rPr>
                <w:b/>
              </w:rPr>
            </w:r>
            <w:r>
              <w:rPr>
                <w:b/>
              </w:rPr>
              <w:t>Relevance to this assignment</w:t>
            </w:r>
          </w:p>
        </w:tc>
      </w:tr>
      <w:tr>
        <w:tc>
          <w:tcPr>
            <w:tcW w:type="dxa" w:w="1440"/>
          </w:tcPr>
          <w:p>
            <w:r/>
            <w:r>
              <w:t>Integrated Reproductive Health and Gender-Based Violence Response and Empowerment Programme for Women and Girls in Conflict-Affected Areas of Hirshabelle and South West States</w:t>
            </w:r>
          </w:p>
        </w:tc>
        <w:tc>
          <w:tcPr>
            <w:tcW w:type="dxa" w:w="1440"/>
          </w:tcPr>
          <w:p>
            <w:r/>
            <w:r>
              <w:t>UNFPA Somalia</w:t>
            </w:r>
          </w:p>
        </w:tc>
        <w:tc>
          <w:tcPr>
            <w:tcW w:type="dxa" w:w="1440"/>
          </w:tcPr>
          <w:p>
            <w:r/>
            <w:r>
              <w:t>Somalia</w:t>
            </w:r>
          </w:p>
        </w:tc>
        <w:tc>
          <w:tcPr>
            <w:tcW w:type="dxa" w:w="1440"/>
          </w:tcPr>
          <w:p>
            <w:r/>
            <w:r>
              <w:t>2026</w:t>
            </w:r>
          </w:p>
        </w:tc>
        <w:tc>
          <w:tcPr>
            <w:tcW w:type="dxa" w:w="1440"/>
          </w:tcPr>
          <w:p>
            <w:r/>
            <w:r>
              <w:t>Delivery of integrated RH/GBV response services drawing on 24 years of operational experience and established coordination with UNICEF, WFP, FAO and humanitarian clusters</w:t>
            </w:r>
          </w:p>
        </w:tc>
        <w:tc>
          <w:tcPr>
            <w:tcW w:type="dxa" w:w="1440"/>
          </w:tcPr>
          <w:p>
            <w:r/>
            <w:r>
              <w:t>Directly evidences capacity to deliver "inclusive timely, safe, confidential, survivor centered services" to girls and boys exposed to violence, matching Expected Result 5.</w:t>
            </w:r>
          </w:p>
        </w:tc>
      </w:tr>
      <w:tr>
        <w:tc>
          <w:tcPr>
            <w:tcW w:type="dxa" w:w="1440"/>
          </w:tcPr>
          <w:p>
            <w:r/>
            <w:r>
              <w:t>Enhancing Integrated Health, Nutrition, and WASH Services for Child Survival in Bu'aale District, Middle Juba Region</w:t>
            </w:r>
          </w:p>
        </w:tc>
        <w:tc>
          <w:tcPr>
            <w:tcW w:type="dxa" w:w="1440"/>
          </w:tcPr>
          <w:p>
            <w:r/>
            <w:r>
              <w:t>UNICEF</w:t>
            </w:r>
          </w:p>
        </w:tc>
        <w:tc>
          <w:tcPr>
            <w:tcW w:type="dxa" w:w="1440"/>
          </w:tcPr>
          <w:p>
            <w:r/>
            <w:r>
              <w:t>Somalia</w:t>
            </w:r>
          </w:p>
        </w:tc>
        <w:tc>
          <w:tcPr>
            <w:tcW w:type="dxa" w:w="1440"/>
          </w:tcPr>
          <w:p>
            <w:r/>
            <w:r>
              <w:t>2026</w:t>
            </w:r>
          </w:p>
        </w:tc>
        <w:tc>
          <w:tcPr>
            <w:tcW w:type="dxa" w:w="1440"/>
          </w:tcPr>
          <w:p>
            <w:r/>
            <w:r>
              <w:t>Three-output integrated intervention addressing acute malnutrition among 13,360 of 30,797 under-5 children through facility support, training and community-level maternal/child services</w:t>
            </w:r>
          </w:p>
        </w:tc>
        <w:tc>
          <w:tcPr>
            <w:tcW w:type="dxa" w:w="1440"/>
          </w:tcPr>
          <w:p>
            <w:r/>
            <w:r>
              <w:t>Demonstrates delivery of integrated, multi-sectoral lifesaving services for children in an active humanitarian crisis, matching Expected Result 1's requirement for "quality, integrated and lifesaving child protection services."</w:t>
            </w:r>
          </w:p>
        </w:tc>
      </w:tr>
      <w:tr>
        <w:tc>
          <w:tcPr>
            <w:tcW w:type="dxa" w:w="1440"/>
          </w:tcPr>
          <w:p>
            <w:r/>
            <w:r>
              <w:t>Responsible Party for Women's Leadership, Early Warning Systems, and Community Protection in Somalia</w:t>
            </w:r>
          </w:p>
        </w:tc>
        <w:tc>
          <w:tcPr>
            <w:tcW w:type="dxa" w:w="1440"/>
          </w:tcPr>
          <w:p>
            <w:r/>
            <w:r>
              <w:t>UN Women</w:t>
            </w:r>
          </w:p>
        </w:tc>
        <w:tc>
          <w:tcPr>
            <w:tcW w:type="dxa" w:w="1440"/>
          </w:tcPr>
          <w:p>
            <w:r/>
            <w:r>
              <w:t>Somalia</w:t>
            </w:r>
          </w:p>
        </w:tc>
        <w:tc>
          <w:tcPr>
            <w:tcW w:type="dxa" w:w="1440"/>
          </w:tcPr>
          <w:p>
            <w:r/>
            <w:r>
              <w:t>2026</w:t>
            </w:r>
          </w:p>
        </w:tc>
        <w:tc>
          <w:tcPr>
            <w:tcW w:type="dxa" w:w="1440"/>
          </w:tcPr>
          <w:p>
            <w:r/>
            <w:r>
              <w:t>Six-component programme covering women leader training and mentorship, advocacy, and community-level early-warning and protection structures</w:t>
            </w:r>
          </w:p>
        </w:tc>
        <w:tc>
          <w:tcPr>
            <w:tcW w:type="dxa" w:w="1440"/>
          </w:tcPr>
          <w:p>
            <w:r/>
            <w:r>
              <w:t>Provides a direct precedent for establishing and strengthening sustainable community-based prevention and response mechanisms, matching Expected Result 3.</w:t>
            </w:r>
          </w:p>
        </w:tc>
      </w:tr>
      <w:tr>
        <w:tc>
          <w:tcPr>
            <w:tcW w:type="dxa" w:w="1440"/>
          </w:tcPr>
          <w:p>
            <w:r/>
            <w:r>
              <w:t>Integrated Development Solutions for IDPs and Host Communities in Jubaland, Somalia</w:t>
            </w:r>
          </w:p>
        </w:tc>
        <w:tc>
          <w:tcPr>
            <w:tcW w:type="dxa" w:w="1440"/>
          </w:tcPr>
          <w:p>
            <w:r/>
            <w:r>
              <w:t>UNDP-Somalia</w:t>
            </w:r>
          </w:p>
        </w:tc>
        <w:tc>
          <w:tcPr>
            <w:tcW w:type="dxa" w:w="1440"/>
          </w:tcPr>
          <w:p>
            <w:r/>
            <w:r>
              <w:t>Somalia</w:t>
            </w:r>
          </w:p>
        </w:tc>
        <w:tc>
          <w:tcPr>
            <w:tcW w:type="dxa" w:w="1440"/>
          </w:tcPr>
          <w:p>
            <w:r/>
            <w:r>
              <w:t>2025</w:t>
            </w:r>
          </w:p>
        </w:tc>
        <w:tc>
          <w:tcPr>
            <w:tcW w:type="dxa" w:w="1440"/>
          </w:tcPr>
          <w:p>
            <w:r/>
            <w:r>
              <w:t>12-month programme delivered across five sequential phases — inception, institutional strengthening, economic recovery, security/protection, and MEL — for IDP and host-community populations</w:t>
            </w:r>
          </w:p>
        </w:tc>
        <w:tc>
          <w:tcPr>
            <w:tcW w:type="dxa" w:w="1440"/>
          </w:tcPr>
          <w:p>
            <w:r/>
            <w:r>
              <w:t>Evidences operational capability serving the same target-group categories named in the programme background — "internally displaced people (IDPs), refugees, returnees and host communities" — with an explicit protection phase.</w:t>
            </w:r>
          </w:p>
        </w:tc>
      </w:tr>
      <w:tr>
        <w:tc>
          <w:tcPr>
            <w:tcW w:type="dxa" w:w="1440"/>
          </w:tcPr>
          <w:p>
            <w:r/>
            <w:r>
              <w:t>Institutional Consultancy to Undertake Assessment of Out of School Children (OOSC) and Adolescents in Dadaab, Kakuma and Kalobeyei Settlement Areas</w:t>
            </w:r>
          </w:p>
        </w:tc>
        <w:tc>
          <w:tcPr>
            <w:tcW w:type="dxa" w:w="1440"/>
          </w:tcPr>
          <w:p>
            <w:r/>
            <w:r>
              <w:t>UNICEF</w:t>
            </w:r>
          </w:p>
        </w:tc>
        <w:tc>
          <w:tcPr>
            <w:tcW w:type="dxa" w:w="1440"/>
          </w:tcPr>
          <w:p>
            <w:r/>
            <w:r>
              <w:t>Kenya</w:t>
            </w:r>
          </w:p>
        </w:tc>
        <w:tc>
          <w:tcPr>
            <w:tcW w:type="dxa" w:w="1440"/>
          </w:tcPr>
          <w:p>
            <w:r/>
            <w:r>
              <w:t>2024</w:t>
            </w:r>
          </w:p>
        </w:tc>
        <w:tc>
          <w:tcPr>
            <w:tcW w:type="dxa" w:w="1440"/>
          </w:tcPr>
          <w:p>
            <w:r/>
            <w:r>
              <w:t>Mixed-methods assessment across three refugee-settlement locations, including tool design, data collection and risk-managed field mobility in constrained-access sites</w:t>
            </w:r>
          </w:p>
        </w:tc>
        <w:tc>
          <w:tcPr>
            <w:tcW w:type="dxa" w:w="1440"/>
          </w:tcPr>
          <w:p>
            <w:r/>
            <w:r>
              <w:t>Demonstrates the child rights monitoring and data-collection systems required by Expected Result 9, executed under access and mobility constraints comparable to Sudan's "newly accessible and hard to reach areas."</w:t>
            </w:r>
          </w:p>
        </w:tc>
      </w:tr>
      <w:tr>
        <w:tc>
          <w:tcPr>
            <w:tcW w:type="dxa" w:w="1440"/>
          </w:tcPr>
          <w:p>
            <w:r/>
            <w:r>
              <w:t>Endline Evaluation of the SOM_DANIDA SPA 2022–2025 Programme (Lot HUM and Lot CIV)</w:t>
            </w:r>
          </w:p>
        </w:tc>
        <w:tc>
          <w:tcPr>
            <w:tcW w:type="dxa" w:w="1440"/>
          </w:tcPr>
          <w:p>
            <w:r/>
            <w:r>
              <w:t>Save the Children Somalia Country Office</w:t>
            </w:r>
          </w:p>
        </w:tc>
        <w:tc>
          <w:tcPr>
            <w:tcW w:type="dxa" w:w="1440"/>
          </w:tcPr>
          <w:p>
            <w:r/>
            <w:r>
              <w:t>Somalia</w:t>
            </w:r>
          </w:p>
        </w:tc>
        <w:tc>
          <w:tcPr>
            <w:tcW w:type="dxa" w:w="1440"/>
          </w:tcPr>
          <w:p>
            <w:r/>
            <w:r>
              <w:t>2025</w:t>
            </w:r>
          </w:p>
        </w:tc>
        <w:tc>
          <w:tcPr>
            <w:tcW w:type="dxa" w:w="1440"/>
          </w:tcPr>
          <w:p>
            <w:r/>
            <w:r>
              <w:t>90-day evaluation of an integrated multi-sectoral programme in Baidoa spanning education, child protection, youth livelihoods and civil society strengthening, grounded in child-rights and ethical research standards</w:t>
            </w:r>
          </w:p>
        </w:tc>
        <w:tc>
          <w:tcPr>
            <w:tcW w:type="dxa" w:w="1440"/>
          </w:tcPr>
          <w:p>
            <w:r/>
            <w:r>
              <w:t>Directly relevant to Expected Result 7 and 8, evidencing evaluative and capacity-assessment work on child protection service delivery and civil society/workforce strengthening.</w:t>
            </w:r>
          </w:p>
        </w:tc>
      </w:tr>
      <w:tr>
        <w:tc>
          <w:tcPr>
            <w:tcW w:type="dxa" w:w="1440"/>
          </w:tcPr>
          <w:p>
            <w:r/>
            <w:r>
              <w:t>Roots of Resilience: Community-Led Prevention of Violent Extremism in Baay and Bakool, Somalia</w:t>
            </w:r>
          </w:p>
        </w:tc>
        <w:tc>
          <w:tcPr>
            <w:tcW w:type="dxa" w:w="1440"/>
          </w:tcPr>
          <w:p>
            <w:r/>
            <w:r>
              <w:t>GCERF (Global Community Engagement and Resilience Fund)</w:t>
            </w:r>
          </w:p>
        </w:tc>
        <w:tc>
          <w:tcPr>
            <w:tcW w:type="dxa" w:w="1440"/>
          </w:tcPr>
          <w:p>
            <w:r/>
            <w:r>
              <w:t>Somalia</w:t>
            </w:r>
          </w:p>
        </w:tc>
        <w:tc>
          <w:tcPr>
            <w:tcW w:type="dxa" w:w="1440"/>
          </w:tcPr>
          <w:p>
            <w:r/>
            <w:r>
              <w:t>2025</w:t>
            </w:r>
          </w:p>
        </w:tc>
        <w:tc>
          <w:tcPr>
            <w:tcW w:type="dxa" w:w="1440"/>
          </w:tcPr>
          <w:p>
            <w:r/>
            <w:r>
              <w:t>28-month initiative delivering 12 Community Peace Circles, mediation training, 8 vocational training hubs and 250 microgrants for youth and women entrepreneurs</w:t>
            </w:r>
          </w:p>
        </w:tc>
        <w:tc>
          <w:tcPr>
            <w:tcW w:type="dxa" w:w="1440"/>
          </w:tcPr>
          <w:p>
            <w:r/>
            <w:r>
              <w:t>Confirms delivery capability for community-based prevention and social-cohesion mechanisms called for under Expected Result 3, at comparable multi-site scale to Sudan's named locations.</w:t>
            </w:r>
          </w:p>
        </w:tc>
      </w:tr>
      <w:tr>
        <w:tc>
          <w:tcPr>
            <w:tcW w:type="dxa" w:w="1440"/>
          </w:tcPr>
          <w:p>
            <w:r/>
            <w:r>
              <w:t>School Safety and Learning Continuity Climate Smart Education Systems Initiative (CSESI) Somalia</w:t>
            </w:r>
          </w:p>
        </w:tc>
        <w:tc>
          <w:tcPr>
            <w:tcW w:type="dxa" w:w="1440"/>
          </w:tcPr>
          <w:p>
            <w:r/>
            <w:r>
              <w:t>Save the Children Somalia Country Office</w:t>
            </w:r>
          </w:p>
        </w:tc>
        <w:tc>
          <w:tcPr>
            <w:tcW w:type="dxa" w:w="1440"/>
          </w:tcPr>
          <w:p>
            <w:r/>
            <w:r>
              <w:t>Somalia</w:t>
            </w:r>
          </w:p>
        </w:tc>
        <w:tc>
          <w:tcPr>
            <w:tcW w:type="dxa" w:w="1440"/>
          </w:tcPr>
          <w:p>
            <w:r/>
            <w:r>
              <w:t>2026</w:t>
            </w:r>
          </w:p>
        </w:tc>
        <w:tc>
          <w:tcPr>
            <w:tcW w:type="dxa" w:w="1440"/>
          </w:tcPr>
          <w:p>
            <w:r/>
            <w:r>
              <w:t>Development of school safety and learning-continuity technical materials for a climate-resilient education systems initiative in a fragile operating context</w:t>
            </w:r>
          </w:p>
        </w:tc>
        <w:tc>
          <w:tcPr>
            <w:tcW w:type="dxa" w:w="1440"/>
          </w:tcPr>
          <w:p>
            <w:r/>
            <w:r>
              <w:t>Provides a transferable model for protection-in-emergencies awareness and behaviour-change materials development, relevant to the risk-education approach required under Expected Result 4.</w:t>
            </w:r>
          </w:p>
        </w:tc>
      </w:tr>
    </w:tbl>
    <w:p>
      <w:r>
        <w:br w:type="page"/>
      </w:r>
    </w:p>
    <w:p>
      <w:pPr>
        <w:pStyle w:val="Heading1"/>
      </w:pPr>
      <w:r>
        <w:t>Introduction, Background &amp; Conceptual Framework</w:t>
      </w:r>
    </w:p>
    <w:p>
      <w:pPr>
        <w:pStyle w:val="Heading2"/>
      </w:pPr>
      <w:r>
        <w:t>5.1 Context and Strategic Importance</w:t>
      </w:r>
    </w:p>
    <w:p>
      <w:r>
        <w:t>Sudan continues to experience what UNICEF describes as "one of the world's largest and complex humanitarian crises," a crisis that has intensified sharply since the escalation of conflict in April 2023. Protracted armed conflict, widespread displacement, economic deterioration, collapse of basic services, disease outbreaks and food insecurity have combined to place millions of children at risk of "grave violations" — killing and maiming, recruitment and use, abduction, sexual violence, attacks on schools and hospitals, and denial of humanitarian access — while breakdown of family and community protection mechanisms and extensive "landmines, and unexploded ordnance (UXO)" contamination have further eroded the protective environment for "internally displaced people (IDPs), refugees, returnees and host communities" across conflict affected, newly accessible and hard to reach areas. Against this backdrop, UNICEF Sudan is establishing a pool of qualified Civil Society Organizations (CSOs), under donor reference CEF/SDN/2026/041, to support implementation of the Child Protection Programme Sudan (2026–2028) over a 24-month period running from 1 October 2026 to 31 October 2028.</w:t>
      </w:r>
    </w:p>
    <w:p>
      <w:pPr>
        <w:pStyle w:val="Heading2"/>
      </w:pPr>
      <w:r>
        <w:t>5.2 Purpose and Objectives</w:t>
      </w:r>
    </w:p>
    <w:p>
      <w:r>
        <w:t>The purpose of the call is to pre-qualify CSOs able to support "lifesaving and integrated child protection services, system strengthening, and community engagement" in partnership with UNICEF, government counterparts, United Nations agencies and other humanitarian partners. The stated overall objective is to ensure that "girls, boys, adolescents and caregivers affected by conflict, displacement, climate related shocks and other humanitarian emergencies have equitable access to timely, quality, inclusive and integrated child protection services," while "national and community-based child protection systems are strengthened to sustainably prevent and respond to violence, abuse, neglect, exploitation and harmful practices."</w:t>
      </w:r>
    </w:p>
    <w:p>
      <w:pPr>
        <w:pStyle w:val="Heading2"/>
      </w:pPr>
      <w:r>
        <w:t>5.3 Our Interpretation of the Assignment</w:t>
      </w:r>
    </w:p>
    <w:p>
      <w:r>
        <w:t>Cortech interprets this call not as a request for a single bounded contract but as a qualification exercise that will feed subsequent, separately negotiated grant partnerships across the programme's lifespan — applicants are being screened for standing capability against nine named Expected Results rather than for a fixed scope, budget or timeline. A significant, unstated implication follows from the compressed review window: with Notification of Results falling on 31 August 2026, a single day after the 30 August application deadline, the assessment is almost certainly a documentary compliance and eligibility screen rather than a comparative scored technical evaluation, meaning the completeness and accuracy of the submission against whatever mandatory form and annex list the UN Partner Portal record (project ID 21595) prescribes will determine qualification at least as much as narrative quality. A further implication is that, because the procurement type is Grant rather than service contract and no budget ceiling or rate structure is disclosed at this stage, financial terms will be established only once a CSO is drawn from the pool for a specific grant agreement tied to defined Expected Results and locations — the present submission should therefore demonstrate readiness to be called upon flexibly rather than commit to a single delivery plan.</w:t>
      </w:r>
    </w:p>
    <w:p>
      <w:pPr>
        <w:pStyle w:val="Heading2"/>
      </w:pPr>
      <w:r>
        <w:t>5.4 Key Evaluation Questions</w:t>
      </w:r>
    </w:p>
    <w:p>
      <w:r>
        <w:t>The source documents available to Cortech do not present a formal scoring matrix or a list of interrogative evaluation questions; the call notice and the associated platform record instead frame programme intent through nine stated Expected Results, which function as the operative test of capability against which applicants are being screened. Reproduced in the client's own wording, these are:</w:t>
      </w:r>
    </w:p>
    <w:p>
      <w:pPr>
        <w:pStyle w:val="ListNumber"/>
      </w:pPr>
      <w:r>
        <w:t>Vulnerable children, adolescents and caregivers access quality, integrated and lifesaving child protection services.</w:t>
      </w:r>
    </w:p>
    <w:p>
      <w:pPr>
        <w:pStyle w:val="ListNumber"/>
      </w:pPr>
      <w:r>
        <w:t>Children at risk of violence, abuse, neglect, and exploitation receive specialized child protection services through timely identification, referral and case management.</w:t>
      </w:r>
    </w:p>
    <w:p>
      <w:pPr>
        <w:pStyle w:val="ListNumber"/>
      </w:pPr>
      <w:r>
        <w:t>Communities establish and strengthen sustainable mechanisms to prevent and respond to child protection risks.</w:t>
      </w:r>
    </w:p>
    <w:p>
      <w:pPr>
        <w:pStyle w:val="ListNumber"/>
      </w:pPr>
      <w:r>
        <w:t>Children, adolescents and communities have increased awareness of explosive ordnance risks and adopt safer behaviours.</w:t>
      </w:r>
    </w:p>
    <w:p>
      <w:pPr>
        <w:pStyle w:val="ListNumber"/>
      </w:pPr>
      <w:r>
        <w:t>Girls and boys exposed to violence, exploitation and conflict-related harm have improved access to inclusive timely, safe, confidential, survivor centered services, justice and support services.</w:t>
      </w:r>
    </w:p>
    <w:p>
      <w:pPr>
        <w:pStyle w:val="ListNumber"/>
      </w:pPr>
      <w:r>
        <w:t>Children and adolescents participate meaningfully in decisions affecting their protection and wellbeing.</w:t>
      </w:r>
    </w:p>
    <w:p>
      <w:pPr>
        <w:pStyle w:val="ListNumber"/>
      </w:pPr>
      <w:r>
        <w:t>Government institutions and social service workforce have improved capacity to coordinate and deliver child protection services.</w:t>
      </w:r>
    </w:p>
    <w:p>
      <w:pPr>
        <w:pStyle w:val="ListNumber"/>
      </w:pPr>
      <w:r>
        <w:t>National and subnational child protection systems are strengthened through improved policies, coordination mechanisms, workforce development, and evidence generation.</w:t>
      </w:r>
    </w:p>
    <w:p>
      <w:pPr>
        <w:pStyle w:val="ListNumber"/>
      </w:pPr>
      <w:r>
        <w:t>Child rights monitoring and data collection informs programme responses and advocacy strategies, and children have improved access to birth registration and related civil registration services, particularly through strengthened systems, outreach and community awareness.</w:t>
      </w:r>
    </w:p>
    <w:p>
      <w:pPr>
        <w:pStyle w:val="Heading2"/>
      </w:pPr>
      <w:r>
        <w:t>5.5 Deliverables</w:t>
      </w:r>
    </w:p>
    <w:p>
      <w:r>
        <w:t>The immediate deliverable of this call, from the applicant's side, is admission to UNICEF Sudan's pool of qualified Civil Society Organizations able to be engaged against subsequent grant partnerships. The programmatic deliverables that qualification is being tested against are the nine Expected Results reproduced in 5.4 above, spanning direct lifesaving service delivery, specialized case management and referral, community-based prevention mechanisms, explosive ordnance risk education, survivor centered response and justice support, child participation platforms, government and social service workforce capacity building, national and subnational systems strengthening, and child rights monitoring paired with birth registration and related civil registration support.</w:t>
      </w:r>
    </w:p>
    <w:p>
      <w:pPr>
        <w:pStyle w:val="Heading2"/>
      </w:pPr>
      <w:r>
        <w:t>5.6 Understanding of Success</w:t>
      </w:r>
    </w:p>
    <w:p>
      <w:r>
        <w:t>Success at this stage means demonstrating, to UNICEF Sudan's satisfaction, standing operational and technical capacity to be called upon across a substantial cross-section of the seventeen named locations — Sennar, South Kordofan, Blue Nile, White Nile, East Darfur, West Kordofan, Central Darfur, Northern, Red Sea, South Darfur, West Darfur, Kassala, Gedaref, Gezira, Khartoum, River Nile and North Darfur — and across multiple Expected Results simultaneously, rather than a single fixed intervention. It further means evidencing the ability to sustain service continuity under the "repeated population movements, fluctuating frontlines, access constraints, and varying administrative arrangements" the client explicitly names, and to coordinate operationally with "government counterparts, civil society organizations, United Nations agencies and humanitarian partners" from the outset of any grant partnership drawn from the pool.</w:t>
      </w:r>
    </w:p>
    <w:p>
      <w:pPr>
        <w:pStyle w:val="Heading2"/>
      </w:pPr>
      <w:r>
        <w:t>SECTION 2 — CONCEPTUAL FRAMEWORK</w:t>
      </w:r>
    </w:p>
    <w:p>
      <w:r>
        <w:t>The call documents do not prescribe an analytical framework, consistent with their nature as a pool-qualification notice rather than a scoped evaluation ToR. Cortech applies a Theory of Change built on the programme's own results architecture, organising the nine Expected Results into three interlocking tiers that mirror the socio-ecological model standard to child protection systems strengthening: direct, lifesaving service delivery to the individual child and caregiver (Expected Results 1, 2 and 5); community-level prevention and response, including explosive ordnance risk education and child participation (Expected Results 3, 4 and 6); and national and subnational systems strengthening, spanning government and social service workforce capacity, policy and coordination, and evidence generation (Expected Results 7, 8 and 9). This tiered structure is used deliberately rather than a flat list, because the programme's own theory of change treats individual service access, community protective mechanisms, and institutional systems as mutually reinforcing rather than sequential — a child's access to survivor centered case management depends on referral pathways that in turn depend on both trained community focal points and a functioning social service workforce, and Cortech's technical response is structured to show capability at each tier concurrently rather than in isolation.</w:t>
      </w:r>
    </w:p>
    <w:p>
      <w:r>
        <w:t>Within this structure, two cross-cutting principles are applied as design constraints rather than as separate workstreams. First, the survivor centered approach — safety, confidentiality, non-discrimination and respect for the wishes of the child or caregiver — governs the design of any case management, referral or GBV-related service component, consistent with the client's own language of "safe, confidential, survivor centered services." Second, an embedded monitoring, evaluation and learning function, drawing on Cortech's operational use of KoboToolbox for structured field data collection, SPSS for quantitative analysis and GIS/QGIS for spatial mapping of service coverage across the named Sudan locations, is treated as integral to Expected Result 9 rather than as an end-of-programme add-on, so that child rights monitoring and data collection can inform programme adjustment in near real time given the volatility of frontlines and access. Where OECD DAC criteria are applicable to any subsequent grant agreement's reporting requirements — relevance, effectiveness, efficiency, and sustainability in particular — these are retained as a common reporting language with UNICEF Sudan and its government and UN agency counterparts, without displacing the results-based structure that the programme documents themselves establish. This combination — a tiered theory of change matched to the nine Expected Results, survivor centered design discipline, and embedded MEL — gives UNICEF Sudan a framework it can use to verify, tier by tier and location by location, exactly what a partnership with Cortech would deliver once drawn from the pool.</w:t>
      </w:r>
    </w:p>
    <w:p>
      <w:r>
        <w:br w:type="page"/>
      </w:r>
    </w:p>
    <w:p>
      <w:pPr>
        <w:pStyle w:val="Heading1"/>
      </w:pPr>
      <w:r>
        <w:t>Technical Methodology</w:t>
      </w:r>
    </w:p>
    <w:p>
      <w:pPr>
        <w:pStyle w:val="Heading2"/>
      </w:pPr>
      <w:r>
        <w:t>Methodology</w:t>
      </w:r>
    </w:p>
    <w:p>
      <w:pPr>
        <w:pStyle w:val="Heading3"/>
      </w:pPr>
      <w:r>
        <w:t>1. Overall Approach</w:t>
      </w:r>
    </w:p>
    <w:p>
      <w:r>
        <w:t>The Call to establish a pool of qualified Civil Society Organizations (CSOs) to support implementation of UNICEF Sudan Child Protection Programme (2026–2028) (donor reference CEF/SDN/2026/041) does not define a single, bounded scope of work; it defines nine Expected Results against which UNICEF Sudan will call down qualified CSOs for grant partnerships over the programme's 24-month duration (Oct 1, 2026 – Oct 31, 2028). Cortech's methodology is therefore built around two linked propositions: first, that a CSO entering the pool must demonstrate a decidable, results-specific method for each of the nine Expected Results rather than a generic child protection narrative; and second, that delivery across a nearly nationwide footprint — Sennar, South Kordofan, Blue Nile, White Nile, East Darfur, West Kordofan, Central Darfur, Northern, Red Sea, South Darfur, West Darfur, Kassala, Gedaref, Gezira, Khartoum, River Nile and North Darfur — requires a partnership architecture rather than a single-organization delivery model.</w:t>
      </w:r>
    </w:p>
    <w:p>
      <w:r>
        <w:t>Cortech's positioning within the pool combines direct technical delivery in monitoring, evaluation, learning, case management systems design, and capacity building of the social service workforce, with a consortium arrangement alongside Sudan-based CSOs holding established community presence, Arabic-speaking frontline case workers, and existing access relationships in conflict affected, newly accessible and hard to reach areas. This mirrors Cortech's operating model in comparable protracted-conflict caseloads — including its role as technical and MEL partner to HIDIG Relief &amp; Development Organization on the UNFPA Somalia reproductive health and GBV response programme (2026) and to SRDI on the UNDP-Somalia integrated IDP/host community programme in Jubaland (2025) — where Cortech supplied MEL architecture, case documentation systems and evidence generation while local partners retained frontline service continuity under access constraints comparable to those described for Sudan: population movements, fluctuating frontlines and varying administrative arrangements.</w:t>
      </w:r>
    </w:p>
    <w:p>
      <w:r>
        <w:t>The design logic sequences activities so that each Expected Result is addressed through a distinct, traceable method rather than folded into a single undifferentiated "child protection" activity list. Diagnostic and mapping work informs case management and referral system design; community-level mechanisms are built on the mapping findings; explosive ordnance risk education and survivor-centered GBV services are layered onto the established referral pathway rather than run in parallel; and systems-strengthening, child rights monitoring and birth registration support are treated as the sustainability layer that outlives any single grant partnership.</w:t>
      </w:r>
    </w:p>
    <w:p>
      <w:pPr>
        <w:pStyle w:val="Heading3"/>
      </w:pPr>
      <w:r>
        <w:t>2. Phase-by-Phase Breakdown</w:t>
      </w:r>
    </w:p>
    <w:p>
      <w:r>
        <w:rPr>
          <w:b/>
        </w:rPr>
        <w:t>Phase I – Pool Activation and Inception (weeks 1–4 of any activated grant partnership).</w:t>
      </w:r>
      <w:r>
        <w:t xml:space="preserve"> On notification of selection into the pool and subsequent call-down for a specific location or Expected Result, Cortech convenes an inception meeting with the relevant UNICEF Sudan Field Office and named government counterparts to confirm the applicable states, target caseload (girls, boys, adolescents and caregivers), and coordination arrangements with United Nations agencies and humanitarian partners already active in that location. Output: signed inception report and activity-specific work plan.</w:t>
      </w:r>
    </w:p>
    <w:p>
      <w:r>
        <w:rPr>
          <w:b/>
        </w:rPr>
        <w:t>Phase II – Contextualization and Access Mapping (weeks 3–8).</w:t>
      </w:r>
      <w:r>
        <w:t xml:space="preserve"> A rapid protection and access assessment is conducted in the activated location(s), using key informant interviews (KIIs) with community leaders, existing child protection sub-cluster members and local authorities, plus secondary review of displacement tracking data, to establish current population movement patterns, frontline volatility and administrative arrangements. Output: access and risk map (GIS/QGIS) updated on a rolling basis throughout implementation.</w:t>
      </w:r>
    </w:p>
    <w:p>
      <w:r>
        <w:rPr>
          <w:b/>
        </w:rPr>
        <w:t>Phase III – Service Delivery and Systems Strengthening (months 2–20).</w:t>
      </w:r>
      <w:r>
        <w:t xml:space="preserve"> This is the core implementation phase in which the deliverable-specific methods described in Section 3 are executed concurrently, sequenced so that case management infrastructure and referral pathways are operational before survivor-centered service rollout and community mechanism activation begin.</w:t>
      </w:r>
    </w:p>
    <w:p>
      <w:r>
        <w:rPr>
          <w:b/>
        </w:rPr>
        <w:t>Phase IV – Monitoring, Adaptive Management and Evidence Generation (continuous, with formal review points at months 6, 12 and 18).</w:t>
      </w:r>
      <w:r>
        <w:t xml:space="preserve"> Data collected through KoboToolbox is analyzed monthly and reviewed at scheduled learning sessions with UNICEF Sudan to adjust caseload prioritization in response to newly accessible areas or renewed displacement.</w:t>
      </w:r>
    </w:p>
    <w:p>
      <w:r>
        <w:rPr>
          <w:b/>
        </w:rPr>
        <w:t>Phase V – Reporting and Handover (final two months of each activated grant partnership, and at programme close, October 2028).</w:t>
      </w:r>
      <w:r>
        <w:t xml:space="preserve"> Consolidated narrative and data reports, disaggregated by location, sex, age and protection category, are submitted against the applicable Expected Results, with a systems-strengthening handover note documenting policy, coordination and workforce gains for continuity beyond the grant period.</w:t>
      </w:r>
    </w:p>
    <w:p>
      <w:pPr>
        <w:pStyle w:val="Heading3"/>
      </w:pPr>
      <w:r>
        <w:t>3. Deliverable-Specific Methods, Mapped to the Nine Expected Results</w:t>
      </w:r>
    </w:p>
    <w:p>
      <w:r>
        <w:rPr>
          <w:b/>
        </w:rPr>
        <w:t>Result 1 – Access to quality, integrated and lifesaving child protection services.</w:t>
      </w:r>
      <w:r>
        <w:t xml:space="preserve"> Mobile and static child protection service mapping conducted jointly with local partner CSOs; service-availability data collected via KoboToolbox from community focal points; output is a live service-referral directory updated monthly and shared with the child protection sub-cluster.</w:t>
      </w:r>
    </w:p>
    <w:p>
      <w:r>
        <w:rPr>
          <w:b/>
        </w:rPr>
        <w:t>Result 2 – Specialized services through identification, referral and case management.</w:t>
      </w:r>
      <w:r>
        <w:t xml:space="preserve"> Standardized case management protocols and referral pathway documentation are established, using UNICEF's inter-agency case management forms adapted to the Sudan context; case workers record intake, referral and follow-up data via secure KoboToolbox forms with restricted access; output is a functioning case management and referral tracking system with monthly caseload reports.</w:t>
      </w:r>
    </w:p>
    <w:p>
      <w:r>
        <w:rPr>
          <w:b/>
        </w:rPr>
        <w:t>Result 3 – Community mechanisms to prevent and respond to child protection risks.</w:t>
      </w:r>
      <w:r>
        <w:t xml:space="preserve"> Community Child Protection Committees are established or reactivated in each activated location through participatory mapping sessions (Participatory Action Research) with community leaders, women's groups and adolescent representatives; output is a documented committee structure with terms of reference and a locally owned action plan per site.</w:t>
      </w:r>
    </w:p>
    <w:p>
      <w:r>
        <w:rPr>
          <w:b/>
        </w:rPr>
        <w:t>Result 4 – Awareness of explosive ordnance risks and safer behaviours.</w:t>
      </w:r>
      <w:r>
        <w:t xml:space="preserve"> Explosive ordnance risk education sessions are delivered to children, adolescents and caregivers using UNICEF-endorsed messaging materials, with pre/post knowledge checks administered via KoboToolbox to household and school-based respondents; output is a behaviour-change tracking dataset analyzed in SPSS to measure knowledge retention across sessions.</w:t>
      </w:r>
    </w:p>
    <w:p>
      <w:r>
        <w:rPr>
          <w:b/>
        </w:rPr>
        <w:t>Result 5 – Inclusive, safe, confidential, survivor centered services.</w:t>
      </w:r>
      <w:r>
        <w:t xml:space="preserve"> GBV case referral protocols are aligned to the survivor centered approach (confidentiality, safety, respect, non-discrimination), with case documentation restricted to trained case workers; qualitative debrief interviews with service providers (not survivors directly, to preserve confidentiality) are coded in NVivo to identify service-quality gaps for corrective action.</w:t>
      </w:r>
    </w:p>
    <w:p>
      <w:r>
        <w:rPr>
          <w:b/>
        </w:rPr>
        <w:t>Result 6 – Meaningful child and adolescent participation.</w:t>
      </w:r>
      <w:r>
        <w:t xml:space="preserve"> Adolescent advisory structures are convened in each activated location using age-appropriate participatory tools; feedback is captured through facilitated focus group discussions and consolidated qualitative analysis in NVivo; output is a documented participation mechanism feeding into programme adaptive management decisions.</w:t>
      </w:r>
    </w:p>
    <w:p>
      <w:r>
        <w:rPr>
          <w:b/>
        </w:rPr>
        <w:t>Result 7 – Government and social service workforce capacity.</w:t>
      </w:r>
      <w:r>
        <w:t xml:space="preserve"> Training needs assessments are conducted with government counterparts and social service workforce members via structured KIIs; training curricula (case management, referral, psychosocial first aid) are delivered in cohort-based sessions with pre/post competency testing recorded in KoboToolbox; output is a workforce capacity tracker disaggregated by role and location.</w:t>
      </w:r>
    </w:p>
    <w:p>
      <w:r>
        <w:rPr>
          <w:b/>
        </w:rPr>
        <w:t>Result 8 – National and subnational systems strengthening.</w:t>
      </w:r>
      <w:r>
        <w:t xml:space="preserve"> Coordination mapping and policy gap analysis are conducted through document review and KIIs with government counterparts and child protection sub-cluster members; output is a systems-strengthening brief identifying specific coordination, policy and workforce-development recommendations per activated state.</w:t>
      </w:r>
    </w:p>
    <w:p>
      <w:r>
        <w:rPr>
          <w:b/>
        </w:rPr>
        <w:t>Result 9 – Child rights monitoring, data collection and birth registration.</w:t>
      </w:r>
      <w:r>
        <w:t xml:space="preserve"> A standardized child rights monitoring dataset is maintained using KoboToolbox for grave violations documentation aligned to Monitoring and Reporting Mechanism categories (killing and maiming, recruitment and use, abduction, sexual violence, attacks on schools and hospitals, denial of humanitarian access); outreach on birth registration is delivered jointly with civil registration authorities, tracked via household-level registration completion data; output is a quarterly child rights monitoring and civil registration progress report.</w:t>
      </w:r>
    </w:p>
    <w:p>
      <w:pPr>
        <w:pStyle w:val="Heading3"/>
      </w:pPr>
      <w:r>
        <w:t>4. Data Quality Assurance</w:t>
      </w:r>
    </w:p>
    <w:p>
      <w:r>
        <w:t>All primary data collection instruments are piloted in one activated location before nationwide rollout, with revisions logged against pilot findings. KoboToolbox forms incorporate skip logic, mandatory fields and range constraints to reduce enumerator error at point of entry, and all case-level and survivor-related data fields are access-restricted and encrypted in line with UNICEF's data protection standards. Data is downloaded, cleaned and validated by a designated MEL Officer using SPSS for quantitative datasets and NVivo for qualitative transcripts, with a documented cleaning log retained for audit. Spot-check re-interviews (a minimum sample drawn from each activated location) are conducted by supervisory staff to verify enumerator accuracy. All indicator data reported to UNICEF Sudan is cross-checked against the child protection sub-cluster's information management system before submission to identify and resolve double-counting or reporting gaps.</w:t>
      </w:r>
    </w:p>
    <w:p>
      <w:pPr>
        <w:pStyle w:val="Heading3"/>
      </w:pPr>
      <w:r>
        <w:t>5. Ethical Considerations Integration</w:t>
      </w:r>
    </w:p>
    <w:p>
      <w:r>
        <w:t>Implementation follows Cortech's Child Safeguarding Policy and PSEA compliance framework, both already in place, and is aligned to UNICEF's survivor centered principles across all GBV-related and case management activities. Informed consent (and, for children, informed assent with caregiver consent) is obtained prior to any data collection involving children or caregivers, with age-appropriate consent scripts translated into Arabic and delivered orally where literacy is a barrier. No case-level or survivor-identifying data is shared outside the established referral pathway without documented consent, and all case workers and enumerators undergo mandatory training on confidentiality, do-no-harm principles and referral obligations before deployment. Data collection in conflict affected, newly accessible and hard to reach areas is preceded by a location-specific risk screening, with activities suspended or relocated where access constraints or frontline volatility compromise the safety of respondents or staff. All ethical protocols are documented in an assignment-specific safeguarding annex submitted to UNICEF Sudan at inception of each activated grant partnership.</w:t>
      </w:r>
    </w:p>
    <w:p>
      <w:r>
        <w:br w:type="page"/>
      </w:r>
    </w:p>
    <w:p>
      <w:pPr>
        <w:pStyle w:val="Heading1"/>
      </w:pPr>
      <w:r>
        <w:t>Sampling Strategy &amp; Data Analysis Plan</w:t>
      </w:r>
    </w:p>
    <w:p>
      <w:pPr>
        <w:pStyle w:val="Heading2"/>
      </w:pPr>
      <w:r>
        <w:t>SECTION 1 — DATA COLLECTION APPROACH</w:t>
      </w:r>
    </w:p>
    <w:p>
      <w:r>
        <w:t>This assignment does not call for a household or population-level survey, and the data collection approach is accordingly not built around a probability sample. Cortech's contribution to the pool of qualified Civil Society Organizations relates to situational verification, protection risk mapping, and stakeholder consultation that will inform service design and monitoring across the nine Expected Results of the UNICEF Sudan Child Protection Programme (2026–2028) — not to prevalence estimation, which is not a stated requirement of the call. Respondents for Key Informant Interviews (KIIs) and Focus Group Discussions (FGDs) will therefore be purposively selected on the basis of role relevance and information richness rather than statistical representativeness. KII respondents will include UNICEF field-level focal points, government counterparts within state-level social welfare and child protection structures, Child Protection Area of Responsibility/Sub-cluster coordination actors, social service workforce members, and community-based child protection committee representatives operating in the named locations, with deliberate inclusion of respondents from conflict affected, newly accessible and hard to reach areas as well as more accessible states such as Khartoum, Gezira and River Nile. FGDs will be convened separately with caregivers, and with adolescent girls and boys disaggregated by sex and age band, alongside representatives of internally displaced people (IDPs), refugees, returnees and host communities, to capture differentiated protection risks and access barriers across displacement status. Selection will further ensure coverage of survivor-facing service points where safe, confidential, survivor centered protocols apply, with participation of GBV case workers and referral pathway actors subject to informed consent and Cortech's child safeguarding and PSEA procedures. This purposive, criterion-based logic is appropriate to a consultative and monitoring-oriented exercise feeding into programme design and the child rights monitoring and data collection function, rather than to a statistically generalizable survey.</w:t>
      </w:r>
    </w:p>
    <w:p>
      <w:pPr>
        <w:pStyle w:val="Heading2"/>
      </w:pPr>
      <w:r>
        <w:t>SECTION 2 — DATA ANALYSIS PLAN</w:t>
      </w:r>
    </w:p>
    <w:p>
      <w:r>
        <w:t>Cortech will operate a dual-track analysis process aligned to the nature of the two data streams generated under this assignment. Quantitative data — service and case management statistics, output-level indicator data drawn from UNICEF and partner management information systems, and structured observation checklists collected through KoboToolbox — will be cleaned, coded, and analyzed in SPSS. Analysis will be descriptive rather than inferential, given the non-probability basis of the exercise: frequencies, cross-tabulations, and trend comparisons will be disaggregated by state (covering the named locations from Sennar to North Darfur), sex, age band, and displacement status (IDPs, refugees, returnees, host communities), consistent with UNICEF's own disaggregation practice for girls, boys, adolescents and caregivers. This produces a location-by-location profile of service coverage, case referral flow, and workforce capacity that can be read against each of the nine Expected Results.</w:t>
      </w:r>
    </w:p>
    <w:p>
      <w:r>
        <w:t>Qualitative data from KIIs and FGDs will be transcribed, translated where necessary between Arabic and English, and coded in NVivo using a coding framework built directly around the nine Expected Results — lifesaving service access, case management and referral, community-based prevention mechanisms, explosive ordnance risk awareness, survivor centered GBV and justice services, child participation, government and social service workforce capacity, systems strengthening, and child rights monitoring and birth registration. Thematic analysis will identify convergent and divergent narratives across states and stakeholder categories.</w:t>
      </w:r>
    </w:p>
    <w:p>
      <w:r>
        <w:t>Triangulation will follow a convergence approach: quantitative service-statistics findings will be set against qualitative thematic findings for each Expected Result to confirm consistency, flag contradictions for follow-up verification with the relevant government counterpart or UNICEF field office, and produce a single evidence base feeding UNICEF's child rights monitoring and data collection and advocacy strategies.</w:t>
      </w:r>
    </w:p>
    <w:p>
      <w:r>
        <w:br w:type="page"/>
      </w:r>
    </w:p>
    <w:p>
      <w:pPr>
        <w:pStyle w:val="Heading1"/>
      </w:pPr>
      <w:r>
        <w:t>Quality Assurance &amp; Ethical Considerations</w:t>
      </w:r>
    </w:p>
    <w:p>
      <w:r>
        <w:t>SECTION 1 — QUALITY ASSURANCE FRAMEWORK</w:t>
      </w:r>
    </w:p>
    <w:p>
      <w:r>
        <w:t>Cortech's quality assurance approach for the UNICEF Sudan Child Protection Programme (2026–2028) is built on three principles — accuracy of eligibility documentation, integrity of service data, and consistency of reporting against the programme's nine Expected Results — embedded at each stage of engagement rather than applied retrospectively.</w:t>
      </w:r>
    </w:p>
    <w:p>
      <w:r>
        <w:t xml:space="preserve">At the </w:t>
      </w:r>
      <w:r>
        <w:rPr>
          <w:b/>
        </w:rPr>
        <w:t>Pool Qualification and Documentation Stage</w:t>
      </w:r>
      <w:r>
        <w:t>, all eligibility materials, registration records, safeguarding policies, and past-performance evidence submitted in response to CEF/SDN/2026/041 undergo internal peer review by a senior reviewer independent of the drafting team, checking alignment with the call's stated locations, the client's own terminology for target groups (girls, boys, adolescents and caregivers; IDPs, refugees, returnees and host communities), and completeness against any checklist confirmed from the underlying UN Partner Portal record (project ID 21595).</w:t>
      </w:r>
    </w:p>
    <w:p>
      <w:r>
        <w:t xml:space="preserve">At the </w:t>
      </w:r>
      <w:r>
        <w:rPr>
          <w:b/>
        </w:rPr>
        <w:t>Engagement and Work Planning Stage</w:t>
      </w:r>
      <w:r>
        <w:t>, once selected into the pool, each assignment-specific work plan — whether addressing case management, community-based mechanisms, explosive ordnance risk awareness, or systems strengthening — is reviewed against the specific Expected Result it targets before field mobilisation, with indicators cross-checked against UNICEF's child rights monitoring and data collection requirements.</w:t>
      </w:r>
    </w:p>
    <w:p>
      <w:r>
        <w:t xml:space="preserve">At the </w:t>
      </w:r>
      <w:r>
        <w:rPr>
          <w:b/>
        </w:rPr>
        <w:t>Service Delivery and Data Collection Stage</w:t>
      </w:r>
      <w:r>
        <w:t>, KoboToolbox forms are configured with mandatory fields, skip logic, and consistency checks for case management, referral tracking, and community mechanism monitoring across the named states, with field supervisors conducting spot-checks and back-checks in accessible locations and remote verification protocols applied in conflict affected, newly accessible and hard to reach areas where physical access is constrained.</w:t>
      </w:r>
    </w:p>
    <w:p>
      <w:r>
        <w:t xml:space="preserve">At the </w:t>
      </w:r>
      <w:r>
        <w:rPr>
          <w:b/>
        </w:rPr>
        <w:t>Reporting and Client Feedback Stage</w:t>
      </w:r>
      <w:r>
        <w:t>, draft outputs are reviewed internally before submission to UNICEF Sudan, with a structured feedback loop allowing UNICEF counterparts, government counterparts, and coordinating UN agencies to flag revisions within an agreed turnaround, and a final sign-off log maintained for each deliverable across the 24-month period (October 2026–October 2028).</w:t>
      </w:r>
    </w:p>
    <w:p>
      <w:r>
        <w:t>SECTION 2 — ETHICAL CONSIDERATIONS AND SAFEGUARDING</w:t>
      </w:r>
    </w:p>
    <w:p>
      <w:r>
        <w:t>Cortech's engagement in the UNICEF Sudan Child Protection Programme (2026–2028) is governed by its ISO certification, its child safeguarding policy, and its PSEA policy compliance, applied without modification across all locations named in the call — including Khartoum, Gezira, Kassala, Gedaref, River Nile, Northern, Red Sea, White Nile, Sennar, Blue Nile, South Kordofan, West Kordofan, the Darfur states (North, South, East, West and Central Darfur) — reflecting the near-nationwide scope of the assignment.</w:t>
      </w:r>
    </w:p>
    <w:p>
      <w:r>
        <w:t>Informed consent procedures are age-appropriate and applied to girls, boys, adolescents and caregivers engaged through case management, community-based mechanisms, and child participation activities, with assent obtained from children and consent from caregivers or guardians wherever family structures permit, and alternative safeguards applied where family separation has occurred — a documented reality of the current crisis. Data protection protocols restrict identifying case-level information to authorised case workers, store data on access-controlled digital systems, and apply anonymisation before any information is used for child rights monitoring, advocacy, or reporting purposes, consistent with UNICEF's own requirement for "safe, confidential, survivor centered services."</w:t>
      </w:r>
    </w:p>
    <w:p>
      <w:r>
        <w:t>Protection of survivors of gender-based violence and other grave violations follows survivor-centered principles: confidentiality by default, no data sharing without explicit informed consent, and referral only through verified pathways. Given the explicit absence of a stated ethical clearance procedure in the source documents available to Cortech, any additional ethical review, PSEA reporting template, or safeguarding annex specified in the underlying call PDFs or the UN Partner Portal record (project ID 21595) will be adopted in full once confirmed, rather than assumed.</w:t>
      </w:r>
    </w:p>
    <w:p>
      <w:r>
        <w:t>Do-no-harm principles are applied to fieldwork planning in light of the stated "repeated population movements, fluctuating frontlines, access constraints, and varying administrative arrangements," including conflict-sensitivity screening before entry into newly accessible areas, coordination with government counterparts and humanitarian access focal points, and contingency protocols to suspend or reroute activity where security conditions change, protecting both affected children and communities and Cortech's own field personnel.</w:t>
      </w:r>
    </w:p>
    <w:p>
      <w:r>
        <w:br w:type="page"/>
      </w:r>
    </w:p>
    <w:p>
      <w:pPr>
        <w:pStyle w:val="Heading1"/>
      </w:pPr>
      <w:r>
        <w:t>Risk Management</w:t>
      </w:r>
    </w:p>
    <w:p>
      <w:r>
        <w:t>Cortech Consulting Group has implemented protection, GBV response and community engagement assignments across active conflict and displacement settings in Somalia, including Hirshabelle and South West States under UNFPA and Baay and Bakool under GCERF, and draws directly on that operating experience in constructing the risk register below. Sudan's operating environment — described in the programme background as characterised by "repeated population movements, fluctuating frontlines, access constraints, and varying administrative arrangements" — requires a risk framework that is reviewed and revised continuously rather than fixed at inception. The register below reflects the specific hazards anticipated across the named locations (Sennar, South Kordofan, Blue Nile, White Nile, East Darfur, West Kordofan, Central Darfur, Northern, Red Sea, South Darfur, West Darfur, Kassala, Gedaref, Gezira, Khartoum, River Nile and North Darfur) and the nine Expected Results of the Child Protection Programme.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Risk Category</w:t>
            </w:r>
          </w:p>
        </w:tc>
        <w:tc>
          <w:tcPr>
            <w:tcW w:type="dxa" w:w="1728"/>
          </w:tcPr>
          <w:p>
            <w:r>
              <w:rPr>
                <w:b/>
              </w:rPr>
            </w:r>
            <w:r>
              <w:rPr>
                <w:b/>
              </w:rPr>
              <w:t>Description</w:t>
            </w:r>
          </w:p>
        </w:tc>
        <w:tc>
          <w:tcPr>
            <w:tcW w:type="dxa" w:w="1728"/>
          </w:tcPr>
          <w:p>
            <w:r>
              <w:rPr>
                <w:b/>
              </w:rPr>
            </w:r>
            <w:r>
              <w:rPr>
                <w:b/>
              </w:rPr>
              <w:t>Likelihood</w:t>
            </w:r>
          </w:p>
        </w:tc>
        <w:tc>
          <w:tcPr>
            <w:tcW w:type="dxa" w:w="1728"/>
          </w:tcPr>
          <w:p>
            <w:r>
              <w:rPr>
                <w:b/>
              </w:rPr>
            </w:r>
            <w:r>
              <w:rPr>
                <w:b/>
              </w:rPr>
              <w:t>Impact</w:t>
            </w:r>
          </w:p>
        </w:tc>
        <w:tc>
          <w:tcPr>
            <w:tcW w:type="dxa" w:w="1728"/>
          </w:tcPr>
          <w:p>
            <w:r>
              <w:rPr>
                <w:b/>
              </w:rPr>
            </w:r>
            <w:r>
              <w:rPr>
                <w:b/>
              </w:rPr>
              <w:t>Mitigation</w:t>
            </w:r>
          </w:p>
        </w:tc>
      </w:tr>
      <w:tr>
        <w:tc>
          <w:tcPr>
            <w:tcW w:type="dxa" w:w="1728"/>
          </w:tcPr>
          <w:p>
            <w:r/>
            <w:r>
              <w:t>Field access and security</w:t>
            </w:r>
          </w:p>
        </w:tc>
        <w:tc>
          <w:tcPr>
            <w:tcW w:type="dxa" w:w="1728"/>
          </w:tcPr>
          <w:p>
            <w:r/>
            <w:r>
              <w:t>Fluctuating frontlines and shifting administrative control across conflict affected, newly accessible and hard to reach areas (notably South Kordofan, Blue Nile, West Kordofan, Central Darfur, North Darfur and South Darfur) may restrict or suspend movement of case management and community engagement teams.</w:t>
            </w:r>
          </w:p>
        </w:tc>
        <w:tc>
          <w:tcPr>
            <w:tcW w:type="dxa" w:w="1728"/>
          </w:tcPr>
          <w:p>
            <w:r/>
            <w:r>
              <w:t>High</w:t>
            </w:r>
          </w:p>
        </w:tc>
        <w:tc>
          <w:tcPr>
            <w:tcW w:type="dxa" w:w="1728"/>
          </w:tcPr>
          <w:p>
            <w:r/>
            <w:r>
              <w:t>High</w:t>
            </w:r>
          </w:p>
        </w:tc>
        <w:tc>
          <w:tcPr>
            <w:tcW w:type="dxa" w:w="1728"/>
          </w:tcPr>
          <w:p>
            <w:r/>
            <w:r>
              <w:t>Maintain layered access negotiation through community and local leadership structures already engaged in child protection coordination; pre-position locally recruited staff who retain access during outsider movement restrictions; maintain remote case management and referral protocols (phone/hotline-based follow-up) as a fallback where physical access is denied.</w:t>
            </w:r>
          </w:p>
        </w:tc>
      </w:tr>
      <w:tr>
        <w:tc>
          <w:tcPr>
            <w:tcW w:type="dxa" w:w="1728"/>
          </w:tcPr>
          <w:p>
            <w:r/>
            <w:r>
              <w:t>Data quality and collection</w:t>
            </w:r>
          </w:p>
        </w:tc>
        <w:tc>
          <w:tcPr>
            <w:tcW w:type="dxa" w:w="1728"/>
          </w:tcPr>
          <w:p>
            <w:r/>
            <w:r>
              <w:t>Sensitive data on grave violations, GBV survivors and case management records collected under access constraints and staff turnover risks incompleteness, duplication or breach of confidentiality.</w:t>
            </w:r>
          </w:p>
        </w:tc>
        <w:tc>
          <w:tcPr>
            <w:tcW w:type="dxa" w:w="1728"/>
          </w:tcPr>
          <w:p>
            <w:r/>
            <w:r>
              <w:t>Medium</w:t>
            </w:r>
          </w:p>
        </w:tc>
        <w:tc>
          <w:tcPr>
            <w:tcW w:type="dxa" w:w="1728"/>
          </w:tcPr>
          <w:p>
            <w:r/>
            <w:r>
              <w:t>High</w:t>
            </w:r>
          </w:p>
        </w:tc>
        <w:tc>
          <w:tcPr>
            <w:tcW w:type="dxa" w:w="1728"/>
          </w:tcPr>
          <w:p>
            <w:r/>
            <w:r>
              <w:t>Apply standardised, confidentiality-coded case management and referral tools consistent with survivor centered principles; conduct supervised spot-checks and back-checks on a sample of records each reporting cycle; restrict identifying data fields to authorised case workers only, with anonymised extracts used for programme-level child rights monitoring and data collection.</w:t>
            </w:r>
          </w:p>
        </w:tc>
      </w:tr>
      <w:tr>
        <w:tc>
          <w:tcPr>
            <w:tcW w:type="dxa" w:w="1728"/>
          </w:tcPr>
          <w:p>
            <w:r/>
            <w:r>
              <w:t>Government and stakeholder engagement</w:t>
            </w:r>
          </w:p>
        </w:tc>
        <w:tc>
          <w:tcPr>
            <w:tcW w:type="dxa" w:w="1728"/>
          </w:tcPr>
          <w:p>
            <w:r/>
            <w:r>
              <w:t>Varying administrative arrangements across Sudan's states may produce inconsistent recognition of CSO mandates by government counterparts, delaying coordination with social service workforce actors and child protection sub-clusters.</w:t>
            </w:r>
          </w:p>
        </w:tc>
        <w:tc>
          <w:tcPr>
            <w:tcW w:type="dxa" w:w="1728"/>
          </w:tcPr>
          <w:p>
            <w:r/>
            <w:r>
              <w:t>Medium</w:t>
            </w:r>
          </w:p>
        </w:tc>
        <w:tc>
          <w:tcPr>
            <w:tcW w:type="dxa" w:w="1728"/>
          </w:tcPr>
          <w:p>
            <w:r/>
            <w:r>
              <w:t>Medium</w:t>
            </w:r>
          </w:p>
        </w:tc>
        <w:tc>
          <w:tcPr>
            <w:tcW w:type="dxa" w:w="1728"/>
          </w:tcPr>
          <w:p>
            <w:r/>
            <w:r>
              <w:t>Formalise engagement early with state-level child protection coordination mechanisms and government counterparts named in the programme design; document all agreements in writing at state level to reduce reliance on informal arrangements that may lapse with personnel changes.</w:t>
            </w:r>
          </w:p>
        </w:tc>
      </w:tr>
      <w:tr>
        <w:tc>
          <w:tcPr>
            <w:tcW w:type="dxa" w:w="1728"/>
          </w:tcPr>
          <w:p>
            <w:r/>
            <w:r>
              <w:t>Community participation</w:t>
            </w:r>
          </w:p>
        </w:tc>
        <w:tc>
          <w:tcPr>
            <w:tcW w:type="dxa" w:w="1728"/>
          </w:tcPr>
          <w:p>
            <w:r/>
            <w:r>
              <w:t>Repeated population movement among IDPs, returnees and host communities may disrupt continuity of community-based protection mechanisms and reduce sustained caregiver and adolescent engagement in prevention activities.</w:t>
            </w:r>
          </w:p>
        </w:tc>
        <w:tc>
          <w:tcPr>
            <w:tcW w:type="dxa" w:w="1728"/>
          </w:tcPr>
          <w:p>
            <w:r/>
            <w:r>
              <w:t>Medium</w:t>
            </w:r>
          </w:p>
        </w:tc>
        <w:tc>
          <w:tcPr>
            <w:tcW w:type="dxa" w:w="1728"/>
          </w:tcPr>
          <w:p>
            <w:r/>
            <w:r>
              <w:t>Medium</w:t>
            </w:r>
          </w:p>
        </w:tc>
        <w:tc>
          <w:tcPr>
            <w:tcW w:type="dxa" w:w="1728"/>
          </w:tcPr>
          <w:p>
            <w:r/>
            <w:r>
              <w:t>Design community-based mechanisms around mobile and flexible membership rather than fixed rosters; use community volunteers and para-social workers drawn from displaced populations themselves, so mechanisms travel with communities rather than dissolving on displacement.</w:t>
            </w:r>
          </w:p>
        </w:tc>
      </w:tr>
      <w:tr>
        <w:tc>
          <w:tcPr>
            <w:tcW w:type="dxa" w:w="1728"/>
          </w:tcPr>
          <w:p>
            <w:r/>
            <w:r>
              <w:t>Timeline, sequencing and approval gates</w:t>
            </w:r>
          </w:p>
        </w:tc>
        <w:tc>
          <w:tcPr>
            <w:tcW w:type="dxa" w:w="1728"/>
          </w:tcPr>
          <w:p>
            <w:r/>
            <w:r>
              <w:t>The programme's compressed inception window (Start Date Oct 1, 2026) combined with multi-location roll-out increases risk of delayed activation of case management, community mechanisms and explosive ordnance risk education in parallel across 17 named locations.</w:t>
            </w:r>
          </w:p>
        </w:tc>
        <w:tc>
          <w:tcPr>
            <w:tcW w:type="dxa" w:w="1728"/>
          </w:tcPr>
          <w:p>
            <w:r/>
            <w:r>
              <w:t>Medium</w:t>
            </w:r>
          </w:p>
        </w:tc>
        <w:tc>
          <w:tcPr>
            <w:tcW w:type="dxa" w:w="1728"/>
          </w:tcPr>
          <w:p>
            <w:r/>
            <w:r>
              <w:t>Medium</w:t>
            </w:r>
          </w:p>
        </w:tc>
        <w:tc>
          <w:tcPr>
            <w:tcW w:type="dxa" w:w="1728"/>
          </w:tcPr>
          <w:p>
            <w:r/>
            <w:r>
              <w:t>Sequence roll-out by state readiness, prioritising locations with existing coordination access before extending to newly accessible areas; agree state-level activation checkpoints with UNICEF Sudan and government counterparts before each phase advances.</w:t>
            </w:r>
          </w:p>
        </w:tc>
      </w:tr>
      <w:tr>
        <w:tc>
          <w:tcPr>
            <w:tcW w:type="dxa" w:w="1728"/>
          </w:tcPr>
          <w:p>
            <w:r/>
            <w:r>
              <w:t>Team availability</w:t>
            </w:r>
          </w:p>
        </w:tc>
        <w:tc>
          <w:tcPr>
            <w:tcW w:type="dxa" w:w="1728"/>
          </w:tcPr>
          <w:p>
            <w:r/>
            <w:r>
              <w:t>Sudan's volatile security environment and the scale of the geographic scope may strain availability of qualified, Arabic-speaking case management, community engagement and MEL personnel able to deploy or remain across multiple states.</w:t>
            </w:r>
          </w:p>
        </w:tc>
        <w:tc>
          <w:tcPr>
            <w:tcW w:type="dxa" w:w="1728"/>
          </w:tcPr>
          <w:p>
            <w:r/>
            <w:r>
              <w:t>Medium</w:t>
            </w:r>
          </w:p>
        </w:tc>
        <w:tc>
          <w:tcPr>
            <w:tcW w:type="dxa" w:w="1728"/>
          </w:tcPr>
          <w:p>
            <w:r/>
            <w:r>
              <w:t>High</w:t>
            </w:r>
          </w:p>
        </w:tc>
        <w:tc>
          <w:tcPr>
            <w:tcW w:type="dxa" w:w="1728"/>
          </w:tcPr>
          <w:p>
            <w:r/>
            <w:r>
              <w:t>Recruit and retain state-based teams with local knowledge and language capacity rather than relying on centrally deployed staff; maintain a roster of pre-vetted replacement personnel to sustain continuity of survivor centered and case management services during turnover.</w:t>
            </w:r>
          </w:p>
        </w:tc>
      </w:tr>
      <w:tr>
        <w:tc>
          <w:tcPr>
            <w:tcW w:type="dxa" w:w="1728"/>
          </w:tcPr>
          <w:p>
            <w:r/>
            <w:r>
              <w:t>Explosive ordnance risk education delivery</w:t>
            </w:r>
          </w:p>
        </w:tc>
        <w:tc>
          <w:tcPr>
            <w:tcW w:type="dxa" w:w="1728"/>
          </w:tcPr>
          <w:p>
            <w:r/>
            <w:r>
              <w:t>Landmine and unexploded ordnance (UXO) contamination in newly accessible and conflict affected areas poses direct safety risk to field staff delivering awareness sessions and to child and community participants themselves.</w:t>
            </w:r>
          </w:p>
        </w:tc>
        <w:tc>
          <w:tcPr>
            <w:tcW w:type="dxa" w:w="1728"/>
          </w:tcPr>
          <w:p>
            <w:r/>
            <w:r>
              <w:t>Medium</w:t>
            </w:r>
          </w:p>
        </w:tc>
        <w:tc>
          <w:tcPr>
            <w:tcW w:type="dxa" w:w="1728"/>
          </w:tcPr>
          <w:p>
            <w:r/>
            <w:r>
              <w:t>High</w:t>
            </w:r>
          </w:p>
        </w:tc>
        <w:tc>
          <w:tcPr>
            <w:tcW w:type="dxa" w:w="1728"/>
          </w:tcPr>
          <w:p>
            <w:r/>
            <w:r>
              <w:t>Coordinate all explosive ordnance risk education activities with mine action actors already operating in-country; restrict field movement to routes cleared or confirmed safe by established coordination mechanisms; brief all field staff on safe behaviours before deployment to any newly accessible location.</w:t>
            </w:r>
          </w:p>
        </w:tc>
      </w:tr>
      <w:tr>
        <w:tc>
          <w:tcPr>
            <w:tcW w:type="dxa" w:w="1728"/>
          </w:tcPr>
          <w:p>
            <w:r/>
            <w:r>
              <w:t>Child safeguarding and confidentiality breach</w:t>
            </w:r>
          </w:p>
        </w:tc>
        <w:tc>
          <w:tcPr>
            <w:tcW w:type="dxa" w:w="1728"/>
          </w:tcPr>
          <w:p>
            <w:r/>
            <w:r>
              <w:t>Handling of cases involving grave violations, sexual violence and survivor testimony carries inherent risk of unintended disclosure, re-traumatisation or breach of the "safe, confidential, survivor centered" standard the programme requires.</w:t>
            </w:r>
          </w:p>
        </w:tc>
        <w:tc>
          <w:tcPr>
            <w:tcW w:type="dxa" w:w="1728"/>
          </w:tcPr>
          <w:p>
            <w:r/>
            <w:r>
              <w:t>Low</w:t>
            </w:r>
          </w:p>
        </w:tc>
        <w:tc>
          <w:tcPr>
            <w:tcW w:type="dxa" w:w="1728"/>
          </w:tcPr>
          <w:p>
            <w:r/>
            <w:r>
              <w:t>High</w:t>
            </w:r>
          </w:p>
        </w:tc>
        <w:tc>
          <w:tcPr>
            <w:tcW w:type="dxa" w:w="1728"/>
          </w:tcPr>
          <w:p>
            <w:r/>
            <w:r>
              <w:t>Apply Cortech's child safeguarding policy and PSEA compliance procedures to every stage of case handling; limit access to case files to trained case workers bound by confidentiality agreements; route all safeguarding concerns through a designated focal point with a documented escalation pathway.</w:t>
            </w:r>
          </w:p>
        </w:tc>
      </w:tr>
    </w:tbl>
    <w:p>
      <w:r>
        <w:t>Cortech's approach to risk management on this assignment is continuous rather than a one-time inception exercise: the register above is reviewed at each state-level activation checkpoint and updated as frontlines, access conditions and administrative arrangements evolve, consistent with the volatility the programme background itself describes. Responsibility for risk monitoring sits with the state-based team leads, who report access, security and data quality concerns upward on a fixed reporting cycle so that adjustments to sequencing or delivery modality can be made without halting service continuity across the wider geographic scope.</w:t>
      </w:r>
    </w:p>
    <w:p>
      <w:r>
        <w:t>Sequencing decisions, personnel deployment and community mechanism design are treated as the primary levers for risk reduction, reflecting the operational rather than financial nature of the hazards involved in delivering lifesaving and integrated child protection services across Sudan's conflict affected, newly accessible and hard to reach areas.</w:t>
      </w:r>
    </w:p>
    <w:p>
      <w:r>
        <w:br w:type="page"/>
      </w:r>
    </w:p>
    <w:p>
      <w:pPr>
        <w:pStyle w:val="Heading1"/>
      </w:pPr>
      <w:r>
        <w:t>Proposed Team &amp; Core Experts</w:t>
      </w:r>
    </w:p>
    <w:p>
      <w:pPr>
        <w:pStyle w:val="Heading2"/>
      </w:pPr>
      <w:r>
        <w:t>Team Composition</w:t>
      </w:r>
    </w:p>
    <w:p>
      <w:r>
        <w:t>Cortech's proposed team combines programme leadership, community-based protection expertise, case management oversight and monitoring, evaluation and learning (MEL) capacity — the core functions UNICEF Sudan will need a pooled CSO partner to hold across the nine Expected Results of the Child Protection Programme (2026–2028). The two-person core team is deliberately senior and multi-skilled rather than layered with junior positions, allowing Cortech to move directly from award notification (31 August 2026, per the stated Notification of Results) into inception ahead of the 1 October 2026 start date without a recruitment lag for leadership functions. Frontline and community-level positions — case workers, community mobilizers and psychosocial support staff operating in the named locations — will be recruited nationally and embedded under this core team's direct supervision, consistent with the scale of a nationwide, multi-state programme spanning Sennar, South Kordofan, Blue Nile, White Nile, East Darfur, West Kordofan, Central Darfur, Northern, Red Sea, South Darfur, West Darfur, Kassala, Gedaref, Gezira, Khartoum, River Nile and North Darfur.</w:t>
      </w:r>
    </w:p>
    <w:p>
      <w:r>
        <w:rPr>
          <w:b/>
        </w:rPr>
        <w:t>Mugove Kwashirai Chakurira — Child Protection Programme Manager/Coordinator; Community Engagement and Protection Officer; Case Management and Referral Specialist (combined technical lead)</w:t>
      </w:r>
      <w:r>
        <w:t xml:space="preserve"> Chakurira has led or co-led Cortech assignments across child-focused and protection-adjacent programming, including the Institutional Consultancy to Undertake Assessment of Out of School Children (OOSC) and Adolescents in Dadaab, Kakuma and Kalobeyei Settlement Areas for UNICEF (2024), which required direct engagement with displaced children and caregivers, referral into service systems, and coordination with camp-level protection actors. He also led the Endline Evaluation of the SOM_DANIDA SPA 2022–2025 Programme for Save the Children Somalia Country Office (2025), which covered child protection, education and civil-society-strengthening components and required assessment of case referral pathways and community-based response mechanisms in a fragile operating environment. His work on Roots of Resilience: Community-Led Prevention of Violent Extremism in Baay and Bakool for GCERF (2025) involved design and oversight of community-level prevention structures analogous to the sustainable community-based mechanisms sought under this programme. On this assignment he will hold overall technical accountability for programme coordination, quality of case management protocols, and the design of community engagement approaches for conflict-affected, newly accessible and hard-to-reach areas — directly satisfying UNICEF's requirement for demonstrated experience in child protection programme design, crisis and emergency response coordination, and community-based mechanism development.</w:t>
      </w:r>
    </w:p>
    <w:p>
      <w:r>
        <w:rPr>
          <w:b/>
        </w:rPr>
        <w:t>Salahweli Harun Abdi — Monitoring, Evaluation and Learning Officer</w:t>
      </w:r>
      <w:r>
        <w:t xml:space="preserve"> Abdi has managed MEL functions on assignments requiring rigorous mixed-methods data collection in insecure and access-constrained settings, including the OOSC assessment across Dadaab, Kakuma and Kalobeyei for UNICEF, where he applied KoboToolbox-based digital data collection, SPSS analysis and indicator tracking under active security and mobility constraints comparable to those described for Sudan's fluctuating frontlines and varying administrative arrangements. He also supported MEL design on the SOM_DANIDA SPA endline evaluation, building indicator frameworks that captured child protection and referral outcomes for reporting to an institutional donor. On this assignment he will design and operate the child rights monitoring and data collection system required to inform programme responses and advocacy strategies, and will establish the indicator tracking, referral-pathway data flows and reporting cadence needed to feed UNICEF's programme-level evidence base — directly satisfying the requirement for MEL system design, data collection and analysis, and child rights monitoring capability.</w:t>
      </w:r>
    </w:p>
    <w:p>
      <w:r>
        <w:rPr>
          <w:b/>
        </w:rPr>
        <w:t>Team scale-up and national presence</w:t>
      </w:r>
      <w:r>
        <w:t xml:space="preserve"> No gap exists at the leadership level for the functions matched above. Field-level positions — community-based case workers, protection monitors and outreach staff operating within the named Sudan states — will be recruited nationally and onboarded during inception, under the direct technical supervision of the core team, following Cortech's standard practice of pairing a compact senior leadership structure with locally recruited field personnel who carry language, access and community-trust advantages in-country.</w:t>
      </w:r>
    </w:p>
    <w:p>
      <w:r>
        <w:rPr>
          <w:b/>
        </w:rPr>
        <w:t>Availability and commitment</w:t>
      </w:r>
      <w:r>
        <w:t xml:space="preserve"> Both team members are available for immediate engagement from the notification date and for the full 24-month duration of the programme, 1 October 2026 to 31 October 2028, with no concurrent commitments that would constrain deployment during the inception period or subsequent implementation phases across the programme's multi-state geographic scope.</w:t>
      </w:r>
    </w:p>
    <w:p>
      <w:r>
        <w:br w:type="page"/>
      </w:r>
    </w:p>
    <w:p>
      <w:pPr>
        <w:pStyle w:val="Heading1"/>
      </w:pPr>
      <w:r>
        <w:t>Work Plan &amp; Timeline</w:t>
      </w:r>
    </w:p>
    <w:p>
      <w:pPr>
        <w:pStyle w:val="Heading2"/>
      </w:pPr>
      <w:r>
        <w:t>Work Plan Narrative</w:t>
      </w:r>
    </w:p>
    <w:p>
      <w:r>
        <w:t>UNICEF Sudan's call establishes a pool of qualified Civil Society Organizations for the Child Protection Programme Sudan (2026–2028), donor reference CEF/SDN/2026/041; it is not a single bounded award. Cortech Consulting Group's work plan therefore describes the phased engagement it will execute once activated from the pool against one or more of the nine Expected Results, across the programme's stated 24-month duration (Start Date October 1, 2026; End Date October 31, 2028). The plan is sequenced so that inception, systems set-up, service delivery, systems strengthening, and closeout build on one another, while monitoring, coordination, and reporting run continuously in parallel from mobilization to end date.</w:t>
      </w:r>
    </w:p>
    <w:p>
      <w:r>
        <w:rPr>
          <w:b/>
        </w:rPr>
        <w:t>Phase 1 — Pool Application, Screening and Contracting (Pre-Mobilization).</w:t>
      </w:r>
      <w:r>
        <w:t xml:space="preserve"> This phase covers the client's own screening calendar: Clarification Request Deadline August 24, 2026; Application Deadline August 30, 2026; Notification of Results August 31, 2026; followed by contracting/partnership agreement finalization through September 2026. Cortech will submit all clarification requests before the August 24 cut-off, confirm pool eligibility documentation ahead of August 30, and hold core personnel on standby for immediate deployment upon notification, given the one-day interval between application close and results.</w:t>
      </w:r>
    </w:p>
    <w:p>
      <w:r>
        <w:rPr>
          <w:b/>
        </w:rPr>
        <w:t>Phase 2 — Inception (Months 1–2, October–November 2026).</w:t>
      </w:r>
      <w:r>
        <w:t xml:space="preserve"> Key activities: validation of assigned locations among the 17 named states (which may include Khartoum, Gezira, Kassala, Gedaref, River Nile, Northern, Red Sea, South Kordofan, West Kordofan, Blue Nile, White Nile, Sennar, North Darfur, South Darfur, West Darfur, Central Darfur and East Darfur); mapping of existing referral pathways, government counterparts, UN agencies and humanitarian partners in each location; and joint validation of the work plan with UNICEF Sudan's Child Protection Section. Output: an Inception Report confirming scope, target locations and coordination arrangements.</w:t>
      </w:r>
    </w:p>
    <w:p>
      <w:r>
        <w:rPr>
          <w:b/>
        </w:rPr>
        <w:t>Phase 3 — Systems and Mechanism Set-Up (Months 3–6).</w:t>
      </w:r>
      <w:r>
        <w:t xml:space="preserve"> Establishment of community-based child protection mechanisms (Expected Result 3), configuration of case management and referral protocols (Result 2), baseline mapping of social service workforce capacity (Result 7), and set-up of the child rights monitoring and data collection system in KoboToolbox (Result 9). Coordination with mine action actors begins here to prepare explosive ordnance risk education content (Result 4).</w:t>
      </w:r>
    </w:p>
    <w:p>
      <w:r>
        <w:rPr>
          <w:b/>
        </w:rPr>
        <w:t>Phase 4 — Full-Scale Service Delivery (Months 7–18).</w:t>
      </w:r>
      <w:r>
        <w:t xml:space="preserve"> Delivery of integrated lifesaving child protection services (Result 1), survivor-centered, safe and confidential GBV and justice-linked services (Result 5), child participation platforms (Result 6), continuous case management, workforce training cycles, and birth registration outreach (Result 9). Quarterly monitoring reports track indicator progress and access constraints across conflict-affected, newly accessible and hard-to-reach areas.</w:t>
      </w:r>
    </w:p>
    <w:p>
      <w:r>
        <w:rPr>
          <w:b/>
        </w:rPr>
        <w:t>Phase 5 — Systems Strengthening and Consolidation (Months 19–22).</w:t>
      </w:r>
      <w:r>
        <w:t xml:space="preserve"> Focus shifts to policy support, coordination mechanism strengthening, workforce development and evidence generation (Result 8), with findings from Phase 4 informing government and social service workforce capacity plans.</w:t>
      </w:r>
    </w:p>
    <w:p>
      <w:r>
        <w:rPr>
          <w:b/>
        </w:rPr>
        <w:t>Phase 6 — Closeout and Evaluation (Months 23–24, culminating October 31, 2028).</w:t>
      </w:r>
      <w:r>
        <w:t xml:space="preserve"> Final child rights monitoring dataset compilation, endline documentation of community mechanisms and case management outcomes, and submission of the final narrative report by the programme end date.</w:t>
      </w:r>
    </w:p>
    <w:p>
      <w:r>
        <w:t>Milestone dates fixed by the client are matched exactly: August 24, 2026 (clarification deadline), August 30, 2026 (application deadline), August 31, 2026 (notification), October 1, 2026 (mobilization/start), and October 31, 2028 (programme end). Internal milestones (Inception Report, quarterly reports, endline documentation) are set by Cortech within these bounds.</w:t>
      </w:r>
    </w:p>
    <w:p>
      <w:r>
        <w:t>Child rights monitoring/data collection, coordination with government counterparts and humanitarian partners, and safeguarding/PSEA compliance run in parallel across every phase. Community mechanism establishment and case management roll out concurrently across different assigned locations to reflect the near-nationwide geographic scope. Explosive ordnance risk education is sequenced after mine-action coordination is confirmed in Phase 3. Systems strengthening in Phase 5 is sequential, built deliberately on evidence generated during Phase 4 delivery rather than run in parallel with it.</w:t>
      </w:r>
    </w:p>
    <w:p>
      <w:r>
        <w:t>This phasing draws on Cortech's delivery record on comparably structured assignments: the 90-day phased evaluation design for Save the Children Somalia's DANIDA-funded programme in Baidoa; the mixed-methods, multi-site fieldwork sequencing used for UNICEF's Out of School Children assessment across Dadaab, Kakuma and Kalobeyei; and the 28-month, multi-pillar GCERF community-protection initiative in Baay and Bakool. Proposed core personnel — a Child Protection Programme Coordinator, Community Engagement and Protection Officer, Case Management and Referral Specialist, and Monitoring, Evaluation and Learning Officer — are structured to be mobilized within the compressed notification-to-start window the client's screening calendar implies.</w:t>
      </w:r>
    </w:p>
    <w:p>
      <w:pPr>
        <w:pStyle w:val="Heading2"/>
      </w:pPr>
      <w:r>
        <w:t>GANTT CHART</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r>
            <w:r>
              <w:rPr>
                <w:b/>
              </w:rPr>
              <w:t>Activity</w:t>
            </w:r>
          </w:p>
        </w:tc>
        <w:tc>
          <w:tcPr>
            <w:tcW w:type="dxa" w:w="960"/>
          </w:tcPr>
          <w:p>
            <w:r>
              <w:rPr>
                <w:b/>
              </w:rPr>
            </w:r>
            <w:r>
              <w:rPr>
                <w:b/>
              </w:rPr>
              <w:t>Q1 (Oct–Dec 26)</w:t>
            </w:r>
          </w:p>
        </w:tc>
        <w:tc>
          <w:tcPr>
            <w:tcW w:type="dxa" w:w="960"/>
          </w:tcPr>
          <w:p>
            <w:r>
              <w:rPr>
                <w:b/>
              </w:rPr>
            </w:r>
            <w:r>
              <w:rPr>
                <w:b/>
              </w:rPr>
              <w:t>Q2 (Jan–Mar 27)</w:t>
            </w:r>
          </w:p>
        </w:tc>
        <w:tc>
          <w:tcPr>
            <w:tcW w:type="dxa" w:w="960"/>
          </w:tcPr>
          <w:p>
            <w:r>
              <w:rPr>
                <w:b/>
              </w:rPr>
            </w:r>
            <w:r>
              <w:rPr>
                <w:b/>
              </w:rPr>
              <w:t>Q3 (Apr–Jun 27)</w:t>
            </w:r>
          </w:p>
        </w:tc>
        <w:tc>
          <w:tcPr>
            <w:tcW w:type="dxa" w:w="960"/>
          </w:tcPr>
          <w:p>
            <w:r>
              <w:rPr>
                <w:b/>
              </w:rPr>
            </w:r>
            <w:r>
              <w:rPr>
                <w:b/>
              </w:rPr>
              <w:t>Q4 (Jul–Sep 27)</w:t>
            </w:r>
          </w:p>
        </w:tc>
        <w:tc>
          <w:tcPr>
            <w:tcW w:type="dxa" w:w="960"/>
          </w:tcPr>
          <w:p>
            <w:r>
              <w:rPr>
                <w:b/>
              </w:rPr>
            </w:r>
            <w:r>
              <w:rPr>
                <w:b/>
              </w:rPr>
              <w:t>Q5 (Oct–Dec 27)</w:t>
            </w:r>
          </w:p>
        </w:tc>
        <w:tc>
          <w:tcPr>
            <w:tcW w:type="dxa" w:w="960"/>
          </w:tcPr>
          <w:p>
            <w:r>
              <w:rPr>
                <w:b/>
              </w:rPr>
            </w:r>
            <w:r>
              <w:rPr>
                <w:b/>
              </w:rPr>
              <w:t>Q6 (Jan–Mar 28)</w:t>
            </w:r>
          </w:p>
        </w:tc>
        <w:tc>
          <w:tcPr>
            <w:tcW w:type="dxa" w:w="960"/>
          </w:tcPr>
          <w:p>
            <w:r>
              <w:rPr>
                <w:b/>
              </w:rPr>
            </w:r>
            <w:r>
              <w:rPr>
                <w:b/>
              </w:rPr>
              <w:t>Q7 (Apr–Jun 28)</w:t>
            </w:r>
          </w:p>
        </w:tc>
        <w:tc>
          <w:tcPr>
            <w:tcW w:type="dxa" w:w="960"/>
          </w:tcPr>
          <w:p>
            <w:r>
              <w:rPr>
                <w:b/>
              </w:rPr>
            </w:r>
            <w:r>
              <w:rPr>
                <w:b/>
              </w:rPr>
              <w:t>Q8 (Jul–Oct 28)</w:t>
            </w:r>
          </w:p>
        </w:tc>
      </w:tr>
      <w:tr>
        <w:tc>
          <w:tcPr>
            <w:tcW w:type="dxa" w:w="960"/>
          </w:tcPr>
          <w:p>
            <w:r/>
            <w:r>
              <w:t>Pool onboarding &amp; contracting</w:t>
            </w:r>
          </w:p>
        </w:tc>
        <w:tc>
          <w:tcPr>
            <w:tcW w:type="dxa" w:w="960"/>
          </w:tcPr>
          <w:p>
            <w:r/>
            <w:r>
              <w:t>X</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r>
              <w:t>Inception &amp; location validation</w:t>
            </w:r>
          </w:p>
        </w:tc>
        <w:tc>
          <w:tcPr>
            <w:tcW w:type="dxa" w:w="960"/>
          </w:tcPr>
          <w:p>
            <w:r/>
            <w:r>
              <w:t>X</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r>
              <w:t>Community protection mechanisms set-up</w:t>
            </w:r>
          </w:p>
        </w:tc>
        <w:tc>
          <w:tcPr>
            <w:tcW w:type="dxa" w:w="960"/>
          </w:tcPr>
          <w:p>
            <w:r/>
            <w:r>
              <w:t>X</w:t>
            </w:r>
          </w:p>
        </w:tc>
        <w:tc>
          <w:tcPr>
            <w:tcW w:type="dxa" w:w="960"/>
          </w:tcPr>
          <w:p>
            <w:r/>
            <w:r>
              <w:t>X</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r>
              <w:t>Case management/referral protocol roll-out</w:t>
            </w:r>
          </w:p>
        </w:tc>
        <w:tc>
          <w:tcPr>
            <w:tcW w:type="dxa" w:w="960"/>
          </w:tcPr>
          <w:p>
            <w:r/>
            <w:r>
              <w:t>X</w:t>
            </w:r>
          </w:p>
        </w:tc>
        <w:tc>
          <w:tcPr>
            <w:tcW w:type="dxa" w:w="960"/>
          </w:tcPr>
          <w:p>
            <w:r/>
            <w:r>
              <w:t>X</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r>
              <w:t>Explosive ordnance risk education</w:t>
            </w:r>
          </w:p>
        </w:tc>
        <w:tc>
          <w:tcPr>
            <w:tcW w:type="dxa" w:w="960"/>
          </w:tcPr>
          <w:p>
            <w:r/>
          </w:p>
        </w:tc>
        <w:tc>
          <w:tcPr>
            <w:tcW w:type="dxa" w:w="960"/>
          </w:tcPr>
          <w:p>
            <w:r/>
            <w:r>
              <w:t>X</w:t>
            </w:r>
          </w:p>
        </w:tc>
        <w:tc>
          <w:tcPr>
            <w:tcW w:type="dxa" w:w="960"/>
          </w:tcPr>
          <w:p>
            <w:r/>
            <w:r>
              <w:t>X</w:t>
            </w:r>
          </w:p>
        </w:tc>
        <w:tc>
          <w:tcPr>
            <w:tcW w:type="dxa" w:w="960"/>
          </w:tcPr>
          <w:p>
            <w:r/>
            <w:r>
              <w:t>X</w:t>
            </w:r>
          </w:p>
        </w:tc>
        <w:tc>
          <w:tcPr>
            <w:tcW w:type="dxa" w:w="960"/>
          </w:tcPr>
          <w:p>
            <w:r/>
          </w:p>
        </w:tc>
        <w:tc>
          <w:tcPr>
            <w:tcW w:type="dxa" w:w="960"/>
          </w:tcPr>
          <w:p>
            <w:r/>
          </w:p>
        </w:tc>
        <w:tc>
          <w:tcPr>
            <w:tcW w:type="dxa" w:w="960"/>
          </w:tcPr>
          <w:p>
            <w:r/>
          </w:p>
        </w:tc>
        <w:tc>
          <w:tcPr>
            <w:tcW w:type="dxa" w:w="960"/>
          </w:tcPr>
          <w:p>
            <w:r/>
          </w:p>
        </w:tc>
      </w:tr>
      <w:tr>
        <w:tc>
          <w:tcPr>
            <w:tcW w:type="dxa" w:w="960"/>
          </w:tcPr>
          <w:p>
            <w:r/>
            <w:r>
              <w:t>Survivor-centered GBV/justice services</w:t>
            </w:r>
          </w:p>
        </w:tc>
        <w:tc>
          <w:tcPr>
            <w:tcW w:type="dxa" w:w="960"/>
          </w:tcPr>
          <w:p>
            <w:r/>
          </w:p>
        </w:tc>
        <w:tc>
          <w:tcPr>
            <w:tcW w:type="dxa" w:w="960"/>
          </w:tcPr>
          <w:p>
            <w:r/>
            <w:r>
              <w:t>X</w:t>
            </w:r>
          </w:p>
        </w:tc>
        <w:tc>
          <w:tcPr>
            <w:tcW w:type="dxa" w:w="960"/>
          </w:tcPr>
          <w:p>
            <w:r/>
            <w:r>
              <w:t>X</w:t>
            </w:r>
          </w:p>
        </w:tc>
        <w:tc>
          <w:tcPr>
            <w:tcW w:type="dxa" w:w="960"/>
          </w:tcPr>
          <w:p>
            <w:r/>
            <w:r>
              <w:t>X</w:t>
            </w:r>
          </w:p>
        </w:tc>
        <w:tc>
          <w:tcPr>
            <w:tcW w:type="dxa" w:w="960"/>
          </w:tcPr>
          <w:p>
            <w:r/>
            <w:r>
              <w:t>X</w:t>
            </w:r>
          </w:p>
        </w:tc>
        <w:tc>
          <w:tcPr>
            <w:tcW w:type="dxa" w:w="960"/>
          </w:tcPr>
          <w:p>
            <w:r/>
            <w:r>
              <w:t>X</w:t>
            </w:r>
          </w:p>
        </w:tc>
        <w:tc>
          <w:tcPr>
            <w:tcW w:type="dxa" w:w="960"/>
          </w:tcPr>
          <w:p>
            <w:r/>
            <w:r>
              <w:t>X</w:t>
            </w:r>
          </w:p>
        </w:tc>
        <w:tc>
          <w:tcPr>
            <w:tcW w:type="dxa" w:w="960"/>
          </w:tcPr>
          <w:p>
            <w:r/>
          </w:p>
        </w:tc>
      </w:tr>
      <w:tr>
        <w:tc>
          <w:tcPr>
            <w:tcW w:type="dxa" w:w="960"/>
          </w:tcPr>
          <w:p>
            <w:r/>
            <w:r>
              <w:t>Child participation platforms</w:t>
            </w:r>
          </w:p>
        </w:tc>
        <w:tc>
          <w:tcPr>
            <w:tcW w:type="dxa" w:w="960"/>
          </w:tcPr>
          <w:p>
            <w:r/>
          </w:p>
        </w:tc>
        <w:tc>
          <w:tcPr>
            <w:tcW w:type="dxa" w:w="960"/>
          </w:tcPr>
          <w:p>
            <w:r/>
            <w:r>
              <w:t>X</w:t>
            </w:r>
          </w:p>
        </w:tc>
        <w:tc>
          <w:tcPr>
            <w:tcW w:type="dxa" w:w="960"/>
          </w:tcPr>
          <w:p>
            <w:r/>
            <w:r>
              <w:t>X</w:t>
            </w:r>
          </w:p>
        </w:tc>
        <w:tc>
          <w:tcPr>
            <w:tcW w:type="dxa" w:w="960"/>
          </w:tcPr>
          <w:p>
            <w:r/>
            <w:r>
              <w:t>X</w:t>
            </w:r>
          </w:p>
        </w:tc>
        <w:tc>
          <w:tcPr>
            <w:tcW w:type="dxa" w:w="960"/>
          </w:tcPr>
          <w:p>
            <w:r/>
            <w:r>
              <w:t>X</w:t>
            </w:r>
          </w:p>
        </w:tc>
        <w:tc>
          <w:tcPr>
            <w:tcW w:type="dxa" w:w="960"/>
          </w:tcPr>
          <w:p>
            <w:r/>
            <w:r>
              <w:t>X</w:t>
            </w:r>
          </w:p>
        </w:tc>
        <w:tc>
          <w:tcPr>
            <w:tcW w:type="dxa" w:w="960"/>
          </w:tcPr>
          <w:p>
            <w:r/>
          </w:p>
        </w:tc>
        <w:tc>
          <w:tcPr>
            <w:tcW w:type="dxa" w:w="960"/>
          </w:tcPr>
          <w:p>
            <w:r/>
          </w:p>
        </w:tc>
      </w:tr>
      <w:tr>
        <w:tc>
          <w:tcPr>
            <w:tcW w:type="dxa" w:w="960"/>
          </w:tcPr>
          <w:p>
            <w:r/>
            <w:r>
              <w:t>Government/workforce capacity building</w:t>
            </w:r>
          </w:p>
        </w:tc>
        <w:tc>
          <w:tcPr>
            <w:tcW w:type="dxa" w:w="960"/>
          </w:tcPr>
          <w:p>
            <w:r/>
          </w:p>
        </w:tc>
        <w:tc>
          <w:tcPr>
            <w:tcW w:type="dxa" w:w="960"/>
          </w:tcPr>
          <w:p>
            <w:r/>
          </w:p>
        </w:tc>
        <w:tc>
          <w:tcPr>
            <w:tcW w:type="dxa" w:w="960"/>
          </w:tcPr>
          <w:p>
            <w:r/>
            <w:r>
              <w:t>X</w:t>
            </w:r>
          </w:p>
        </w:tc>
        <w:tc>
          <w:tcPr>
            <w:tcW w:type="dxa" w:w="960"/>
          </w:tcPr>
          <w:p>
            <w:r/>
            <w:r>
              <w:t>X</w:t>
            </w:r>
          </w:p>
        </w:tc>
        <w:tc>
          <w:tcPr>
            <w:tcW w:type="dxa" w:w="960"/>
          </w:tcPr>
          <w:p>
            <w:r/>
            <w:r>
              <w:t>X</w:t>
            </w:r>
          </w:p>
        </w:tc>
        <w:tc>
          <w:tcPr>
            <w:tcW w:type="dxa" w:w="960"/>
          </w:tcPr>
          <w:p>
            <w:r/>
            <w:r>
              <w:t>X</w:t>
            </w:r>
          </w:p>
        </w:tc>
        <w:tc>
          <w:tcPr>
            <w:tcW w:type="dxa" w:w="960"/>
          </w:tcPr>
          <w:p>
            <w:r/>
            <w:r>
              <w:t>X</w:t>
            </w:r>
          </w:p>
        </w:tc>
        <w:tc>
          <w:tcPr>
            <w:tcW w:type="dxa" w:w="960"/>
          </w:tcPr>
          <w:p>
            <w:r/>
          </w:p>
        </w:tc>
      </w:tr>
      <w:tr>
        <w:tc>
          <w:tcPr>
            <w:tcW w:type="dxa" w:w="960"/>
          </w:tcPr>
          <w:p>
            <w:r/>
            <w:r>
              <w:t>Systems strengthening (policy/coordination/evidence)</w:t>
            </w:r>
          </w:p>
        </w:tc>
        <w:tc>
          <w:tcPr>
            <w:tcW w:type="dxa" w:w="960"/>
          </w:tcPr>
          <w:p>
            <w:r/>
          </w:p>
        </w:tc>
        <w:tc>
          <w:tcPr>
            <w:tcW w:type="dxa" w:w="960"/>
          </w:tcPr>
          <w:p>
            <w:r/>
          </w:p>
        </w:tc>
        <w:tc>
          <w:tcPr>
            <w:tcW w:type="dxa" w:w="960"/>
          </w:tcPr>
          <w:p>
            <w:r/>
          </w:p>
        </w:tc>
        <w:tc>
          <w:tcPr>
            <w:tcW w:type="dxa" w:w="960"/>
          </w:tcPr>
          <w:p>
            <w:r/>
          </w:p>
        </w:tc>
        <w:tc>
          <w:tcPr>
            <w:tcW w:type="dxa" w:w="960"/>
          </w:tcPr>
          <w:p>
            <w:r/>
            <w:r>
              <w:t>X</w:t>
            </w:r>
          </w:p>
        </w:tc>
        <w:tc>
          <w:tcPr>
            <w:tcW w:type="dxa" w:w="960"/>
          </w:tcPr>
          <w:p>
            <w:r/>
            <w:r>
              <w:t>X</w:t>
            </w:r>
          </w:p>
        </w:tc>
        <w:tc>
          <w:tcPr>
            <w:tcW w:type="dxa" w:w="960"/>
          </w:tcPr>
          <w:p>
            <w:r/>
            <w:r>
              <w:t>X</w:t>
            </w:r>
          </w:p>
        </w:tc>
        <w:tc>
          <w:tcPr>
            <w:tcW w:type="dxa" w:w="960"/>
          </w:tcPr>
          <w:p>
            <w:r/>
            <w:r>
              <w:t>X</w:t>
            </w:r>
          </w:p>
        </w:tc>
      </w:tr>
      <w:tr>
        <w:tc>
          <w:tcPr>
            <w:tcW w:type="dxa" w:w="960"/>
          </w:tcPr>
          <w:p>
            <w:r/>
            <w:r>
              <w:t>Child rights monitoring &amp; data collection</w:t>
            </w:r>
          </w:p>
        </w:tc>
        <w:tc>
          <w:tcPr>
            <w:tcW w:type="dxa" w:w="960"/>
          </w:tcPr>
          <w:p>
            <w:r/>
            <w:r>
              <w:t>X</w:t>
            </w:r>
          </w:p>
        </w:tc>
        <w:tc>
          <w:tcPr>
            <w:tcW w:type="dxa" w:w="960"/>
          </w:tcPr>
          <w:p>
            <w:r/>
            <w:r>
              <w:t>X</w:t>
            </w:r>
          </w:p>
        </w:tc>
        <w:tc>
          <w:tcPr>
            <w:tcW w:type="dxa" w:w="960"/>
          </w:tcPr>
          <w:p>
            <w:r/>
            <w:r>
              <w:t>X</w:t>
            </w:r>
          </w:p>
        </w:tc>
        <w:tc>
          <w:tcPr>
            <w:tcW w:type="dxa" w:w="960"/>
          </w:tcPr>
          <w:p>
            <w:r/>
            <w:r>
              <w:t>X</w:t>
            </w:r>
          </w:p>
        </w:tc>
        <w:tc>
          <w:tcPr>
            <w:tcW w:type="dxa" w:w="960"/>
          </w:tcPr>
          <w:p>
            <w:r/>
            <w:r>
              <w:t>X</w:t>
            </w:r>
          </w:p>
        </w:tc>
        <w:tc>
          <w:tcPr>
            <w:tcW w:type="dxa" w:w="960"/>
          </w:tcPr>
          <w:p>
            <w:r/>
            <w:r>
              <w:t>X</w:t>
            </w:r>
          </w:p>
        </w:tc>
        <w:tc>
          <w:tcPr>
            <w:tcW w:type="dxa" w:w="960"/>
          </w:tcPr>
          <w:p>
            <w:r/>
            <w:r>
              <w:t>X</w:t>
            </w:r>
          </w:p>
        </w:tc>
        <w:tc>
          <w:tcPr>
            <w:tcW w:type="dxa" w:w="960"/>
          </w:tcPr>
          <w:p>
            <w:r/>
            <w:r>
              <w:t>X</w:t>
            </w:r>
          </w:p>
        </w:tc>
      </w:tr>
      <w:tr>
        <w:tc>
          <w:tcPr>
            <w:tcW w:type="dxa" w:w="960"/>
          </w:tcPr>
          <w:p>
            <w:r/>
            <w:r>
              <w:t>Birth registration outreach</w:t>
            </w:r>
          </w:p>
        </w:tc>
        <w:tc>
          <w:tcPr>
            <w:tcW w:type="dxa" w:w="960"/>
          </w:tcPr>
          <w:p>
            <w:r/>
          </w:p>
        </w:tc>
        <w:tc>
          <w:tcPr>
            <w:tcW w:type="dxa" w:w="960"/>
          </w:tcPr>
          <w:p>
            <w:r/>
            <w:r>
              <w:t>X</w:t>
            </w:r>
          </w:p>
        </w:tc>
        <w:tc>
          <w:tcPr>
            <w:tcW w:type="dxa" w:w="960"/>
          </w:tcPr>
          <w:p>
            <w:r/>
            <w:r>
              <w:t>X</w:t>
            </w:r>
          </w:p>
        </w:tc>
        <w:tc>
          <w:tcPr>
            <w:tcW w:type="dxa" w:w="960"/>
          </w:tcPr>
          <w:p>
            <w:r/>
            <w:r>
              <w:t>X</w:t>
            </w:r>
          </w:p>
        </w:tc>
        <w:tc>
          <w:tcPr>
            <w:tcW w:type="dxa" w:w="960"/>
          </w:tcPr>
          <w:p>
            <w:r/>
            <w:r>
              <w:t>X</w:t>
            </w:r>
          </w:p>
        </w:tc>
        <w:tc>
          <w:tcPr>
            <w:tcW w:type="dxa" w:w="960"/>
          </w:tcPr>
          <w:p>
            <w:r/>
            <w:r>
              <w:t>X</w:t>
            </w:r>
          </w:p>
        </w:tc>
        <w:tc>
          <w:tcPr>
            <w:tcW w:type="dxa" w:w="960"/>
          </w:tcPr>
          <w:p>
            <w:r/>
            <w:r>
              <w:t>X</w:t>
            </w:r>
          </w:p>
        </w:tc>
        <w:tc>
          <w:tcPr>
            <w:tcW w:type="dxa" w:w="960"/>
          </w:tcPr>
          <w:p>
            <w:r/>
          </w:p>
        </w:tc>
      </w:tr>
      <w:tr>
        <w:tc>
          <w:tcPr>
            <w:tcW w:type="dxa" w:w="960"/>
          </w:tcPr>
          <w:p>
            <w:r/>
            <w:r>
              <w:t>Quarterly reporting to UNICEF Sudan</w:t>
            </w:r>
          </w:p>
        </w:tc>
        <w:tc>
          <w:tcPr>
            <w:tcW w:type="dxa" w:w="960"/>
          </w:tcPr>
          <w:p>
            <w:r/>
          </w:p>
        </w:tc>
        <w:tc>
          <w:tcPr>
            <w:tcW w:type="dxa" w:w="960"/>
          </w:tcPr>
          <w:p>
            <w:r/>
            <w:r>
              <w:t>X</w:t>
            </w:r>
          </w:p>
        </w:tc>
        <w:tc>
          <w:tcPr>
            <w:tcW w:type="dxa" w:w="960"/>
          </w:tcPr>
          <w:p>
            <w:r/>
            <w:r>
              <w:t>X</w:t>
            </w:r>
          </w:p>
        </w:tc>
        <w:tc>
          <w:tcPr>
            <w:tcW w:type="dxa" w:w="960"/>
          </w:tcPr>
          <w:p>
            <w:r/>
            <w:r>
              <w:t>X</w:t>
            </w:r>
          </w:p>
        </w:tc>
        <w:tc>
          <w:tcPr>
            <w:tcW w:type="dxa" w:w="960"/>
          </w:tcPr>
          <w:p>
            <w:r/>
            <w:r>
              <w:t>X</w:t>
            </w:r>
          </w:p>
        </w:tc>
        <w:tc>
          <w:tcPr>
            <w:tcW w:type="dxa" w:w="960"/>
          </w:tcPr>
          <w:p>
            <w:r/>
            <w:r>
              <w:t>X</w:t>
            </w:r>
          </w:p>
        </w:tc>
        <w:tc>
          <w:tcPr>
            <w:tcW w:type="dxa" w:w="960"/>
          </w:tcPr>
          <w:p>
            <w:r/>
            <w:r>
              <w:t>X</w:t>
            </w:r>
          </w:p>
        </w:tc>
        <w:tc>
          <w:tcPr>
            <w:tcW w:type="dxa" w:w="960"/>
          </w:tcPr>
          <w:p>
            <w:r/>
            <w:r>
              <w:t>X</w:t>
            </w:r>
          </w:p>
        </w:tc>
      </w:tr>
      <w:tr>
        <w:tc>
          <w:tcPr>
            <w:tcW w:type="dxa" w:w="960"/>
          </w:tcPr>
          <w:p>
            <w:r/>
            <w:r>
              <w:t>Endline documentation &amp; closeout</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r>
              <w:t>X</w:t>
            </w:r>
          </w:p>
        </w:tc>
      </w:tr>
    </w:tbl>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