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End-of-Project Evaluation: Catalyzing Multilateral Development Banks Financing for Energy access in Africa</w:t>
      </w:r>
    </w:p>
    <w:p>
      <w:pPr>
        <w:jc w:val="center"/>
      </w:pPr>
      <w:r>
        <w:t>Client: Christian Aid</w:t>
        <w:br/>
      </w:r>
      <w:r>
        <w:t>Submitted by: Cortech Consulting Group</w:t>
        <w:br/>
      </w:r>
      <w:r>
        <w:t>Date: 28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Cortech Consulting Group</w:t>
      </w:r>
      <w:r>
        <w:t xml:space="preserve"> Nairobi, Kenya | Mogadishu, Somalia | London, UK</w:t>
      </w:r>
    </w:p>
    <w:p>
      <w:r>
        <w:t>9th September 2026</w:t>
      </w:r>
    </w:p>
    <w:p>
      <w:r>
        <w:t>Nairobi Recruitment Team Christian Aid nairobirecruitment@christian-aid.org</w:t>
      </w:r>
    </w:p>
    <w:p>
      <w:r>
        <w:rPr>
          <w:b/>
        </w:rPr>
        <w:t>RE: Technical and Financial Proposal for the End-of-Project Evaluation: Catalyzing Multilateral Development Banks Financing for Energy access in Africa</w:t>
      </w:r>
    </w:p>
    <w:p>
      <w:r>
        <w:t>Dear Sir/Madam,</w:t>
      </w:r>
    </w:p>
    <w:p>
      <w:r>
        <w:t>Cortech Consulting Group submits this technical and financial proposal to conduct the End-of-Project Evaluation of the "Catalyzing Multilateral Development Banks Financing for Energy access in Africa" project, implemented by Christian Aid with support from the Charles Stewart Mott Foundation between January 2024 and December 2026, in partnership with the Kenya Climate Change Working Group (KCCWG) and the Civil Society Network on Climate Change (CISONECC) in Kenya and Malawi. We understand this evaluation is not a narrative account of activities but an evidence-based assessment of the project's contribution to shifting African Development Bank (AfDB) and Multilateral Development Bank (MDB) policy, finance and public narratives towards decentralised renewable energy (DRE), measured against the project's logframe indicators and Theory of Change, and structured around the OECD-DAC criteria, the Theory of Change validation question and the GESI cross-cutting lens set out in Section 5.0. We further recognise the evaluation's dual accountability and learning function, and the practical use its findings will serve for Christian Aid, KCCWG, CISONECC and wider civil society and faith actors engaging AfDB through Country Strategy Papers and Mission 300 Energy Compacts.</w:t>
      </w:r>
    </w:p>
    <w:p>
      <w:r>
        <w:t>Cortech's relevant grounding for this assignment includes our 2024 independent evaluation of the Sida-funded Sub-Saharan Africa Energy Access Programme (REACT SSA) for AECF Africa across Kenya, Somalia and Ethiopia, which required assessing renewable energy access outcomes and financing modalities against a results framework using contribution-based reasoning where attribution to a single actor was not possible — directly comparable to the outcome harvesting/contribution analysis this ToR requires for isolating the project's influence on AfDB policy shifts. This complements our record of end-term and endline evaluations for Kenya Red Cross Society, RACIDA and AECF, each applying OECD-DAC criteria, GESI-disaggregated stakeholder mapping, and validation sessions with implementing partners prior to finalisation, consistent with the sequencing Christian Aid has specified in Sections 6 and 7. Our proposed Lead Evaluator brings over ten years of evaluation experience across Sub-Saharan Africa with specific exposure to bank-financed energy programming and civil society advocacy assessment, supported by a Nairobi-based team experienced in KoboToolbox-enabled data collection, NVivo-supported qualitative coding and SPSS analysis, positioning the team to manage the stakeholder mapping matrix disaggregated by country, stakeholder type and gender that Section 6 requires, while safeguarding the confidentiality of AfDB officials, government and media respondents per Sections 9 and 10.</w:t>
      </w:r>
    </w:p>
    <w:p>
      <w:r>
        <w:t>Cortech confirms compliance with all submission requirements set out in Section 11: this letter accompanies a technical proposal detailing our understanding of the assignment, proposed methodology and workplan, and relevant experience, alongside a separate financial proposal presenting professional fees, and the contact details of two referees. We remain available to Christian Aid's project lead and Monitoring and Evaluation lead for any clarification required to support the review of this proposal ahead of the stated deadline.</w:t>
      </w:r>
    </w:p>
    <w:p>
      <w:r>
        <w:br w:type="page"/>
      </w:r>
    </w:p>
    <w:p>
      <w:pPr>
        <w:pStyle w:val="Heading1"/>
      </w:pPr>
      <w:r>
        <w:t>Executive Summary</w:t>
      </w:r>
    </w:p>
    <w:p>
      <w:r>
        <w:t>Christian Aid has commissioned this end-of-project evaluation to assess the extent to which the "Catalyzing Multilateral Development Banks Financing for Energy access in Africa" project — implemented over 2024-2026 with support from the Charles Stewart Mott Foundation and delivered through the Kenya Climate Change Working Group (KCCWG) in Kenya and the Civil Society Network on Climate Change (CISONECC) in Malawi — has achieved its intended outputs, outcomes and objectives. The project set out to strengthen civil society and faith actor engagement with the African Development Bank (AfDB) and other Multilateral Development Banks (MDBs) for just and accountable financing of decentralised renewable energy, and to catalyse di-investment of public finance away from fossil fuels toward locally led sustainable renewable energy systems. Three years into implementation, Christian Aid needs an independent, evidence-informed account of what this combination of policy research, multi-stakeholder dialogues, capacity building, AfDB annual meetings and CSO forum engagement, and advocacy on Country Strategy Papers and Mission 300 Energy Compacts has actually delivered — against the logframe and Theory of Change — and what should carry forward into future engagement with the AfDB and wider MDB reform, fossil fuel phase-out and just transition agendas.</w:t>
      </w:r>
    </w:p>
    <w:p>
      <w:r>
        <w:t>Cortech's proposed approach is anchored in a single design decision: because the project's central claim is a contribution claim — that coordinated civil society and faith actor engagement shifted AfDB positions and public narratives on DRE — the evaluation cannot rely on before/after comparison alone. Cortech will build the inception report's evaluation matrix directly on the ToR's own question groupings (Effectiveness, Relevance, Coherence and Partnership, Efficiency, Impact and Contribution, Sustainability, GESI, and Theory of Change Validation), and will apply outcome harvesting to surface actual changes in AfDB/MDB policy, financing priorities and stakeholder positions before working backwards through contribution analysis to test which project workstreams — convenings, research and knowledge products, the learning platform, direct AfDB engagement — plausibly drove them, and what alternative factors (other coalitions, external events) must be discounted. This sequencing lets the evaluation explain not only what changed but why, and lets it test the Theory of Change's assumptions rather than assume they held.</w:t>
      </w:r>
    </w:p>
    <w:p>
      <w:r>
        <w:t>The assignment will be led by a Senior Evaluation Consultant holding an advanced degree in development studies/policy analysis with over ten years' experience conducting evaluations for multi-development agencies across Africa, supported by a Kenya-based field lead and a Malawi-based research associate to ensure the stakeholder mapping matrix — disaggregated by country, stakeholder type (CSO, faith actor, AfDB official, private sector, media, government) and gender — is populated with genuinely representative respondents in both countries, not Kenya alone. This team composition draws on Cortech's delivery on AECF's Sida-funded Sub-Saharan Africa Energy Access Programme (REACT SSA, 2024, Kenya/Somalia/Ethiopia), which required the same evaluation-matrix-to-indicator discipline the ToR demands here, and on end-term and endline evaluations for Kenya Red Cross Society (2025, Kenya) and Lutheran World Federation (2026, Somalia/Horn of Africa), which required the same handling of sensitive, multi-category respondents — including government and institutional officials — under OECD-DAC/UNEG ethics norms.</w:t>
      </w:r>
    </w:p>
    <w:p>
      <w:r>
        <w:t>Delivery is mapped against the eight-week window specified for September-October 2026: contracting and briefing in weeks 1-2; document review culminating in an inception report with the full evaluation matrix, tools and confidentiality protocol in week 3; key informant interviews, focus group discussions and stakeholder consultations in Kenya and Malawi in weeks 4-5; data analysis and drafting in weeks 5-6; a validation session with Christian Aid and selected partners in week 7 to check emerging findings before finalisation, as the ToR requires; and delivery of the final evaluation report, executive summary and learning brief in week 8. Quality is controlled through triangulation of document review against logframe indicators, cross-checking of harvested outcomes with Christian Aid's project lead and Monitoring and Evaluation lead, and the mandatory validation gate preceding finalisation. Professional fees and cost breakdown are presented separately in the accompanying financial proposal.</w:t>
      </w:r>
    </w:p>
    <w:p>
      <w:r>
        <w:br w:type="page"/>
      </w:r>
    </w:p>
    <w:p>
      <w:pPr>
        <w:pStyle w:val="Heading1"/>
      </w:pPr>
      <w:r>
        <w:t>Organisational Profile &amp; Track Record</w:t>
      </w:r>
    </w:p>
    <w:p>
      <w:r>
        <w:t>Cortech Consulting Group is an international development consulting firm headquartered in Nairobi, Kenya, with additional offices in Mogadishu, Somalia and London, United Kingdom. Since our establishment in 2015, we have completed multiple monitoring, evaluation and policy-focused consultancies for INGO, NGO, CSO, multilateral and government clients across Kenya, Somalia, Ethiopia, Sudan, South Sudan, Uganda, Tanzania, Malawi and Djibouti, giving us direct operational familiarity with both countries named in the scope of this assignment. Cortech is a registered company in Kenya and in the United Kingdom, and is licensed to operate in Somalia. The firm holds ISO certification and maintains an active child safeguarding policy and PSEA policy, both of which are applied to evaluations involving sensitive respondent categories such as government officials and community members.</w:t>
      </w:r>
    </w:p>
    <w:p>
      <w:r>
        <w:t>Cortech's core thematic areas include Monitoring, Evaluation and Learning (MEL); Research, Assessment and Documentation; Policy Analysis and Advocacy; Urban Resilience and Climate Adaptation; Community Engagement and Participatory Research; and Livelihoods and Economic Inclusion. Our evaluation teams apply the OECD-DAC criteria as standard practice, supported by KoboToolbox for digital data collection, NVivo for qualitative coding, SPSS and Python/R for quantitative analysis, and participatory action research techniques for stakeholder consultation. We have delivered evaluations and assessments for the World Bank, the African Union, IGAD, UNDP, UN Women, UNICEF, IOM, GIZ, DANIDA, the European Union and the Government of Ireland, among others, giving the firm working familiarity with development finance institutions, multi-stakeholder policy processes and donor accountability requirements comparable to those Christian Aid applies to its Charles Stewart Mott Foundation-funded portfolio.</w:t>
      </w:r>
    </w:p>
    <w:p>
      <w:r>
        <w:t>What distinguishes Cortech from competing firms for this assignment is the combination of an established Kenya base, prior evaluation work extending into Malawi's regional neighbourhood, and a policy-analysis practice area that sits alongside, rather than apart from, our MEL specialism. Our evaluation teams are accustomed to working with civil society coalitions, faith-based networks and government departments simultaneously, disaggregating stakeholder data by type, gender and geography, and applying contribution-based analysis where attribution to a single actor is not feasible — precisely the analytical posture this evaluation requires when tracing civil society influence on African Development Bank (AfDB) processes such as Country Strategy Papers and Mission 300 Energy Compacts.</w:t>
      </w:r>
    </w:p>
    <w:p>
      <w:pPr>
        <w:pStyle w:val="Heading2"/>
      </w:pPr>
      <w:r>
        <w:t>SECTION 2 —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Independent Evaluation of the Sida-Funded Sub-Saharan Africa Energy Access Programme (REACT SSA)</w:t>
            </w:r>
          </w:p>
        </w:tc>
        <w:tc>
          <w:tcPr>
            <w:tcW w:type="dxa" w:w="1440"/>
          </w:tcPr>
          <w:p>
            <w:r/>
            <w:r>
              <w:t>AECF Africa (Africa Enterprise Challenge Fund)</w:t>
            </w:r>
          </w:p>
        </w:tc>
        <w:tc>
          <w:tcPr>
            <w:tcW w:type="dxa" w:w="1440"/>
          </w:tcPr>
          <w:p>
            <w:r/>
            <w:r>
              <w:t>Kenya, Somalia, Ethiopia, Sub-Saharan Africa</w:t>
            </w:r>
          </w:p>
        </w:tc>
        <w:tc>
          <w:tcPr>
            <w:tcW w:type="dxa" w:w="1440"/>
          </w:tcPr>
          <w:p>
            <w:r/>
            <w:r>
              <w:t>2024</w:t>
            </w:r>
          </w:p>
        </w:tc>
        <w:tc>
          <w:tcPr>
            <w:tcW w:type="dxa" w:w="1440"/>
          </w:tcPr>
          <w:p>
            <w:r/>
            <w:r>
              <w:t>Multi-country evaluation of a renewable energy access programme; phased inception–desk review–tool development–fieldwork design; evaluation matrices built against programme-specific objectives and questions</w:t>
            </w:r>
          </w:p>
        </w:tc>
        <w:tc>
          <w:tcPr>
            <w:tcW w:type="dxa" w:w="1440"/>
          </w:tcPr>
          <w:p>
            <w:r/>
            <w:r>
              <w:t>Directly evidences Cortech's capacity to evaluate renewable energy access financing programmes at multi-country scale, matching this assignment's requirement for an evaluator with "renewable energy access, decentralised renewable energy...and climate finance" expertise and an evaluation matrix approach anchored in the logframe.</w:t>
            </w:r>
          </w:p>
        </w:tc>
      </w:tr>
      <w:tr>
        <w:tc>
          <w:tcPr>
            <w:tcW w:type="dxa" w:w="1440"/>
          </w:tcPr>
          <w:p>
            <w:r/>
            <w:r>
              <w:t>Endline Evaluation of the EU–NEGAAD Project: Supporting Climate Adaptation and Durable Solutions for Displacement-Affected Communities in the Shabelle River Basin, Afgoye District</w:t>
            </w:r>
          </w:p>
        </w:tc>
        <w:tc>
          <w:tcPr>
            <w:tcW w:type="dxa" w:w="1440"/>
          </w:tcPr>
          <w:p>
            <w:r/>
            <w:r>
              <w:t>Concern Worldwide, Somalia Programme</w:t>
            </w:r>
          </w:p>
        </w:tc>
        <w:tc>
          <w:tcPr>
            <w:tcW w:type="dxa" w:w="1440"/>
          </w:tcPr>
          <w:p>
            <w:r/>
            <w:r>
              <w:t>Somalia</w:t>
            </w:r>
          </w:p>
        </w:tc>
        <w:tc>
          <w:tcPr>
            <w:tcW w:type="dxa" w:w="1440"/>
          </w:tcPr>
          <w:p>
            <w:r/>
            <w:r>
              <w:t>2025</w:t>
            </w:r>
          </w:p>
        </w:tc>
        <w:tc>
          <w:tcPr>
            <w:tcW w:type="dxa" w:w="1440"/>
          </w:tcPr>
          <w:p>
            <w:r/>
            <w:r>
              <w:t>Mixed-methods endline evaluation covering 42,000 displacement-affected beneficiaries; climate adaptation and multi-sectoral results tracked against project indicators</w:t>
            </w:r>
          </w:p>
        </w:tc>
        <w:tc>
          <w:tcPr>
            <w:tcW w:type="dxa" w:w="1440"/>
          </w:tcPr>
          <w:p>
            <w:r/>
            <w:r>
              <w:t>Demonstrates delivery of mixed-methods evaluations of climate-focused development interventions at scale, relevant to this assignment's requirement for a "participatory, mixed-methods approach" assessing climate-related results against logframe targets.</w:t>
            </w:r>
          </w:p>
        </w:tc>
      </w:tr>
      <w:tr>
        <w:tc>
          <w:tcPr>
            <w:tcW w:type="dxa" w:w="1440"/>
          </w:tcPr>
          <w:p>
            <w:r/>
            <w:r>
              <w:t>Endline Evaluation of 'Promoting the Resilience and Peaceful Co-existence of Communities Affected by the Climate Crisis'</w:t>
            </w:r>
          </w:p>
        </w:tc>
        <w:tc>
          <w:tcPr>
            <w:tcW w:type="dxa" w:w="1440"/>
          </w:tcPr>
          <w:p>
            <w:r/>
            <w:r>
              <w:t>Lutheran World Federation</w:t>
            </w:r>
          </w:p>
        </w:tc>
        <w:tc>
          <w:tcPr>
            <w:tcW w:type="dxa" w:w="1440"/>
          </w:tcPr>
          <w:p>
            <w:r/>
            <w:r>
              <w:t>Somalia, Horn of Africa</w:t>
            </w:r>
          </w:p>
        </w:tc>
        <w:tc>
          <w:tcPr>
            <w:tcW w:type="dxa" w:w="1440"/>
          </w:tcPr>
          <w:p>
            <w:r/>
            <w:r>
              <w:t>2026</w:t>
            </w:r>
          </w:p>
        </w:tc>
        <w:tc>
          <w:tcPr>
            <w:tcW w:type="dxa" w:w="1440"/>
          </w:tcPr>
          <w:p>
            <w:r/>
            <w:r>
              <w:t>Endline evaluation of a multi-sectoral humanitarian-development-peace nexus project; geographically dispersed data collection across fragile settings with ethics-compliant fieldwork</w:t>
            </w:r>
          </w:p>
        </w:tc>
        <w:tc>
          <w:tcPr>
            <w:tcW w:type="dxa" w:w="1440"/>
          </w:tcPr>
          <w:p>
            <w:r/>
            <w:r>
              <w:t>Evidences capacity to manage geographically dispersed, multi-stakeholder evaluations under ethical constraints, matching the Kenya-and-Malawi scope and the OECD-DAC/UNEG ethics requirements set out for this assignment.</w:t>
            </w:r>
          </w:p>
        </w:tc>
      </w:tr>
      <w:tr>
        <w:tc>
          <w:tcPr>
            <w:tcW w:type="dxa" w:w="1440"/>
          </w:tcPr>
          <w:p>
            <w:r/>
            <w:r>
              <w:t>Final Evaluation of the Finance for Inclusive Growth (FIG) Somalia Programme</w:t>
            </w:r>
          </w:p>
        </w:tc>
        <w:tc>
          <w:tcPr>
            <w:tcW w:type="dxa" w:w="1440"/>
          </w:tcPr>
          <w:p>
            <w:r/>
            <w:r>
              <w:t>African Enterprise Challenge Fund (AECF)</w:t>
            </w:r>
          </w:p>
        </w:tc>
        <w:tc>
          <w:tcPr>
            <w:tcW w:type="dxa" w:w="1440"/>
          </w:tcPr>
          <w:p>
            <w:r/>
            <w:r>
              <w:t>Somalia</w:t>
            </w:r>
          </w:p>
        </w:tc>
        <w:tc>
          <w:tcPr>
            <w:tcW w:type="dxa" w:w="1440"/>
          </w:tcPr>
          <w:p>
            <w:r/>
            <w:r>
              <w:t>2025</w:t>
            </w:r>
          </w:p>
        </w:tc>
        <w:tc>
          <w:tcPr>
            <w:tcW w:type="dxa" w:w="1440"/>
          </w:tcPr>
          <w:p>
            <w:r/>
            <w:r>
              <w:t>Final evaluation of an EU-funded five-year financial inclusion programme working with six financial institutions; fieldwork across multiple Somali regions with specialist financial-sector data collection tools</w:t>
            </w:r>
          </w:p>
        </w:tc>
        <w:tc>
          <w:tcPr>
            <w:tcW w:type="dxa" w:w="1440"/>
          </w:tcPr>
          <w:p>
            <w:r/>
            <w:r>
              <w:t>Demonstrates prior work evaluating finance-sector programmes and institutional partnerships for a multilateral challenge fund, relevant to this assignment's focus on public finance accountability and financing modalities for energy access.</w:t>
            </w:r>
          </w:p>
        </w:tc>
      </w:tr>
      <w:tr>
        <w:tc>
          <w:tcPr>
            <w:tcW w:type="dxa" w:w="1440"/>
          </w:tcPr>
          <w:p>
            <w:r/>
            <w:r>
              <w:t>Endline Evaluation of the Continuity in Crisis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Endline evaluation of an NCD care initiative for refugees, migrants and vulnerable populations across four Kenyan counties; alignment with OECD-DAC and IFRC 2024 standards</w:t>
            </w:r>
          </w:p>
        </w:tc>
        <w:tc>
          <w:tcPr>
            <w:tcW w:type="dxa" w:w="1440"/>
          </w:tcPr>
          <w:p>
            <w:r/>
            <w:r>
              <w:t>Confirms Cortech's standing capacity to design and deliver OECD-DAC-aligned evaluations in Kenya, the primary evaluation location named in this assignment's scope.</w:t>
            </w:r>
          </w:p>
        </w:tc>
      </w:tr>
      <w:tr>
        <w:tc>
          <w:tcPr>
            <w:tcW w:type="dxa" w:w="1440"/>
          </w:tcPr>
          <w:p>
            <w:r/>
            <w:r>
              <w:t>Provision of Consultancy Services for Endline Evaluation in Mandera Under RACIDA's IRR Project</w:t>
            </w:r>
          </w:p>
        </w:tc>
        <w:tc>
          <w:tcPr>
            <w:tcW w:type="dxa" w:w="1440"/>
          </w:tcPr>
          <w:p>
            <w:r/>
            <w:r>
              <w:t>Rural Agency for Community Development Assistance (RACIDA)</w:t>
            </w:r>
          </w:p>
        </w:tc>
        <w:tc>
          <w:tcPr>
            <w:tcW w:type="dxa" w:w="1440"/>
          </w:tcPr>
          <w:p>
            <w:r/>
            <w:r>
              <w:t>Kenya</w:t>
            </w:r>
          </w:p>
        </w:tc>
        <w:tc>
          <w:tcPr>
            <w:tcW w:type="dxa" w:w="1440"/>
          </w:tcPr>
          <w:p>
            <w:r/>
            <w:r>
              <w:t>2025</w:t>
            </w:r>
          </w:p>
        </w:tc>
        <w:tc>
          <w:tcPr>
            <w:tcW w:type="dxa" w:w="1440"/>
          </w:tcPr>
          <w:p>
            <w:r/>
            <w:r>
              <w:t>Endline evaluation of an integrated drought and flood recovery project across four sectors in Mandera County; multidisciplinary team and evidence-based sectoral methodologies</w:t>
            </w:r>
          </w:p>
        </w:tc>
        <w:tc>
          <w:tcPr>
            <w:tcW w:type="dxa" w:w="1440"/>
          </w:tcPr>
          <w:p>
            <w:r/>
            <w:r>
              <w:t>Evidences a multidisciplinary evaluation team structure and county-level stakeholder engagement in Kenya, supporting the stakeholder mapping matrix approach required for disaggregated data collection by country and stakeholder type.</w:t>
            </w:r>
          </w:p>
        </w:tc>
      </w:tr>
      <w:tr>
        <w:tc>
          <w:tcPr>
            <w:tcW w:type="dxa" w:w="1440"/>
          </w:tcPr>
          <w:p>
            <w:r/>
            <w:r>
              <w:t>End-Term Evaluation of the Resilience, Health and Rights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End-term evaluation of an integrated resilience project across five arid and semi-arid counties, covering displaced and host communities and multiple institutional stakeholders</w:t>
            </w:r>
          </w:p>
        </w:tc>
        <w:tc>
          <w:tcPr>
            <w:tcW w:type="dxa" w:w="1440"/>
          </w:tcPr>
          <w:p>
            <w:r/>
            <w:r>
              <w:t>Demonstrates prior end-term evaluation delivery in Kenya spanning multiple institutional stakeholder categories, directly relevant to this assignment's requirement to evaluate government, CSO, faith actor and community-level engagement.</w:t>
            </w:r>
          </w:p>
        </w:tc>
      </w:tr>
      <w:tr>
        <w:tc>
          <w:tcPr>
            <w:tcW w:type="dxa" w:w="1440"/>
          </w:tcPr>
          <w:p>
            <w:r/>
            <w:r>
              <w:t>Endline Evaluation of Continuity in Crisis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Health systems endline evaluation in complex humanitarian settings; led by a senior public health specialist with over a decade of relevant evaluation experience</w:t>
            </w:r>
          </w:p>
        </w:tc>
        <w:tc>
          <w:tcPr>
            <w:tcW w:type="dxa" w:w="1440"/>
          </w:tcPr>
          <w:p>
            <w:r/>
            <w:r>
              <w:t>Confirms Cortech's ability to field senior evaluators with 10+ years of experience, meeting the ten-year minimum experience requirement stated for the lead evaluator on this assignment.</w:t>
            </w:r>
          </w:p>
        </w:tc>
      </w:tr>
    </w:tbl>
    <w:p>
      <w:r>
        <w:br w:type="page"/>
      </w:r>
    </w:p>
    <w:p>
      <w:pPr>
        <w:pStyle w:val="Heading1"/>
      </w:pPr>
      <w:r>
        <w:t>Introduction, Background &amp; Conceptual Framework</w:t>
      </w:r>
    </w:p>
    <w:p>
      <w:pPr>
        <w:pStyle w:val="Heading2"/>
      </w:pPr>
      <w:r>
        <w:t>5.1 Context and Strategic Importance</w:t>
      </w:r>
    </w:p>
    <w:p>
      <w:r>
        <w:t>Christian Aid, with support from the Charles Stewart Mott Foundation, has for the past three years (2024–2026) implemented the "Catalyzing Multilateral Development Banks Financing for Energy access in Africa" project, working through two national civil society partners — the Kenya Climate Change Working Group (KCCWG) in Kenya and the Civil Society Network on Climate Change (CISONECC) in Malawi. The project's goal is to inform transformative African Development Bank (AfDB) policies, practices and investments that support a rapid shift away from fossil fuel dependency towards low carbon alternatives while guaranteeing universal access to clean and affordable renewable energy, pursued through two interlinked objectives: strengthening civil society engagement with AfDB and other Multilateral Development Banks (MDBs) for just and accountable financing of decentralized sustainable renewable energy, and increasing di-investment of public finance away from fossil fuels in favour of locally led sustainable renewable energy systems. This evaluation arrives at a strategically significant moment, as AfDB's Mission 300 Country Compacts and Country Strategy Papers processes continue to evolve, meaning the findings will directly inform how Christian Aid and its partners position future engagement with the Bank.</w:t>
      </w:r>
    </w:p>
    <w:p>
      <w:pPr>
        <w:pStyle w:val="Heading2"/>
      </w:pPr>
      <w:r>
        <w:t>5.2 Purpose and Objectives</w:t>
      </w:r>
    </w:p>
    <w:p>
      <w:r>
        <w:t>The purpose of this end-term evaluation, as set out in the Terms of Reference, is to assess the extent to which the Energy Access Project achieved its intended objectives, outcomes and results, and to generate evidence-based learning to inform future programming, advocacy, partnerships and engagement with the AfDB. The six specific objectives — assessing the project's contribution to AfDB-related policy frameworks including Mission 300 Country Compacts and Country Strategy Papers; analysing contribution to civil society coordination, advocacy capacity, knowledge generation and policy influence; assessing effectiveness, efficiency and value-for-money of civil society and faith actors' engagement with AfDB; assessing GESI considerations in design, engagement and results; identifying lessons and risks affecting sustainability of civil society and faith actor engagement beyond the project period; and documenting actionable recommendations for future AfDB/MDB engagement — together require the evaluation to serve both an accountability function against planned results and a learning function for future advocacy.</w:t>
      </w:r>
    </w:p>
    <w:p>
      <w:pPr>
        <w:pStyle w:val="Heading2"/>
      </w:pPr>
      <w:r>
        <w:t>5.3 Our Interpretation of the Assignment</w:t>
      </w:r>
    </w:p>
    <w:p>
      <w:r>
        <w:t>Cortech interprets this assignment as fundamentally a contribution-based policy-influencing evaluation rather than a conventional project-completion audit: the central analytical challenge is establishing plausible linkage between project activities — convenings, dialogues, research, AfDB annual meetings and CSO forums engagement — and shifts in AfDB/MDB policy, financing priorities and public narratives on decentralised renewable energy (DRE), in a field where multiple actors and external events also shape outcomes. A constraint the Terms of Reference imply but do not spell out is that the evaluation's scope covers both Kenya and Malawi despite the opportunity's title referencing "Kenya" alone; this means fieldwork, stakeholder mapping and validation must be designed and sequenced across two countries and two partner organisations (KCCWG and CISONECC) within the same eight-week window, requiring parallel rather than sequential data collection tracks and early confirmation of access arrangements with both partners at the contracting stage. A second implicit constraint concerns respondent sensitivity: because the sample includes AfDB officials, government representatives and media actors, confidentiality protocols must be operational before any interview is scheduled, which may in turn limit the volume of on-record, attributable evidence available for the impact and contribution question and must be planned for rather than resolved retrospectively.</w:t>
      </w:r>
    </w:p>
    <w:p>
      <w:pPr>
        <w:pStyle w:val="Heading2"/>
      </w:pPr>
      <w:r>
        <w:t>5.4 Key Evaluation Questions</w:t>
      </w:r>
    </w:p>
    <w:p>
      <w:r>
        <w:t>Cortech will structure the evaluation matrix around the client's own question groupings, exactly as set out in Section 5.0 of the Terms of Reference:</w:t>
      </w:r>
    </w:p>
    <w:p>
      <w:pPr>
        <w:pStyle w:val="ListBullet"/>
      </w:pPr>
      <w:r>
        <w:rPr>
          <w:b/>
        </w:rPr>
        <w:t>Effectiveness:</w:t>
      </w:r>
      <w:r>
        <w:t xml:space="preserve"> To what extent were the project's results (per the Theory of Change) achieved against the indicators and targets set out in the logframe? Which interventions were most effective in influencing AfDB policy and advocacy processes, substantiated with evidence? Where did results exceed or fall short of targets, and why?</w:t>
      </w:r>
    </w:p>
    <w:p>
      <w:pPr>
        <w:pStyle w:val="ListBullet"/>
      </w:pPr>
      <w:r>
        <w:rPr>
          <w:b/>
        </w:rPr>
        <w:t>Relevance:</w:t>
      </w:r>
      <w:r>
        <w:t xml:space="preserve"> How well did the project fit the priorities, capacity needs and advocacy opportunities of African CSOs, coalitions and faith actors on energy access, DRE and just transition, and how well did it adapt as AfDB and MDB priorities shifted over the project period?</w:t>
      </w:r>
    </w:p>
    <w:p>
      <w:pPr>
        <w:pStyle w:val="ListBullet"/>
      </w:pPr>
      <w:r>
        <w:rPr>
          <w:b/>
        </w:rPr>
        <w:t>Coherence and partnership:</w:t>
      </w:r>
      <w:r>
        <w:t xml:space="preserve"> Internally, how well did the project's workstreams (convenings, dialogues, CSO positioning, AfDB engagement, learning platform) reinforce one another? Externally, how well did the project align and avoid duplication with other AfDB and MDB advocacy coalitions, national energy policy and NDC processes, and other donor-funded energy-access initiatives?</w:t>
      </w:r>
    </w:p>
    <w:p>
      <w:pPr>
        <w:pStyle w:val="ListBullet"/>
      </w:pPr>
      <w:r>
        <w:rPr>
          <w:b/>
        </w:rPr>
        <w:t>Sustainability and learning:</w:t>
      </w:r>
      <w:r>
        <w:t xml:space="preserve"> What results, partnerships, advocacy outcomes, knowledge products or coordination mechanisms are likely to continue beyond the project period? What lessons should inform future work on energy access/DRE, public finance, AfDB engagement and just transition advocacy?</w:t>
      </w:r>
    </w:p>
    <w:p>
      <w:pPr>
        <w:pStyle w:val="ListBullet"/>
      </w:pPr>
      <w:r>
        <w:rPr>
          <w:b/>
        </w:rPr>
        <w:t>Efficiency:</w:t>
      </w:r>
      <w:r>
        <w:t xml:space="preserve"> Were project resources (funding, staff time, KCCWG and CISONECC partner capacity) converted into outputs and outcomes in a timely, economical way? Were there more cost-efficient modalities for achieving the same advocacy reach (e.g., side events versus standalone missions)? Were there delays, and what caused them?</w:t>
      </w:r>
    </w:p>
    <w:p>
      <w:pPr>
        <w:pStyle w:val="ListBullet"/>
      </w:pPr>
      <w:r>
        <w:rPr>
          <w:b/>
        </w:rPr>
        <w:t>Impact and contribution:</w:t>
      </w:r>
      <w:r>
        <w:t xml:space="preserve"> To what extent did the project contribute to observed changes in AfDB/MDB policies, strategies, financing priorities, stakeholder positions and public narratives on DRE? What evidence substantiates this contribution, and what alternative or contributing factors should be accounted for?</w:t>
      </w:r>
    </w:p>
    <w:p>
      <w:pPr>
        <w:pStyle w:val="ListBullet"/>
      </w:pPr>
      <w:r>
        <w:rPr>
          <w:b/>
        </w:rPr>
        <w:t>Sustainability:</w:t>
      </w:r>
      <w:r>
        <w:t xml:space="preserve"> Which results, partnerships, advocacy positions, knowledge products or coordination mechanisms (e.g., the learning platform) are likely to continue beyond the project period, and what would be needed to sustain them?</w:t>
      </w:r>
    </w:p>
    <w:p>
      <w:pPr>
        <w:pStyle w:val="ListBullet"/>
      </w:pPr>
      <w:r>
        <w:rPr>
          <w:b/>
        </w:rPr>
        <w:t>Cross-cutting (GESI):</w:t>
      </w:r>
      <w:r>
        <w:t xml:space="preserve"> How were gender equality and social inclusion considered in the project's design, advocacy positions and stakeholder engagement (e.g., representation of women, youth and off-grid/marginalised communities in convenings and dialogues)? Were participation and outcome data disaggregated?</w:t>
      </w:r>
    </w:p>
    <w:p>
      <w:pPr>
        <w:pStyle w:val="Heading2"/>
      </w:pPr>
      <w:r>
        <w:t>5.5 Deliverables</w:t>
      </w:r>
    </w:p>
    <w:p>
      <w:r>
        <w:t>Cortech will produce the six deliverables named in Section 7 of the Terms of Reference: an Inception Report outlining the evaluation approach, methodology, workplan, data collection tools and evaluation matrix; a Draft Evaluation Report presenting preliminary findings, conclusions and recommendations; a Validation Session with Christian Aid and selected partners to discuss emerging findings and strengthen the final report; a Final Evaluation Report incorporating feedback, with clear findings, evidence-based conclusions, lessons learned and practical recommendations; and an Executive Summary together with a short Learning Brief highlighting key findings, advocacy lessons and recommendations for future programming.</w:t>
      </w:r>
    </w:p>
    <w:p>
      <w:pPr>
        <w:pStyle w:val="Heading2"/>
      </w:pPr>
      <w:r>
        <w:t>5.6 Understanding of Success</w:t>
      </w:r>
    </w:p>
    <w:p>
      <w:r>
        <w:t>Cortech understands success in this assignment as an independent, evidence-informed account of achievement against the project's logframe indicators and Theory of Change, delivered through a process — culminating in the validation session — that produces a shared and credible understanding of results among Christian Aid, KCCWG and CISONECC. A successful evaluation will yield forward-looking, practical recommendations that Christian Aid, its implementing partners and wider civil society and faith actors can act on directly in shaping future advocacy on energy access, public finance, MDB reform, fossil fuel phase-out and locally led renewable energy solutions, rather than a retrospective compliance record.</w:t>
      </w:r>
    </w:p>
    <w:p>
      <w:pPr>
        <w:pStyle w:val="Heading2"/>
      </w:pPr>
      <w:r>
        <w:t>SECTION 2 — CONCEPTUAL FRAMEWORK</w:t>
      </w:r>
    </w:p>
    <w:p>
      <w:r>
        <w:t>Cortech will apply the analytical architecture the Terms of Reference itself prescribes: the OECD-DAC evaluation criteria, structured according to the client's own groupings — effectiveness, relevance, coherence and partnership, sustainability and learning, efficiency, impact and contribution, sustainability, and cross-cutting GESI — combined with a dedicated Theory of Change validation question and a GESI lens run across every criterion rather than treated as a stand-alone item. This structure fits the assignment because the project's own results statements are already framed as a chain of policy-influence hypotheses — that coordinated civil society and faith actor input shifts AfDB programme and policy choices, that shared multi-stakeholder positions move decision-makers toward renewable energy investment, and that evidence from research is taken up in AfDB strategy — and the evaluation's task is to test whether that chain held, where it broke, and why.</w:t>
      </w:r>
    </w:p>
    <w:p>
      <w:r>
        <w:t>Because attribution of AfDB/MDB policy shifts to any single project's activities is inherently difficult to isolate — the Terms of Reference say so explicitly — Cortech will apply contribution analysis as the primary method for the impact and contribution and effectiveness questions, and outcome harvesting to surface unanticipated advocacy results (for example, uptake of project research in a Country Strategy Paper process not originally targeted). Both methods will also be used to test the critical assumptions underlying the Theory of Change, so the evaluation explains not only what changed in AfDB positioning and civil society coordination but why, and what alternative or contributing factors — other coalitions, other donor-funded energy-access initiatives, external events at AfDB annual meetings — must be discounted or credited alongside the project.</w:t>
      </w:r>
    </w:p>
    <w:p>
      <w:r>
        <w:t>This framework was applied by Cortech in its evaluation of the Sida-funded, AECF-managed Sub-Saharan Africa Energy Access Programme (REACT SSA) across Kenya, Somalia and Ethiopia, where policy-level and market-systems outcomes similarly could not be attributed to programme activity alone and required a contribution-based evaluation matrix linking programme objectives to specific evaluation questions, indicators and data sources — the same design logic the Terms of Reference asks for here. Cortech will replicate that matrix logic in the inception report, mapping each DAC criterion and question in Section 5.0 to sub-questions, indicators, data sources and methods, disaggregated throughout by country, stakeholder type and gender.</w:t>
      </w:r>
    </w:p>
    <w:p>
      <w:r>
        <w:br w:type="page"/>
      </w:r>
    </w:p>
    <w:p>
      <w:pPr>
        <w:pStyle w:val="Heading1"/>
      </w:pPr>
      <w:r>
        <w:t>Technical Methodology</w:t>
      </w:r>
    </w:p>
    <w:p>
      <w:pPr>
        <w:pStyle w:val="Heading2"/>
      </w:pPr>
      <w:r>
        <w:t>3.1 Overall Approach</w:t>
      </w:r>
    </w:p>
    <w:p>
      <w:r>
        <w:t>Cortech Consulting Group proposes a participatory, mixed-methods evaluation design that treats the project's logframe and Theory of Change as the evaluative spine of the assignment rather than a background reference document. The Energy Access Project pursued two interlinked objectives — strengthening civil society and faith actor engagement with the African Development Bank (AfDB) and other Multilateral Development Banks (MDBs), and shifting public finance away from fossil fuels toward locally led decentralised renewable energy (DRE) — delivered through two national partners, the Kenya Climate Change Working Group (KCCWG) in Kenya and the Civil Society Network on Climate Change (CISONECC) in Malawi. The evaluation design therefore treats Kenya and Malawi as two distinct implementation contexts requiring disaggregated stakeholder mapping, while allowing comparative analysis of how convenings, dialogues, CSO positioning, AfDB engagement and the learning platform reinforced one another within and across both countries.</w:t>
      </w:r>
    </w:p>
    <w:p>
      <w:r>
        <w:t>The design is structured around the ToR's own evaluation matrix logic in Section 5.0 — Effectiveness, Relevance, Coherence and Partnership, Sustainability and Learning, Efficiency, Impact and Contribution, Sustainability, and the GESI cross-cutting lens — plus the Theory of Change validation question. Cortech will not silently reorganise this matrix into a textbook OECD-DAC sequence; the client's own groupings, including the separate treatment of "Sustainability and learning" alongside a later standalone "Sustainability" question, will be preserved and elaborated with sub-questions, indicators, data sources and methods in the inception report, as instructed in Section 6.0.</w:t>
      </w:r>
    </w:p>
    <w:p>
      <w:r>
        <w:t>Because the ToR explicitly flags that attribution of AfDB/MDB policy shifts to a single project is inherently difficult to isolate, Cortech will apply outcome harvesting as the primary method for the Impact and Contribution and Effectiveness questions, supplemented by contribution analysis to test the critical assumptions underlying the project's Theory of Change. This combination allows the evaluation to work backward from observed changes in AfDB policy positions, Country Strategy Papers and Mission 300 Country Compacts, and forward from the project's stated theory, meeting in the middle to establish a defensible contribution story rather than a claim of sole causation.</w:t>
      </w:r>
    </w:p>
    <w:p>
      <w:pPr>
        <w:pStyle w:val="Heading2"/>
      </w:pPr>
      <w:r>
        <w:t>3.2 Phase-by-Phase Breakdown</w:t>
      </w:r>
    </w:p>
    <w:p>
      <w:r>
        <w:rPr>
          <w:b/>
        </w:rPr>
        <w:t>Phase 1 — Contracting, Inception and Document Review (Week 1–3).</w:t>
      </w:r>
      <w:r>
        <w:t xml:space="preserve"> Following contracting and an initial briefing with Christian Aid's project lead and Monitoring and Evaluation lead, the Lead Evaluator will conduct a structured document review covering the project proposal, logframe, Theory of Change, annual technical and donor reports, policy research and briefs, meeting reports, partner reports from KCCWG and CISONECC, media outputs, capacity-building records, and relevant AfDB frameworks including Mission 300 Country Compacts and Country Strategy Papers. This review will produce a logframe achievement matrix scoring each indicator against its target, distinguishing measured performance from narrative claims. The inception report, delivered in Week 3, will present the full evaluation matrix, a stakeholder mapping matrix disaggregated by country (Kenya and Malawi), stakeholder type (CSO, faith actor, AfDB official, private sector, media, government) and gender, the outcome harvesting protocol, data collection instruments built in KoboToolbox, and the confidentiality and data-protection protocol required under Section 10.</w:t>
      </w:r>
    </w:p>
    <w:p>
      <w:r>
        <w:rPr>
          <w:b/>
        </w:rPr>
        <w:t>Phase 2 — Field Work and Stakeholder Consultations (Week 4–5).</w:t>
      </w:r>
      <w:r>
        <w:t xml:space="preserve"> Data collection will run concurrently in Kenya and Malawi through key informant interviews (KIIs) and, where clustering of stakeholder type permits, focus group discussions (FGDs). KIIs will target AfDB officials, KCCWG and CISONECC staff and boards, faith actor representatives, government departments named in the project's engagement record, media contacts, and private-sector actors identified through the stakeholder mapping matrix. Responses will be logged on KoboToolbox in real time, using semi-structured interview guides tailored to each stakeholder type and cross-referenced to the evaluation matrix's sub-questions.</w:t>
      </w:r>
    </w:p>
    <w:p>
      <w:r>
        <w:rPr>
          <w:b/>
        </w:rPr>
        <w:t>Phase 3 — Analysis and Draft Report (Week 5–6).</w:t>
      </w:r>
      <w:r>
        <w:t xml:space="preserve"> Qualitative transcripts will be coded in NVivo against the evaluation matrix nodes (Effectiveness, Relevance, Coherence and Partnership, Efficiency, Impact and Contribution, Sustainability, GESI, Theory of Change assumptions), enabling systematic triangulation across respondent categories and countries. Quantitative participation and outcome data — including disaggregated attendance at convenings, dialogues and AfDB forums — will be analysed in SPSS to produce disaggregated tables by gender, stakeholder type and country. Outcome harvesting statements gathered in the field will be substantiated against documentary evidence and cross-checked with at least one independent corroborating source per claimed outcome, following standard outcome harvesting substantiation practice.</w:t>
      </w:r>
    </w:p>
    <w:p>
      <w:r>
        <w:rPr>
          <w:b/>
        </w:rPr>
        <w:t>Phase 4 — Validation and Finalisation (Week 7–8).</w:t>
      </w:r>
      <w:r>
        <w:t xml:space="preserve"> Preliminary findings will be presented to Christian Aid and selected KCCWG and CISONECC representatives in a validation session before the report is finalised, satisfying the ToR's requirement that emerging findings be checked against stakeholders' lived understanding of the project prior to sign-off. The final evaluation report, executive summary and learning brief will be delivered in Week 8.</w:t>
      </w:r>
    </w:p>
    <w:p>
      <w:pPr>
        <w:pStyle w:val="Heading2"/>
      </w:pPr>
      <w:r>
        <w:t>3.3 Deliverable-Specific Methods</w:t>
      </w:r>
    </w:p>
    <w:p>
      <w:r>
        <w:rPr>
          <w:b/>
        </w:rPr>
        <w:t>Inception Report:</w:t>
      </w:r>
      <w:r>
        <w:t xml:space="preserve"> Produced from the Phase 1 document review and preliminary scoping calls with the Christian Aid project lead; contains the full evaluation matrix, KoboToolbox tool set, stakeholder mapping matrix, outcome harvesting protocol and workplan.</w:t>
      </w:r>
    </w:p>
    <w:p>
      <w:r>
        <w:rPr>
          <w:b/>
        </w:rPr>
        <w:t>Draft Evaluation Report:</w:t>
      </w:r>
      <w:r>
        <w:t xml:space="preserve"> Synthesises the Phase 3 NVivo-coded qualitative findings, SPSS-tabulated participation data, and outcome harvesting statements into findings organised by the ToR's own criteria groupings, with a logframe achievement scorecard as an annex.</w:t>
      </w:r>
    </w:p>
    <w:p>
      <w:r>
        <w:rPr>
          <w:b/>
        </w:rPr>
        <w:t>Validation Session:</w:t>
      </w:r>
      <w:r>
        <w:t xml:space="preserve"> A facilitated half-day session with Christian Aid and selected KCCWG and CISONECC partners, structured around the draft report's key findings; feedback is logged and tracked to closure in a revision matrix appended to the final report.</w:t>
      </w:r>
    </w:p>
    <w:p>
      <w:r>
        <w:rPr>
          <w:b/>
        </w:rPr>
        <w:t>Final Evaluation Report:</w:t>
      </w:r>
      <w:r>
        <w:t xml:space="preserve"> Incorporates validation-session feedback, presents evidence-based conclusions against each of the eight evaluation criteria in Section 5.0, and closes with practical, forward-looking recommendations for Christian Aid, KCCWG, CISONECC and wider civil society and faith actors engaging AfDB and other MDBs.</w:t>
      </w:r>
    </w:p>
    <w:p>
      <w:r>
        <w:rPr>
          <w:b/>
        </w:rPr>
        <w:t>Executive Summary and Learning Brief:</w:t>
      </w:r>
      <w:r>
        <w:t xml:space="preserve"> Distilled from the final report; the learning brief foregrounds advocacy lessons on champions for decentralised renewable energy, engagement modalities value-for-money, and the learning platform's prospects for continuation.</w:t>
      </w:r>
    </w:p>
    <w:p>
      <w:pPr>
        <w:pStyle w:val="Heading2"/>
      </w:pPr>
      <w:r>
        <w:t>3.4 Data Quality Assurance</w:t>
      </w:r>
    </w:p>
    <w:p>
      <w:r>
        <w:t>Cortech will triangulate every substantive finding across at least three sources — document review, KII/FGD testimony, and quantitative participation data — before it is stated as a conclusion. NVivo's matrix-coding query function will be used to cross-tabulate findings by country, stakeholder type and gender, exposing any finding that holds in Kenya but not Malawi, or among CSOs but not faith actors, before it is generalised. SPSS outputs will be independently checked by a second team member prior to inclusion in the draft report. Outcome harvesting statements will be substantiated with named corroborating sources, and any statement that cannot be corroborated will be flagged as unverified rather than presented as an established outcome.</w:t>
      </w:r>
    </w:p>
    <w:p>
      <w:pPr>
        <w:pStyle w:val="Heading2"/>
      </w:pPr>
      <w:r>
        <w:t>3.5 Ethical Considerations Integration</w:t>
      </w:r>
    </w:p>
    <w:p>
      <w:r>
        <w:t>Given that respondents include AfDB officials, government representatives and media actors, Cortech will obtain informed consent from every KII and FGD participant, explaining the evaluation's purpose and intended use of contributions before each session. The inception report will set out, per Section 10.0, how respondent confidentiality will be protected in reporting — including anonymised attribution unless explicit consent for named attribution is given — how KoboToolbox and NVivo data files will be securely stored and access-restricted to the evaluation team, and how findings will be presented in aggregate or anonymised form wherever disclosure could expose an individual respondent. The evaluation will adhere to OECD-DAC/UNEG evaluation ethics norms throughout, and the GESI lens will be applied not only to participation counts but to whether women, youth and off-grid or marginalised community representatives were positioned to influence, rather than merely attend, convenings and dialogues.</w:t>
      </w:r>
    </w:p>
    <w:p>
      <w:r>
        <w:br w:type="page"/>
      </w:r>
    </w:p>
    <w:p>
      <w:pPr>
        <w:pStyle w:val="Heading1"/>
      </w:pPr>
      <w:r>
        <w:t>Sampling Strategy &amp; Data Analysis Plan</w:t>
      </w:r>
    </w:p>
    <w:p>
      <w:pPr>
        <w:pStyle w:val="Heading2"/>
      </w:pPr>
      <w:r>
        <w:t>Sampling and Selection Logic</w:t>
      </w:r>
    </w:p>
    <w:p>
      <w:r>
        <w:t>This assignment is an evaluation of a policy-influencing and civil society coordination project, not a population-based survey, and therefore does not require a probability sample or a calculated confidence interval. The evidence base rests on a finite and identifiable universe of stakeholders who were directly engaged in, or targeted by, the project's activities across Kenya and Malawi — namely staff and members of the Kenya Climate Change Working Group (KCCWG) and the Civil Society Network on Climate Change (CISONECC), Christian Aid project and country staff, faith actors and champions for decentralised renewable energy mobilised through the project, AfDB officials engaged through Country Strategy Papers and Mission 300 Country Compacts processes, media actors who covered decentralised renewable energy (DRE) issues, and relevant government departments. Cortech will therefore apply purposive selection, built on the stakeholder mapping matrix specified in the ToR and disaggregated by country (Kenya and Malawi), stakeholder type (CSO, faith actor, AfDB official, private sector, media and government), and gender. Respondents will be selected for their direct involvement in specific project workstreams — convenings, multi-stakeholder dialogues, AfDB annual meetings and CSO forums, the learning platform, and policy research outputs — so that each interview or focus group discussion (FGD) yields evidence directly relevant to at least one line of the evaluation matrix. Where AfDB officials, government representatives or media actors are approached, selection will prioritise individuals with documented interaction with the project (e.g., named participants in dialogues, signatories to shared CSO positions, or recipients of policy briefs) to maximise the credibility of contribution claims under outcome harvesting. Snowball referral will be used sparingly, only where the desk review and KCCWG/CISONECC staff identify additional champions or AfDB counterparts not captured in the initial stakeholder map, and any referred respondent will be validated against the project's own records before inclusion.</w:t>
      </w:r>
    </w:p>
    <w:p>
      <w:pPr>
        <w:pStyle w:val="Heading2"/>
      </w:pPr>
      <w:r>
        <w:t>SECTION 2 — DATA ANALYSIS PLAN</w:t>
      </w:r>
    </w:p>
    <w:p>
      <w:r>
        <w:t>Quantitative data will originate primarily from the project logframe — indicator values, targets and reported achievement figures disaggregated by country, stakeholder type and gender — together with any participation registers from convenings, dialogues and the learning platform. This dataset will be compiled and cleaned in SPSS to produce descriptive statistics (frequencies, proportions and cross-tabulations of indicator performance against targets, disaggregated by Kenya and Malawi and by gender) that anchor the effectiveness assessment in measurable results rather than narrative impression, consistent with the ToR's instruction that achievement be assessed against "specific indicators and targets set out in the project logframe." Where sufficient data points exist across the reporting period (2024–2026), simple trend analysis will track indicator movement over time to identify where results exceeded or fell short of targets and at what stage of implementation.</w:t>
      </w:r>
    </w:p>
    <w:p>
      <w:r>
        <w:t>Qualitative data from key informant interviews, focus group discussions, and the document review (project proposal, Theory of Change, annual technical and donor reports, policy briefs, meeting reports, media outputs) will be coded in NVivo using a coding framework built directly from the evaluation matrix, with parent nodes for each OECD-DAC criterion and question grouping in Section 5 of the ToR — effectiveness, relevance, coherence and partnership, efficiency, impact and contribution, sustainability and learning, sustainability, and the GESI cross-cutting lens — plus a dedicated node set for Theory of Change assumption-testing. Thematic analysis will identify recurring patterns of contribution to AfDB and MDB policy shifts, enabling factors, and challenges, with attention to variation between Kenya and Malawi and between stakeholder types.</w:t>
      </w:r>
    </w:p>
    <w:p>
      <w:r>
        <w:t>Triangulation will occur at two points. First, indicator-level quantitative findings will be cross-checked against qualitative accounts from KCCWG, CISONECC, Christian Aid staff and AfDB counterparts to test whether reported outputs (e.g., participation in Country Strategy Papers processes) correspond to the outcomes claimed. Second, outcome harvesting evidence — narrative accounts of observed change substantiated by corroborating documents or a second respondent — will be applied specifically to policy and advocacy outcomes where attribution cannot be isolated statistically, allowing the evaluation to state the project's plausible contribution alongside alternative or contributing factors, as required in Section 5 of the ToR.</w:t>
      </w:r>
    </w:p>
    <w:p>
      <w:r>
        <w:br w:type="page"/>
      </w:r>
    </w:p>
    <w:p>
      <w:pPr>
        <w:pStyle w:val="Heading1"/>
      </w:pPr>
      <w:r>
        <w:t>Quality Assurance &amp; Ethical Considerations</w:t>
      </w:r>
    </w:p>
    <w:p>
      <w:r>
        <w:t>Cortech Consulting Group will embed quality assurance as a continuous discipline across the eight-week workplan, rather than as a terminal check applied only to the final report, so that errors in design, data or interpretation are caught at the phase where they originate.</w:t>
      </w:r>
    </w:p>
    <w:p>
      <w:r>
        <w:t xml:space="preserve">At </w:t>
      </w:r>
      <w:r>
        <w:rPr>
          <w:b/>
        </w:rPr>
        <w:t>Week 3 (Document review and inception report)</w:t>
      </w:r>
      <w:r>
        <w:t>, quality assurance centres on methodological soundness: the evaluation matrix linking each Section 5.0 evaluation question — Effectiveness, Relevance, Coherence and Partnership, Efficiency, Impact and Contribution, Sustainability and Learning, Sustainability, and the GESI cross-cutting lens, together with the Theory of Change validation question — to sub-questions, indicators, data sources and methods will undergo internal peer review by a second senior evaluator before submission to Christian Aid. This review checks that the logframe indicators for both project objectives are traceable through the matrix and that the outcome harvesting/contribution analysis design is fit for testing the Theory of Change assumptions.</w:t>
      </w:r>
    </w:p>
    <w:p>
      <w:r>
        <w:t xml:space="preserve">At </w:t>
      </w:r>
      <w:r>
        <w:rPr>
          <w:b/>
        </w:rPr>
        <w:t>Week 4-5 (Data collection and stakeholder consultations)</w:t>
      </w:r>
      <w:r>
        <w:t>, the stakeholder mapping matrix disaggregated by country (Kenya and Malawi), stakeholder type (CSO, faith actor, AfDB official, private sector, media, government) and gender will be reconciled daily against completed interviews and focus group discussions to confirm coverage across KCCWG and CISONECC constituencies before the team leaves the field. Interview notes and transcripts will be cross-checked against the evaluation matrix same-day to flag gaps requiring follow-up while respondents remain accessible.</w:t>
      </w:r>
    </w:p>
    <w:p>
      <w:r>
        <w:t xml:space="preserve">At </w:t>
      </w:r>
      <w:r>
        <w:rPr>
          <w:b/>
        </w:rPr>
        <w:t>Week 5-6 (Data analysis and draft report)</w:t>
      </w:r>
      <w:r>
        <w:t>, findings will be triangulated across document review, KII/FGD data and logframe indicator performance before being written into the draft evaluation report, with a second reviewer verifying that conclusions on effectiveness, impact and contribution are evidenced rather than narrative.</w:t>
      </w:r>
    </w:p>
    <w:p>
      <w:r>
        <w:t xml:space="preserve">At </w:t>
      </w:r>
      <w:r>
        <w:rPr>
          <w:b/>
        </w:rPr>
        <w:t>Week 7 (Validation meeting and feedback)</w:t>
      </w:r>
      <w:r>
        <w:t>, emerging findings will be tested directly with Christian Aid and selected partners, and discrepancies logged and resolved before the report is finalised — the explicit checkpoint the Terms of Reference require prior to finalisation.</w:t>
      </w:r>
    </w:p>
    <w:p>
      <w:r>
        <w:t xml:space="preserve">At </w:t>
      </w:r>
      <w:r>
        <w:rPr>
          <w:b/>
        </w:rPr>
        <w:t>Week 8 (Final report and learning brief)</w:t>
      </w:r>
      <w:r>
        <w:t>, a final consistency check confirms that the executive summary, learning brief and final report present a single, reconciled account of results.</w:t>
      </w:r>
    </w:p>
    <w:p>
      <w:pPr>
        <w:pStyle w:val="Heading2"/>
      </w:pPr>
      <w:r>
        <w:t>SECTION 2 — ETHICAL CONSIDERATIONS AND SAFEGUARDING</w:t>
      </w:r>
    </w:p>
    <w:p>
      <w:r>
        <w:t>The Terms of Reference require that "the consultant must ensure informed consent is obtained from all interview and focus-group participants" and that the evaluation "adhere to OECD-DAC/UNEG evaluation ethics norms throughout." Cortech Consulting Group is ISO certified and maintains an active child safeguarding policy and PSEA (Protection from Sexual Exploitation and Abuse) policy compliance, applied to every assignment involving human respondents regardless of sector.</w:t>
      </w:r>
    </w:p>
    <w:p>
      <w:r>
        <w:t>Informed consent will be obtained verbally or in writing from every key informant and focus group participant, with a plain-language explanation of the evaluation's purpose, voluntary participation, and how contributions on civil society engagement with the African Development Bank (AfDB) will be used. Given that the Terms of Reference identify a respondent pool including "AfDB officials, government representatives and media actors," the inception report will set out a confidentiality protocol specifying that direct quotations from these categories will be anonymised by role and country (Kenya or Malawi) unless explicit attribution consent is given in writing. Interview recordings and transcripts will be stored on access-controlled, encrypted Cortech systems, with identifying information stripped from analysis files and retained only by the lead evaluator for the duration of the assignment.</w:t>
      </w:r>
    </w:p>
    <w:p>
      <w:r>
        <w:t>The vulnerable and sensitive groups relevant to this assignment include women, youth and off-grid or marginalised communities referenced in the GESI cross-cutting question, whose representation in convenings and dialogues will be assessed without exposing individual participants to risk of reprisal from institutional actors they may have engaged with in advocacy spaces. Focus group facilitation with community-level participants will follow do-no-harm principles: sessions will be scheduled and located to avoid disrupting livelihoods, facilitated in a manner that does not require participants to criticise named institutions on record, and closed with a debrief clarifying next steps and how findings will reach them.</w:t>
      </w:r>
    </w:p>
    <w:p>
      <w:r>
        <w:t>Where local ethical clearance or research permits are required in Kenya or Malawi for engaging government or community respondents, Cortech will secure these prior to fieldwork and report compliance status in the inception report submitted to Christian Aid's project lead and Monitoring and Evaluation lead.</w:t>
      </w:r>
    </w:p>
    <w:p>
      <w:r>
        <w:br w:type="page"/>
      </w:r>
    </w:p>
    <w:p>
      <w:pPr>
        <w:pStyle w:val="Heading1"/>
      </w:pPr>
      <w:r>
        <w:t>Risk Management</w:t>
      </w:r>
    </w:p>
    <w:p>
      <w:r>
        <w:t>Cortech has carried out evaluation fieldwork across Kenya and, through its wider East and Southern Africa network, understands the operational realities of coordinating multi-country assignments with dispersed civil society, faith actor and government respondents. The risks below reflect the specific character of this evaluation: a two-country assignment (Kenya and Malawi) working through KCCWG and CISONECC, engaging sensitive respondent categories including AfDB officials, government representatives and media actors, and operating within a compressed eight-week window with a mandatory validation gate before finalisation.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Stakeholder access — AfDB and MDB officials</w:t>
            </w:r>
          </w:p>
        </w:tc>
        <w:tc>
          <w:tcPr>
            <w:tcW w:type="dxa" w:w="1728"/>
          </w:tcPr>
          <w:p>
            <w:r/>
            <w:r>
              <w:t>AfDB officials and other MDB representatives are high-demand, low-availability respondents whose schedules are driven by institutional calendars (e.g., annual meetings) outside the evaluation's control.</w:t>
            </w:r>
          </w:p>
        </w:tc>
        <w:tc>
          <w:tcPr>
            <w:tcW w:type="dxa" w:w="1728"/>
          </w:tcPr>
          <w:p>
            <w:r/>
            <w:r>
              <w:t>Medium</w:t>
            </w:r>
          </w:p>
        </w:tc>
        <w:tc>
          <w:tcPr>
            <w:tcW w:type="dxa" w:w="1728"/>
          </w:tcPr>
          <w:p>
            <w:r/>
            <w:r>
              <w:t>High</w:t>
            </w:r>
          </w:p>
        </w:tc>
        <w:tc>
          <w:tcPr>
            <w:tcW w:type="dxa" w:w="1728"/>
          </w:tcPr>
          <w:p>
            <w:r/>
            <w:r>
              <w:t>Request Christian Aid's early facilitation of introductions per the Management and Reporting Arrangements; issue interview requests in Week 3 alongside inception report circulation; offer flexible virtual slots and a defined window for AfDB responses before the data collection phase closes.</w:t>
            </w:r>
          </w:p>
        </w:tc>
      </w:tr>
      <w:tr>
        <w:tc>
          <w:tcPr>
            <w:tcW w:type="dxa" w:w="1728"/>
          </w:tcPr>
          <w:p>
            <w:r/>
            <w:r>
              <w:t>Government and stakeholder engagement — Kenya and Malawi</w:t>
            </w:r>
          </w:p>
        </w:tc>
        <w:tc>
          <w:tcPr>
            <w:tcW w:type="dxa" w:w="1728"/>
          </w:tcPr>
          <w:p>
            <w:r/>
            <w:r>
              <w:t>Government departments in both countries may require formal notification or clearance before staff participate in key informant interviews, particularly where discussions touch Country Strategy Papers or Mission 300 Country Compacts.</w:t>
            </w:r>
          </w:p>
        </w:tc>
        <w:tc>
          <w:tcPr>
            <w:tcW w:type="dxa" w:w="1728"/>
          </w:tcPr>
          <w:p>
            <w:r/>
            <w:r>
              <w:t>Medium</w:t>
            </w:r>
          </w:p>
        </w:tc>
        <w:tc>
          <w:tcPr>
            <w:tcW w:type="dxa" w:w="1728"/>
          </w:tcPr>
          <w:p>
            <w:r/>
            <w:r>
              <w:t>Medium</w:t>
            </w:r>
          </w:p>
        </w:tc>
        <w:tc>
          <w:tcPr>
            <w:tcW w:type="dxa" w:w="1728"/>
          </w:tcPr>
          <w:p>
            <w:r/>
            <w:r>
              <w:t>Submit courtesy notifications through KCCWG and CISONECC at inception; align interview requests with each government's standard clearance practice; build a buffer of alternative respondent contacts per stakeholder category into the stakeholder mapping matrix.</w:t>
            </w:r>
          </w:p>
        </w:tc>
      </w:tr>
      <w:tr>
        <w:tc>
          <w:tcPr>
            <w:tcW w:type="dxa" w:w="1728"/>
          </w:tcPr>
          <w:p>
            <w:r/>
            <w:r>
              <w:t>Community and CSO participation</w:t>
            </w:r>
          </w:p>
        </w:tc>
        <w:tc>
          <w:tcPr>
            <w:tcW w:type="dxa" w:w="1728"/>
          </w:tcPr>
          <w:p>
            <w:r/>
            <w:r>
              <w:t>Civil society coalition members and faith actors engaged sporadically over the three-year period (2024-2026) may have turned over, relocated, or reduced engagement, limiting recall and representativeness of perspectives on convenings and dialogues.</w:t>
            </w:r>
          </w:p>
        </w:tc>
        <w:tc>
          <w:tcPr>
            <w:tcW w:type="dxa" w:w="1728"/>
          </w:tcPr>
          <w:p>
            <w:r/>
            <w:r>
              <w:t>Medium</w:t>
            </w:r>
          </w:p>
        </w:tc>
        <w:tc>
          <w:tcPr>
            <w:tcW w:type="dxa" w:w="1728"/>
          </w:tcPr>
          <w:p>
            <w:r/>
            <w:r>
              <w:t>Medium</w:t>
            </w:r>
          </w:p>
        </w:tc>
        <w:tc>
          <w:tcPr>
            <w:tcW w:type="dxa" w:w="1728"/>
          </w:tcPr>
          <w:p>
            <w:r/>
            <w:r>
              <w:t>Cross-check the stakeholder mapping matrix against partner attendance registers held by KCCWG and CISONECC; prioritise respondents with continuous engagement across the project period; supplement gaps with focus group discussions convened by partners.</w:t>
            </w:r>
          </w:p>
        </w:tc>
      </w:tr>
      <w:tr>
        <w:tc>
          <w:tcPr>
            <w:tcW w:type="dxa" w:w="1728"/>
          </w:tcPr>
          <w:p>
            <w:r/>
            <w:r>
              <w:t>Data quality — attribution to AfDB/MDB policy change</w:t>
            </w:r>
          </w:p>
        </w:tc>
        <w:tc>
          <w:tcPr>
            <w:tcW w:type="dxa" w:w="1728"/>
          </w:tcPr>
          <w:p>
            <w:r/>
            <w:r>
              <w:t>Policy and financing shifts at AfDB level are influenced by multiple actors and external events, making it methodologically difficult to isolate this project's specific contribution.</w:t>
            </w:r>
          </w:p>
        </w:tc>
        <w:tc>
          <w:tcPr>
            <w:tcW w:type="dxa" w:w="1728"/>
          </w:tcPr>
          <w:p>
            <w:r/>
            <w:r>
              <w:t>High</w:t>
            </w:r>
          </w:p>
        </w:tc>
        <w:tc>
          <w:tcPr>
            <w:tcW w:type="dxa" w:w="1728"/>
          </w:tcPr>
          <w:p>
            <w:r/>
            <w:r>
              <w:t>High</w:t>
            </w:r>
          </w:p>
        </w:tc>
        <w:tc>
          <w:tcPr>
            <w:tcW w:type="dxa" w:w="1728"/>
          </w:tcPr>
          <w:p>
            <w:r/>
            <w:r>
              <w:t>Apply outcome harvesting and contribution analysis as specified in the methodology, triangulating claimed contributions against document review of Country Strategy Papers, Mission 300 Energy Compacts and independent secondary sources before attributing change.</w:t>
            </w:r>
          </w:p>
        </w:tc>
      </w:tr>
      <w:tr>
        <w:tc>
          <w:tcPr>
            <w:tcW w:type="dxa" w:w="1728"/>
          </w:tcPr>
          <w:p>
            <w:r/>
            <w:r>
              <w:t>Confidentiality and respondent protection</w:t>
            </w:r>
          </w:p>
        </w:tc>
        <w:tc>
          <w:tcPr>
            <w:tcW w:type="dxa" w:w="1728"/>
          </w:tcPr>
          <w:p>
            <w:r/>
            <w:r>
              <w:t>Respondents including AfDB officials, government representatives and media actors may be reluctant to speak candidly on advocacy influence for fear of professional repercussion or institutional exposure.</w:t>
            </w:r>
          </w:p>
        </w:tc>
        <w:tc>
          <w:tcPr>
            <w:tcW w:type="dxa" w:w="1728"/>
          </w:tcPr>
          <w:p>
            <w:r/>
            <w:r>
              <w:t>Medium</w:t>
            </w:r>
          </w:p>
        </w:tc>
        <w:tc>
          <w:tcPr>
            <w:tcW w:type="dxa" w:w="1728"/>
          </w:tcPr>
          <w:p>
            <w:r/>
            <w:r>
              <w:t>High</w:t>
            </w:r>
          </w:p>
        </w:tc>
        <w:tc>
          <w:tcPr>
            <w:tcW w:type="dxa" w:w="1728"/>
          </w:tcPr>
          <w:p>
            <w:r/>
            <w:r>
              <w:t>Apply informed consent protocols set out in the inception report; anonymise all quotations by default; attribute statements only with explicit respondent consent; store interview records on password-protected, access-restricted files in line with OECD-DAC/UNEG ethics norms.</w:t>
            </w:r>
          </w:p>
        </w:tc>
      </w:tr>
      <w:tr>
        <w:tc>
          <w:tcPr>
            <w:tcW w:type="dxa" w:w="1728"/>
          </w:tcPr>
          <w:p>
            <w:r/>
            <w:r>
              <w:t>Timeline and approval gates</w:t>
            </w:r>
          </w:p>
        </w:tc>
        <w:tc>
          <w:tcPr>
            <w:tcW w:type="dxa" w:w="1728"/>
          </w:tcPr>
          <w:p>
            <w:r/>
            <w:r>
              <w:t>The eight-week schedule (September-October 2026) sequences document review, fieldwork, analysis, validation and finalisation tightly; delay at any stage, particularly around the Week 7 validation session, risks compressing the final report and learning brief.</w:t>
            </w:r>
          </w:p>
        </w:tc>
        <w:tc>
          <w:tcPr>
            <w:tcW w:type="dxa" w:w="1728"/>
          </w:tcPr>
          <w:p>
            <w:r/>
            <w:r>
              <w:t>Medium</w:t>
            </w:r>
          </w:p>
        </w:tc>
        <w:tc>
          <w:tcPr>
            <w:tcW w:type="dxa" w:w="1728"/>
          </w:tcPr>
          <w:p>
            <w:r/>
            <w:r>
              <w:t>High</w:t>
            </w:r>
          </w:p>
        </w:tc>
        <w:tc>
          <w:tcPr>
            <w:tcW w:type="dxa" w:w="1728"/>
          </w:tcPr>
          <w:p>
            <w:r/>
            <w:r>
              <w:t>Lock the validation session date with Christian Aid and selected partners at inception; circulate the draft evaluation report with sufficient lead time for review; treat validation as a fixed gate that cannot be bypassed, consistent with Section 6 and Section 7 of the Terms of Reference.</w:t>
            </w:r>
          </w:p>
        </w:tc>
      </w:tr>
      <w:tr>
        <w:tc>
          <w:tcPr>
            <w:tcW w:type="dxa" w:w="1728"/>
          </w:tcPr>
          <w:p>
            <w:r/>
            <w:r>
              <w:t>Team availability — lead evaluator continuity</w:t>
            </w:r>
          </w:p>
        </w:tc>
        <w:tc>
          <w:tcPr>
            <w:tcW w:type="dxa" w:w="1728"/>
          </w:tcPr>
          <w:p>
            <w:r/>
            <w:r>
              <w:t>A single lead evaluator role covering both Kenya and Malawi fieldwork, analysis and reporting creates a single point of dependency across an eight-week assignment.</w:t>
            </w:r>
          </w:p>
        </w:tc>
        <w:tc>
          <w:tcPr>
            <w:tcW w:type="dxa" w:w="1728"/>
          </w:tcPr>
          <w:p>
            <w:r/>
            <w:r>
              <w:t>Low</w:t>
            </w:r>
          </w:p>
        </w:tc>
        <w:tc>
          <w:tcPr>
            <w:tcW w:type="dxa" w:w="1728"/>
          </w:tcPr>
          <w:p>
            <w:r/>
            <w:r>
              <w:t>Medium</w:t>
            </w:r>
          </w:p>
        </w:tc>
        <w:tc>
          <w:tcPr>
            <w:tcW w:type="dxa" w:w="1728"/>
          </w:tcPr>
          <w:p>
            <w:r/>
            <w:r>
              <w:t>Pair the lead evaluator with a designated in-country research associate in each of Kenya and Malawi to sustain data collection continuity if the lead evaluator's availability is constrained at any stage.</w:t>
            </w:r>
          </w:p>
        </w:tc>
      </w:tr>
      <w:tr>
        <w:tc>
          <w:tcPr>
            <w:tcW w:type="dxa" w:w="1728"/>
          </w:tcPr>
          <w:p>
            <w:r/>
            <w:r>
              <w:t>Document availability and logframe completeness</w:t>
            </w:r>
          </w:p>
        </w:tc>
        <w:tc>
          <w:tcPr>
            <w:tcW w:type="dxa" w:w="1728"/>
          </w:tcPr>
          <w:p>
            <w:r/>
            <w:r>
              <w:t>Assessment against "specific indicators and targets set out in the project logframe" depends on Christian Aid and partners supplying complete monitoring records, annual technical reports and donor reports in usable form.</w:t>
            </w:r>
          </w:p>
        </w:tc>
        <w:tc>
          <w:tcPr>
            <w:tcW w:type="dxa" w:w="1728"/>
          </w:tcPr>
          <w:p>
            <w:r/>
            <w:r>
              <w:t>Medium</w:t>
            </w:r>
          </w:p>
        </w:tc>
        <w:tc>
          <w:tcPr>
            <w:tcW w:type="dxa" w:w="1728"/>
          </w:tcPr>
          <w:p>
            <w:r/>
            <w:r>
              <w:t>Medium</w:t>
            </w:r>
          </w:p>
        </w:tc>
        <w:tc>
          <w:tcPr>
            <w:tcW w:type="dxa" w:w="1728"/>
          </w:tcPr>
          <w:p>
            <w:r/>
            <w:r>
              <w:t>Request the full document set (proposal, logframe, Theory of Change, annual reports, research and policy briefs, partner reports) at contracting stage; flag gaps immediately during the Week 3 document review rather than during analysis.</w:t>
            </w:r>
          </w:p>
        </w:tc>
      </w:tr>
    </w:tbl>
    <w:p>
      <w:r>
        <w:t>Cortech's approach to risk management on this assignment is anticipatory rather than reactive: each risk above is assigned an owner and a checkpoint within the workplan, so that emerging issues — a delayed AfDB response, a government clearance requirement, a gap in the logframe — are identified during document review or early data collection rather than discovered during analysis when correction is costlier in time. The stakeholder mapping matrix, disaggregated by country, stakeholder type and gender, doubles as a risk-tracking tool: it is reviewed at the end of each data collection week to confirm coverage across Kenya and Malawi and across CSO, faith actor, AfDB official, private sector, media and government categories, with substitution respondents drawn in where planned interviews fall through.</w:t>
      </w:r>
    </w:p>
    <w:p>
      <w:r>
        <w:t>Ethical and reputational risk receives particular attention given the sensitivity of respondent categories named in the Terms of Reference. Cortech will apply the confidentiality, secure storage and consent protocols agreed in the inception report consistently across both countries, ensuring that no finding is presented in a way that could expose an individual AfDB official, government representative or media respondent without their explicit agreement. This discipline is treated as a precondition for stakeholder trust and for the credibility of the evaluation's contribution analysis, not as an administrative add-on.</w:t>
      </w:r>
    </w:p>
    <w:p>
      <w:r>
        <w:br w:type="page"/>
      </w:r>
    </w:p>
    <w:p>
      <w:pPr>
        <w:pStyle w:val="Heading1"/>
      </w:pPr>
      <w:r>
        <w:t>Proposed Team &amp; Core Experts</w:t>
      </w:r>
    </w:p>
    <w:p>
      <w:pPr>
        <w:pStyle w:val="Heading2"/>
      </w:pPr>
      <w:r>
        <w:t>Team Composition and Core Personnel</w:t>
      </w:r>
    </w:p>
    <w:p>
      <w:r>
        <w:t>The assignment calls for a Lead Evaluator with a minimum of ten years' experience conducting evaluations for multi-development agencies across Africa, a demonstrated focus on bank financing for energy access and climate change, familiarity with the African Development Bank (AfDB) and other Multilateral Development Banks (MDBs), and prior experience evaluating advocacy, policy influencing and civil society strengthening interventions. Cortech proposes a single point of technical accountability for this evaluation — Professor Joseph Kamuzhanje as Lead Evaluator/Senior Evaluation Consultant — supported by Cortech's in-house Monitoring, Evaluation and Learning (MEL) unit, which provides quantitative and qualitative analysis capacity (NVivo, SPSS, KoboToolbox), GESI-disaggregated data handling, and country-based research associates in Kenya and Malawi for logistics, translation and stakeholder scheduling. This structure keeps evaluative judgement concentrated in one senior, accountable expert while ensuring the fieldwork, data management and reporting demands of an eight-week timeline are met without compromising quality control.</w:t>
      </w:r>
    </w:p>
    <w:p>
      <w:r>
        <w:rPr>
          <w:b/>
        </w:rPr>
        <w:t>Professor Joseph Kamuzhanje — Lead Evaluator/Senior Evaluation Consultant.</w:t>
      </w:r>
      <w:r>
        <w:t xml:space="preserve"> Professor Kamuzhanje brings over a decade of experience designing and delivering evaluations of donor-funded programmes across Sub-Saharan Africa, spanning climate change, energy access, governance and civil society strengthening portfolios. He served as Lead Evaluator on Cortech's 2024 independent evaluation of the Sida-funded Sub-Saharan Africa Energy Access Programme (REACT SSA) for AECF Africa, an assignment covering Kenya, Somalia and Ethiopia that required assessment of renewable energy financing mechanisms, private-sector delivery models and policy uptake using OECD-DAC criteria — directly comparable to the effectiveness, impact and contribution, and coherence and partnership questions this evaluation must answer for the AfDB-facing project. He has led multiple end-term and endline evaluations applying Theory of Change validation, contribution analysis and stakeholder mapping disaggregated by gender and actor type, methods he will apply to test the assumptions underlying the project's shift from fossil fuel dependency towards decentralised renewable energy (DRE). His experience working with faith actors, county and national government departments, and coalition-based CSO structures in prior assignments positions him to navigate the Kenya Climate Change Working Group (KCCWG) and Civil Society Network on Climate Change (CISONECC) partnership structure, and to interview AfDB officials, government representatives and media actors under the confidentiality and informed-consent protocols required by Section 10 of the Terms of Reference. This satisfies the ToR's stated requirement for a Lead Evaluator with a minimum of ten years' evaluation experience across Africa, a track record in bank financing for energy access, and demonstrated capacity to evaluate advocacy and policy-influencing outcomes using contribution-based approaches.</w:t>
      </w:r>
    </w:p>
    <w:p>
      <w:r>
        <w:rPr>
          <w:b/>
        </w:rPr>
        <w:t>Team support and specialist input.</w:t>
      </w:r>
      <w:r>
        <w:t xml:space="preserve"> No external recruitment is required for this assignment. Professor Kamuzhanje will be supported throughout by Cortech's internal MEL analysts for quantitative logframe analysis and GESI-disaggregated data processing, and by Cortech's Kenya- and Malawi-based research associates, who will support scheduling and facilitation of key informant interviews and focus group discussions with KCCWG, CISONECC, faith actors, and government stakeholders in both countries. This internal arrangement preserves a single technical author for the inception report, draft and final evaluation reports, ensuring consistency of judgement across the Effectiveness, Relevance, Coherence and Partnership, Efficiency, Impact and Contribution, Sustainability, and GESI cross-cutting questions set out in Section 5 of the Terms of Reference.</w:t>
      </w:r>
    </w:p>
    <w:p>
      <w:r>
        <w:rPr>
          <w:b/>
        </w:rPr>
        <w:t>Availability and commitment.</w:t>
      </w:r>
      <w:r>
        <w:t xml:space="preserve"> Professor Kamuzhanje and Cortech's supporting MEL team have confirmed availability across the full eight-week window (September–October 2026), aligned to the indicative timeline in Section 8: contracting and briefing in Weeks 1–2, document review and inception reporting in Week 3, data collection and stakeholder consultations across Kenya and Malawi in Weeks 4–5, analysis and draft reporting in Weeks 5–6, the validation session with Christian Aid and selected partners in Week 7, and delivery of the final evaluation report, executive summary and learning brief in Week 8. No competing assignments have been scheduled against this period, and Cortech's rapid-mobilisation capacity in Nairobi ensures logistics, translation and document-review support are in place from contract signature.</w:t>
      </w:r>
    </w:p>
    <w:p>
      <w:r>
        <w:br w:type="page"/>
      </w:r>
    </w:p>
    <w:p>
      <w:pPr>
        <w:pStyle w:val="Heading1"/>
      </w:pPr>
      <w:r>
        <w:t>Work Plan &amp; Timeline</w:t>
      </w:r>
    </w:p>
    <w:p>
      <w:pPr>
        <w:pStyle w:val="Heading2"/>
      </w:pPr>
      <w:r>
        <w:t>5.1 Workplan Narrative</w:t>
      </w:r>
    </w:p>
    <w:p>
      <w:r>
        <w:t>Cortech's workplan is structured around the eight-week indicative timeframe set out in Section 8 of the Terms of Reference (September–October 2026), and is sequenced to preserve the mandatory validation gate specified in Sections 6 and 7 — findings must be checked against Christian Aid's and selected partners' lived understanding before finalisation. The workplan is organised into five phases, each producing a discrete, named deliverable, and each phase is scheduled to allow the Lead Evaluator sufficient time to reconcile Kenya-based and Malawi-based evidence streams before moving to the next stage.</w:t>
      </w:r>
    </w:p>
    <w:p>
      <w:r>
        <w:rPr>
          <w:b/>
        </w:rPr>
        <w:t>Phase 1: Contracting, Inception and Document Review (Week 1–3).</w:t>
      </w:r>
      <w:r>
        <w:t xml:space="preserve"> Upon signing, Cortech will hold an initial briefing with Christian Aid's project lead and Monitoring and Evaluation lead to confirm reporting lines, access to project documents, and introductions to partners. This runs concurrently with a full document review — the project proposal, logframe, Theory of Change, annual technical and donor reports, research and policy briefs, meeting reports, partner reports from KCCWG and CISONECC, media outputs, and relevant AfDB policy frameworks including Mission 300 Country Compacts and Country Strategy Papers. The document review directly informs the Inception Report, which will present the detailed evaluation matrix linking each of the seven evaluation question groupings in Section 5 — Effectiveness, Relevance, Coherence and partnership, Sustainability and learning, Efficiency, Impact and contribution, Sustainability, and the GESI cross-cutting lens — together with the Theory of Change validation question, to sub-questions, indicators, data sources and methods. The Inception Report will also set out the stakeholder mapping matrix disaggregated by country (Kenya and Malawi), stakeholder type (CSO, faith actor, AfDB official, private sector, media, government) and gender, and the confidentiality, secure storage and anonymisation protocols required under Section 10 given that respondents will include AfDB officials, government representatives and media actors.</w:t>
      </w:r>
    </w:p>
    <w:p>
      <w:r>
        <w:rPr>
          <w:b/>
        </w:rPr>
        <w:t>Phase 2: Data Collection and Stakeholder Consultations (Week 4–5).</w:t>
      </w:r>
      <w:r>
        <w:t xml:space="preserve"> Cortech will conduct key informant interviews and, where appropriate, focus group discussions with KCCWG in Kenya, CISONECC in Malawi, AfDB-facing champions for decentralised renewable energy, and relevant government departments and institutions named in Section 4. Interviews will run in parallel across the two countries to remain within the five-week data collection window, with the Lead Evaluator conducting priority AfDB-facing and cross-country interviews and a locally engaged researcher supporting Malawi-based fieldwork simultaneously.</w:t>
      </w:r>
    </w:p>
    <w:p>
      <w:r>
        <w:rPr>
          <w:b/>
        </w:rPr>
        <w:t>Phase 3: Data Analysis and Draft Report (Week 5–6).</w:t>
      </w:r>
      <w:r>
        <w:t xml:space="preserve"> Analysis overlaps by one week with the tail end of data collection to preserve the eight-week total. Outcome harvesting and contribution analysis will be applied to test the Theory of Change assumptions and to isolate the project's contribution to AfDB/MDB policy shifts where attribution is difficult to isolate. Findings will be triangulated against logframe indicators and targets rather than presented as a purely narrative account, producing the Draft Evaluation Report.</w:t>
      </w:r>
    </w:p>
    <w:p>
      <w:r>
        <w:rPr>
          <w:b/>
        </w:rPr>
        <w:t>Phase 4: Validation (Week 7).</w:t>
      </w:r>
      <w:r>
        <w:t xml:space="preserve"> The Draft Evaluation Report is presented to Christian Aid and selected partners in a validation session, as mandated in Section 7, to test emerging findings and strengthen the account before it is finalised. This is a hard sequencing gate: no final report drafting begins before validation feedback is received.</w:t>
      </w:r>
    </w:p>
    <w:p>
      <w:r>
        <w:rPr>
          <w:b/>
        </w:rPr>
        <w:t>Phase 5: Finalisation (Week 8).</w:t>
      </w:r>
      <w:r>
        <w:t xml:space="preserve"> Cortech incorporates validation feedback into the Final Evaluation Report, and produces the Executive Summary and short Learning Brief highlighting advocacy lessons and recommendations for future programming.</w:t>
      </w:r>
    </w:p>
    <w:p>
      <w:pPr>
        <w:pStyle w:val="Heading2"/>
      </w:pPr>
      <w:r>
        <w:t>5.2 Parallel vs Sequential Activities</w:t>
      </w:r>
    </w:p>
    <w:p>
      <w:r>
        <w:t>Contracting/briefing and document review run in parallel (Weeks 1–3); Kenya and Malawi data collection run in parallel with each other (Weeks 4–5) but are sequential to document review; analysis begins before data collection fully closes (Week 5 overlap) to protect the reporting timeline; validation (Week 7) and finalisation (Week 8) are strictly sequential, consistent with the ToR's requirement that findings be validated before the report is finalised.</w:t>
      </w:r>
    </w:p>
    <w:p>
      <w:pPr>
        <w:pStyle w:val="Heading2"/>
      </w:pPr>
      <w:r>
        <w:t>5.3 Gantt Chart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Activity</w:t>
            </w:r>
          </w:p>
        </w:tc>
        <w:tc>
          <w:tcPr>
            <w:tcW w:type="dxa" w:w="960"/>
          </w:tcPr>
          <w:p>
            <w:r>
              <w:rPr>
                <w:b/>
              </w:rPr>
            </w:r>
            <w:r>
              <w:rPr>
                <w:b/>
              </w:rPr>
              <w:t>Wk1</w:t>
            </w:r>
          </w:p>
        </w:tc>
        <w:tc>
          <w:tcPr>
            <w:tcW w:type="dxa" w:w="960"/>
          </w:tcPr>
          <w:p>
            <w:r>
              <w:rPr>
                <w:b/>
              </w:rPr>
            </w:r>
            <w:r>
              <w:rPr>
                <w:b/>
              </w:rPr>
              <w:t>Wk2</w:t>
            </w:r>
          </w:p>
        </w:tc>
        <w:tc>
          <w:tcPr>
            <w:tcW w:type="dxa" w:w="960"/>
          </w:tcPr>
          <w:p>
            <w:r>
              <w:rPr>
                <w:b/>
              </w:rPr>
            </w:r>
            <w:r>
              <w:rPr>
                <w:b/>
              </w:rPr>
              <w:t>Wk3</w:t>
            </w:r>
          </w:p>
        </w:tc>
        <w:tc>
          <w:tcPr>
            <w:tcW w:type="dxa" w:w="960"/>
          </w:tcPr>
          <w:p>
            <w:r>
              <w:rPr>
                <w:b/>
              </w:rPr>
            </w:r>
            <w:r>
              <w:rPr>
                <w:b/>
              </w:rPr>
              <w:t>Wk4</w:t>
            </w:r>
          </w:p>
        </w:tc>
        <w:tc>
          <w:tcPr>
            <w:tcW w:type="dxa" w:w="960"/>
          </w:tcPr>
          <w:p>
            <w:r>
              <w:rPr>
                <w:b/>
              </w:rPr>
            </w:r>
            <w:r>
              <w:rPr>
                <w:b/>
              </w:rPr>
              <w:t>Wk5</w:t>
            </w:r>
          </w:p>
        </w:tc>
        <w:tc>
          <w:tcPr>
            <w:tcW w:type="dxa" w:w="960"/>
          </w:tcPr>
          <w:p>
            <w:r>
              <w:rPr>
                <w:b/>
              </w:rPr>
            </w:r>
            <w:r>
              <w:rPr>
                <w:b/>
              </w:rPr>
              <w:t>Wk6</w:t>
            </w:r>
          </w:p>
        </w:tc>
        <w:tc>
          <w:tcPr>
            <w:tcW w:type="dxa" w:w="960"/>
          </w:tcPr>
          <w:p>
            <w:r>
              <w:rPr>
                <w:b/>
              </w:rPr>
            </w:r>
            <w:r>
              <w:rPr>
                <w:b/>
              </w:rPr>
              <w:t>Wk7</w:t>
            </w:r>
          </w:p>
        </w:tc>
        <w:tc>
          <w:tcPr>
            <w:tcW w:type="dxa" w:w="960"/>
          </w:tcPr>
          <w:p>
            <w:r>
              <w:rPr>
                <w:b/>
              </w:rPr>
            </w:r>
            <w:r>
              <w:rPr>
                <w:b/>
              </w:rPr>
              <w:t>Wk8</w:t>
            </w:r>
          </w:p>
        </w:tc>
      </w:tr>
      <w:tr>
        <w:tc>
          <w:tcPr>
            <w:tcW w:type="dxa" w:w="960"/>
          </w:tcPr>
          <w:p>
            <w:r/>
            <w:r>
              <w:t>Contracting and initial briefing</w:t>
            </w:r>
          </w:p>
        </w:tc>
        <w:tc>
          <w:tcPr>
            <w:tcW w:type="dxa" w:w="960"/>
          </w:tcPr>
          <w:p>
            <w:r/>
            <w:r>
              <w:t>X</w:t>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Document review</w:t>
            </w:r>
          </w:p>
        </w:tc>
        <w:tc>
          <w:tcPr>
            <w:tcW w:type="dxa" w:w="960"/>
          </w:tcPr>
          <w:p>
            <w:r/>
          </w:p>
        </w:tc>
        <w:tc>
          <w:tcPr>
            <w:tcW w:type="dxa" w:w="960"/>
          </w:tcPr>
          <w:p>
            <w:r/>
            <w:r>
              <w:t>X</w:t>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Inception report drafting and evaluation matrix design</w:t>
            </w:r>
          </w:p>
        </w:tc>
        <w:tc>
          <w:tcPr>
            <w:tcW w:type="dxa" w:w="960"/>
          </w:tcPr>
          <w:p>
            <w:r/>
          </w:p>
        </w:tc>
        <w:tc>
          <w:tcPr>
            <w:tcW w:type="dxa" w:w="960"/>
          </w:tcPr>
          <w:p>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Stakeholder mapping and tool development</w:t>
            </w:r>
          </w:p>
        </w:tc>
        <w:tc>
          <w:tcPr>
            <w:tcW w:type="dxa" w:w="960"/>
          </w:tcPr>
          <w:p>
            <w:r/>
          </w:p>
        </w:tc>
        <w:tc>
          <w:tcPr>
            <w:tcW w:type="dxa" w:w="960"/>
          </w:tcPr>
          <w:p>
            <w:r/>
          </w:p>
        </w:tc>
        <w:tc>
          <w:tcPr>
            <w:tcW w:type="dxa" w:w="960"/>
          </w:tcPr>
          <w:p>
            <w:r/>
            <w:r>
              <w:t>X</w:t>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r>
              <w:t>KII/FGD — Kenya (KCCWG, government, AfDB-facing actors)</w:t>
            </w:r>
          </w:p>
        </w:tc>
        <w:tc>
          <w:tcPr>
            <w:tcW w:type="dxa" w:w="960"/>
          </w:tcPr>
          <w:p>
            <w:r/>
          </w:p>
        </w:tc>
        <w:tc>
          <w:tcPr>
            <w:tcW w:type="dxa" w:w="960"/>
          </w:tcPr>
          <w:p>
            <w:r/>
          </w:p>
        </w:tc>
        <w:tc>
          <w:tcPr>
            <w:tcW w:type="dxa" w:w="960"/>
          </w:tcPr>
          <w:p>
            <w:r/>
          </w:p>
        </w:tc>
        <w:tc>
          <w:tcPr>
            <w:tcW w:type="dxa" w:w="960"/>
          </w:tcPr>
          <w:p>
            <w:r/>
            <w:r>
              <w:t>X</w:t>
            </w:r>
          </w:p>
        </w:tc>
        <w:tc>
          <w:tcPr>
            <w:tcW w:type="dxa" w:w="960"/>
          </w:tcPr>
          <w:p>
            <w:r/>
            <w:r>
              <w:t>X</w:t>
            </w:r>
          </w:p>
        </w:tc>
        <w:tc>
          <w:tcPr>
            <w:tcW w:type="dxa" w:w="960"/>
          </w:tcPr>
          <w:p>
            <w:r/>
          </w:p>
        </w:tc>
        <w:tc>
          <w:tcPr>
            <w:tcW w:type="dxa" w:w="960"/>
          </w:tcPr>
          <w:p>
            <w:r/>
          </w:p>
        </w:tc>
        <w:tc>
          <w:tcPr>
            <w:tcW w:type="dxa" w:w="960"/>
          </w:tcPr>
          <w:p>
            <w:r/>
          </w:p>
        </w:tc>
      </w:tr>
      <w:tr>
        <w:tc>
          <w:tcPr>
            <w:tcW w:type="dxa" w:w="960"/>
          </w:tcPr>
          <w:p>
            <w:r/>
            <w:r>
              <w:t>KII/FGD — Malawi (CISONECC, government, faith actors)</w:t>
            </w:r>
          </w:p>
        </w:tc>
        <w:tc>
          <w:tcPr>
            <w:tcW w:type="dxa" w:w="960"/>
          </w:tcPr>
          <w:p>
            <w:r/>
          </w:p>
        </w:tc>
        <w:tc>
          <w:tcPr>
            <w:tcW w:type="dxa" w:w="960"/>
          </w:tcPr>
          <w:p>
            <w:r/>
          </w:p>
        </w:tc>
        <w:tc>
          <w:tcPr>
            <w:tcW w:type="dxa" w:w="960"/>
          </w:tcPr>
          <w:p>
            <w:r/>
          </w:p>
        </w:tc>
        <w:tc>
          <w:tcPr>
            <w:tcW w:type="dxa" w:w="960"/>
          </w:tcPr>
          <w:p>
            <w:r/>
            <w:r>
              <w:t>X</w:t>
            </w:r>
          </w:p>
        </w:tc>
        <w:tc>
          <w:tcPr>
            <w:tcW w:type="dxa" w:w="960"/>
          </w:tcPr>
          <w:p>
            <w:r/>
            <w:r>
              <w:t>X</w:t>
            </w:r>
          </w:p>
        </w:tc>
        <w:tc>
          <w:tcPr>
            <w:tcW w:type="dxa" w:w="960"/>
          </w:tcPr>
          <w:p>
            <w:r/>
          </w:p>
        </w:tc>
        <w:tc>
          <w:tcPr>
            <w:tcW w:type="dxa" w:w="960"/>
          </w:tcPr>
          <w:p>
            <w:r/>
          </w:p>
        </w:tc>
        <w:tc>
          <w:tcPr>
            <w:tcW w:type="dxa" w:w="960"/>
          </w:tcPr>
          <w:p>
            <w:r/>
          </w:p>
        </w:tc>
      </w:tr>
      <w:tr>
        <w:tc>
          <w:tcPr>
            <w:tcW w:type="dxa" w:w="960"/>
          </w:tcPr>
          <w:p>
            <w:r/>
            <w:r>
              <w:t>Data analysis, outcome harvesting/contribution analysis</w:t>
            </w:r>
          </w:p>
        </w:tc>
        <w:tc>
          <w:tcPr>
            <w:tcW w:type="dxa" w:w="960"/>
          </w:tcPr>
          <w:p>
            <w:r/>
          </w:p>
        </w:tc>
        <w:tc>
          <w:tcPr>
            <w:tcW w:type="dxa" w:w="960"/>
          </w:tcPr>
          <w:p>
            <w:r/>
          </w:p>
        </w:tc>
        <w:tc>
          <w:tcPr>
            <w:tcW w:type="dxa" w:w="960"/>
          </w:tcPr>
          <w:p>
            <w:r/>
          </w:p>
        </w:tc>
        <w:tc>
          <w:tcPr>
            <w:tcW w:type="dxa" w:w="960"/>
          </w:tcPr>
          <w:p>
            <w:r/>
          </w:p>
        </w:tc>
        <w:tc>
          <w:tcPr>
            <w:tcW w:type="dxa" w:w="960"/>
          </w:tcPr>
          <w:p>
            <w:r/>
            <w:r>
              <w:t>X</w:t>
            </w:r>
          </w:p>
        </w:tc>
        <w:tc>
          <w:tcPr>
            <w:tcW w:type="dxa" w:w="960"/>
          </w:tcPr>
          <w:p>
            <w:r/>
            <w:r>
              <w:t>X</w:t>
            </w:r>
          </w:p>
        </w:tc>
        <w:tc>
          <w:tcPr>
            <w:tcW w:type="dxa" w:w="960"/>
          </w:tcPr>
          <w:p>
            <w:r/>
          </w:p>
        </w:tc>
        <w:tc>
          <w:tcPr>
            <w:tcW w:type="dxa" w:w="960"/>
          </w:tcPr>
          <w:p>
            <w:r/>
          </w:p>
        </w:tc>
      </w:tr>
      <w:tr>
        <w:tc>
          <w:tcPr>
            <w:tcW w:type="dxa" w:w="960"/>
          </w:tcPr>
          <w:p>
            <w:r/>
            <w:r>
              <w:t>Draft evaluation report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r>
              <w:t>X</w:t>
            </w:r>
          </w:p>
        </w:tc>
        <w:tc>
          <w:tcPr>
            <w:tcW w:type="dxa" w:w="960"/>
          </w:tcPr>
          <w:p>
            <w:r/>
          </w:p>
        </w:tc>
        <w:tc>
          <w:tcPr>
            <w:tcW w:type="dxa" w:w="960"/>
          </w:tcPr>
          <w:p>
            <w:r/>
          </w:p>
        </w:tc>
      </w:tr>
      <w:tr>
        <w:tc>
          <w:tcPr>
            <w:tcW w:type="dxa" w:w="960"/>
          </w:tcPr>
          <w:p>
            <w:r/>
            <w:r>
              <w:t>Validation session with Christian Aid and partners</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r>
              <w:t>X</w:t>
            </w:r>
          </w:p>
        </w:tc>
        <w:tc>
          <w:tcPr>
            <w:tcW w:type="dxa" w:w="960"/>
          </w:tcPr>
          <w:p>
            <w:r/>
          </w:p>
        </w:tc>
      </w:tr>
      <w:tr>
        <w:tc>
          <w:tcPr>
            <w:tcW w:type="dxa" w:w="960"/>
          </w:tcPr>
          <w:p>
            <w:r/>
            <w:r>
              <w:t>Final evaluation report</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r>
              <w:t>X</w:t>
            </w:r>
          </w:p>
        </w:tc>
      </w:tr>
      <w:tr>
        <w:tc>
          <w:tcPr>
            <w:tcW w:type="dxa" w:w="960"/>
          </w:tcPr>
          <w:p>
            <w:r/>
            <w:r>
              <w:t>Executive summary and learning brief</w:t>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r>
              <w:t>X</w:t>
            </w:r>
          </w:p>
        </w:tc>
      </w:tr>
    </w:tbl>
    <w:p>
      <w:r>
        <w:t>Milestones align to the ToR's own week markers: Inception Report at end of Week 3; completion of data collection and stakeholder consultations at end of Week 5; Draft Evaluation Report at end of Week 6; validation session in Week 7; and Final Evaluation Report, Executive Summary and Learning Brief delivered in Week 8, ahead of Christian Aid's internal use in future programming decisions.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