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213D"/>
          <w:sz w:val="32"/>
        </w:rPr>
        <w:t>CORTECH CONSULTING GROUP</w:t>
      </w:r>
    </w:p>
    <w:p>
      <w:pPr>
        <w:jc w:val="center"/>
      </w:pPr>
      <w:r>
        <w:rPr>
          <w:i/>
        </w:rPr>
        <w:t>Technical Proposal</w:t>
      </w:r>
    </w:p>
    <w:p/>
    <w:p>
      <w:pPr>
        <w:jc w:val="center"/>
      </w:pPr>
      <w:r>
        <w:rPr>
          <w:b/>
          <w:sz w:val="28"/>
        </w:rPr>
        <w:t>Framework Contract for Medical Eye Camp Operations</w:t>
      </w:r>
    </w:p>
    <w:p>
      <w:pPr>
        <w:jc w:val="center"/>
      </w:pPr>
      <w:r>
        <w:t>Client: Qatar Charity</w:t>
        <w:br/>
      </w:r>
      <w:r>
        <w:t>Submitted by: Cortech Consulting Group</w:t>
        <w:br/>
      </w:r>
      <w:r>
        <w:t>Date: 15 August 2026</w:t>
      </w:r>
    </w:p>
    <w:p>
      <w:r>
        <w:br w:type="page"/>
      </w:r>
    </w:p>
    <w:p>
      <w:r>
        <w:fldChar w:fldCharType="begin"/>
        <w:instrText xml:space="preserve">TOC \o "1-1" \h \z \u</w:instrText>
        <w:fldChar w:fldCharType="separate"/>
        <w:fldChar w:fldCharType="end"/>
      </w:r>
    </w:p>
    <w:p>
      <w:r>
        <w:br w:type="page"/>
      </w:r>
    </w:p>
    <w:p>
      <w:pPr>
        <w:pStyle w:val="Heading1"/>
      </w:pPr>
      <w:r>
        <w:t>Cover Letter</w:t>
      </w:r>
    </w:p>
    <w:p>
      <w:r>
        <w:t>**CORTECH CONSULTING GROUP**</w:t>
        <w:br/>
        <w:t>Nairobi, Kenya | Mogadishu, Somalia | London, United Kingdom</w:t>
        <w:br/>
        <w:t>https://cortechcgl.com</w:t>
      </w:r>
    </w:p>
    <w:p>
      <w:r>
        <w:t>---</w:t>
      </w:r>
    </w:p>
    <w:p>
      <w:r>
        <w:t>**18 August 2026**</w:t>
      </w:r>
    </w:p>
    <w:p>
      <w:r>
        <w:t>**To the Procurement Committee,**</w:t>
        <w:br/>
        <w:t>**Qatar Charity**</w:t>
      </w:r>
    </w:p>
    <w:p>
      <w:r>
        <w:t>**RE: Technical Proposal Submission – Framework Contract for Medical Eye Camp Operations (Reference: SO/2026/000027495)**</w:t>
      </w:r>
    </w:p>
    <w:p>
      <w:r>
        <w:t>Cortech Consulting Group submits this proposal to provide framework contract services for medical eye camp operations in Somalia. We have reviewed the requirements and confirm our capacity to deliver integrated operational and logistical support that meets Qatar Charity's programme standards while responding to the specific health access needs of target communities.</w:t>
      </w:r>
    </w:p>
    <w:p>
      <w:r>
        <w:t>Cortech brings three operational assets directly relevant to this assignment. First, we maintain licensed operations in Somalia with established presence in Mogadishu and a network across key administrative regions—providing the on-ground infrastructure, security coordination capacity, and community relationships essential for sustained programme delivery. Second, our team is fluent in Arabic, Somali, and English, enabling direct communication with beneficiaries, local stakeholders, and Qatar Charity technical staff without translation intermediaries. Third, Health Systems Strengthening is embedded in our core service portfolio, reflected in current and completed work with UNICEF, Global Alliance for Improved Nutrition (GAIN), Qatar Red Crescent Society, and UNDP-Somalia—all requiring coordination across clinical, logistical, and community engagement dimensions.</w:t>
      </w:r>
    </w:p>
    <w:p>
      <w:r>
        <w:t>Our prior engagement with Qatar Red Crescent (QRC) on participatory deficiency monitoring and final evaluation in Somalia demonstrates our capacity to work within Qatar-funded health initiatives and our understanding of programme quality assurance protocols. We have successfully managed mixed-methods assessments across Hirshabelle and South West States, coordinating with multiple stakeholders and delivering data-driven insights within compressed timelines. This experience includes facility supervision, digital data collection systems, and participatory validation processes—methodologies transferable to eye camp site management, patient intake, and outcome documentation.</w:t>
      </w:r>
    </w:p>
    <w:p>
      <w:r>
        <w:t>Our core team comprises programme managers with five years' cumulative experience in Somalia health service delivery, data and monitoring specialists trained in digital health information systems, and community engagement officers fluent in target languages. We will supplement this with contracted clinical liaisons and supply chain specialists as required by the framework scope.</w:t>
      </w:r>
    </w:p>
    <w:p>
      <w:r>
        <w:t>Cortech is available for technical clarifications and can mobilise rapidly upon contract signature. We welcome the opportunity to discuss implementation modalities, timeline assumptions, and resource requirements in detail.</w:t>
      </w:r>
    </w:p>
    <w:p>
      <w:r>
        <w:t>Yours professionally,</w:t>
      </w:r>
    </w:p>
    <w:p>
      <w:r>
        <w:t>**Daud Hussein Ibrahim**</w:t>
        <w:br/>
        <w:t>Director</w:t>
        <w:br/>
        <w:t>Cortech Consulting Group</w:t>
      </w:r>
    </w:p>
    <w:p>
      <w:r>
        <w:t>Tel: [+254 20 XXXX XXXX]</w:t>
        <w:br/>
        <w:t>Email: [director@cortechcgl.com]</w:t>
      </w:r>
    </w:p>
    <w:p>
      <w:r>
        <w:br w:type="page"/>
      </w:r>
    </w:p>
    <w:p>
      <w:pPr>
        <w:pStyle w:val="Heading1"/>
      </w:pPr>
      <w:r>
        <w:t>Executive Summary</w:t>
      </w:r>
    </w:p>
    <w:p>
      <w:r>
        <w:t># EXECUTIVE SUMMARY</w:t>
      </w:r>
    </w:p>
    <w:p>
      <w:r>
        <w:t>## Framework Contract for Medical Eye Camp Operations — Somalia</w:t>
      </w:r>
    </w:p>
    <w:p>
      <w:r>
        <w:t>**Context and Assignment Rationale**</w:t>
      </w:r>
    </w:p>
    <w:p>
      <w:r>
        <w:t>Somalia faces a critical gap in accessible ophthalmological services, particularly in underserved urban and peri-urban populations where preventable blindness remains a public health priority. Qatar Charity's commitment to establishing a framework contract for sustained medical eye camp operations addresses this structural deficit by creating a flexible, scalable delivery mechanism. Eye camps provide time-bound, high-volume diagnostic and treatment interventions—screening, basic surgery, spectacle provision, and health promotion—that reach populations otherwise excluded from static health facilities. The assignment demands an implementing partner capable of: (i) managing logistical operations across fragile-context settings; (ii) ensuring clinical quality assurance and patient safety protocols; (iii) maintaining supply chain continuity for medical consumables and pharmaceuticals; and (iv) documenting outcomes and impact with sufficient rigor to inform programme adaptation and donor accountability.</w:t>
      </w:r>
    </w:p>
    <w:p>
      <w:r>
        <w:t>**Proposed Approach and Distinctive Capability**</w:t>
      </w:r>
    </w:p>
    <w:p>
      <w:r>
        <w:t>Cortech will operationalize medical eye camp delivery through a phased, decentralized implementation model integrating health systems strengthening principles with participatory community engagement. Our approach comprises four functional pillars: (1) **Pre-camp logistics planning**, including site selection, community mobilization, and beneficiary identification using participatory mapping exercises and local health worker networks; (2) **Clinical operations management**, deploying standardized protocols for patient intake, clinical data recording (via digital platforms), and referral pathways to secondary care; (3) **Supply chain and inventory management**, maintaining buffer stocks of consumables (spectacles, medications, surgical supplies) across distributed points and managing expiry cycles through real-time tracking; and (4) **Monitoring and learning**, capturing disaggregated outcome data (screening volume, diagnoses, treatments, referrals, patient satisfaction) through KoboToolbox-enabled forms and producing quarterly performance dashboards. Cortech's distinctive advantage lies in our dual capacity to execute health service operations *and* generate credible evidence simultaneously—a combination evidenced in our 2025 PDM/Final Evaluation of Qatar Red Crescent Society's health programming in Somalia, where we integrated beneficiary outcome surveys with facility supervision and clinical quality assessments. Our simultaneous operations in Nairobi and Mogadishu, combined with bilingual Somali/English-speaking staff, eliminate typical coordination delays and enable rapid field troubleshooting.</w:t>
      </w:r>
    </w:p>
    <w:p>
      <w:r>
        <w:t>**Team Composition and Expertise**</w:t>
      </w:r>
    </w:p>
    <w:p>
      <w:r>
        <w:t>The core team comprises a **Framework Operations Lead** (health systems strengthening specialist, 0.8 FTE) responsible for overall camp scheduling, clinical protocol implementation, and quality assurance; a **Logistics and Supply Chain Coordinator** (0.6 FTE) managing consumable procurement, inventory, and distribution networks; a **Monitoring and Learning Officer** (0.6 FTE) overseeing data collection systems and quarterly reporting; and a **Field Operations Manager based in Mogadishu** (1.0 FTE) providing on-site supervision, community liaison, and real-time problem resolution. This structure prioritizes Somali-based presence and decision-making authority. All personnel hold demonstrated experience in health programming within Somalia or comparable fragile contexts; detailed CVs are appended in Annex I.</w:t>
      </w:r>
    </w:p>
    <w:p>
      <w:r>
        <w:t>**Budget and Value for Money**</w:t>
      </w:r>
    </w:p>
    <w:p>
      <w:r>
        <w:t>The proposed budget of USD 277,150 represents efficient cost allocation across personnel (40%), consumables and medical supplies (35%), transport and logistics (15%), and monitoring systems (10%). This ratio reflects best-practice allocation for community health interventions in low-resource settings and ensures sustainability through local procurement where feasible. Budget narrative and detailed cost breakdown are provided in the Financial Proposal document.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