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Arial"/>
          <w:b/>
          <w:sz w:val="28"/>
        </w:rPr>
        <w:t>Preguntas para la segunda fase Levantamiento de requerimientos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1. ¿Cómo determina actualmente si una ruta de trekking es fácil, media o difícil?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2. ¿De qué manera influye el clima cuando evalúa o planifica una ruta?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3. ¿Cómo obtiene información sobre una ruta que todavía no conoce o que nunca ha realizado?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4. ¿Cómo se contacta actualmente con personas que no conoce y que también realizan trekking?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5. ¿Cómo organiza una salida de trekking desde que decide realizarla hasta que comienza la caminata?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6. Antes de realizar una ruta, ¿qué información considera necesaria para decidir si puede realizarla?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7. Una vez terminada una ruta, ¿cómo registra o comparte la experiencia con otras personas?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8. ¿Qué problemas encuentra al utilizar redes sociales y WhatsApp para buscar rutas, compartir información o coordinar caminatas?</w:t>
      </w:r>
    </w:p>
    <w:p>
      <w:pPr>
        <w:spacing w:after="120" w:line="276" w:lineRule="auto"/>
        <w:jc w:val="left"/>
      </w:pPr>
      <w:r>
        <w:rPr>
          <w:rFonts w:ascii="Arial" w:hAnsi="Arial" w:eastAsia="Arial"/>
          <w:sz w:val="22"/>
        </w:rPr>
        <w:t>9. Cuando necesita volver a consultar una ruta que realizó anteriormente, ¿cómo encuentra nuevamente esa información?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