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color="auto" w:val="clear"/>
        <w:spacing w:after="0"/>
      </w:pPr>
      <w:r>
        <w:rPr>
          <w:rFonts w:ascii="Calibri" w:cs="Calibri" w:eastAsia="Calibri" w:hAnsi="Calibri"/>
          <w:sz w:val="28"/>
          <w:szCs w:val="28"/>
        </w:rPr>
        <w:t xml:space="preserve"> </w:t>
      </w:r>
    </w:p>
    <w:p>
      <w:pPr>
        <w:shd w:fill="1F3864" w:color="auto" w:val="clear"/>
        <w:spacing w:after="0"/>
      </w:pPr>
      <w:r>
        <w:rPr>
          <w:rFonts w:ascii="Calibri" w:cs="Calibri" w:eastAsia="Calibri" w:hAnsi="Calibri"/>
          <w:sz w:val="28"/>
          <w:szCs w:val="28"/>
        </w:rPr>
        <w:t xml:space="preserve"> </w:t>
      </w:r>
    </w:p>
    <w:p>
      <w:pPr>
        <w:shd w:fill="1F3864" w:color="auto" w:val="clear"/>
        <w:spacing w:after="0"/>
      </w:pPr>
      <w:r>
        <w:rPr>
          <w:rFonts w:ascii="Calibri" w:cs="Calibri" w:eastAsia="Calibri" w:hAnsi="Calibri"/>
          <w:sz w:val="28"/>
          <w:szCs w:val="28"/>
        </w:rPr>
        <w:t xml:space="preserve"> </w:t>
      </w:r>
    </w:p>
    <w:p>
      <w:pPr>
        <w:shd w:fill="1F3864" w:color="auto" w:val="clear"/>
        <w:spacing w:after="0"/>
      </w:pPr>
      <w:r>
        <w:rPr>
          <w:rFonts w:ascii="Calibri" w:cs="Calibri" w:eastAsia="Calibri" w:hAnsi="Calibri"/>
          <w:sz w:val="28"/>
          <w:szCs w:val="28"/>
        </w:rPr>
        <w:t xml:space="preserve"> </w:t>
      </w:r>
    </w:p>
    <w:p>
      <w:pPr>
        <w:shd w:fill="1F3864" w:color="auto" w:val="clear"/>
        <w:spacing w:after="0"/>
      </w:pPr>
      <w:r>
        <w:rPr>
          <w:rFonts w:ascii="Calibri" w:cs="Calibri" w:eastAsia="Calibri" w:hAnsi="Calibri"/>
          <w:sz w:val="28"/>
          <w:szCs w:val="28"/>
        </w:rPr>
        <w:t xml:space="preserve"> </w:t>
      </w:r>
    </w:p>
    <w:p>
      <w:pPr>
        <w:shd w:fill="1F3864" w:color="auto" w:val="clear"/>
        <w:spacing w:after="0"/>
      </w:pPr>
      <w:r>
        <w:rPr>
          <w:rFonts w:ascii="Calibri" w:cs="Calibri" w:eastAsia="Calibri" w:hAnsi="Calibri"/>
          <w:sz w:val="28"/>
          <w:szCs w:val="28"/>
        </w:rPr>
        <w:t xml:space="preserve"> </w:t>
      </w:r>
    </w:p>
    <w:p>
      <w:pPr>
        <w:shd w:fill="1F3864" w:color="auto" w:val="clear"/>
        <w:spacing w:after="0"/>
      </w:pPr>
      <w:r>
        <w:rPr>
          <w:rFonts w:ascii="Calibri" w:cs="Calibri" w:eastAsia="Calibri" w:hAnsi="Calibri"/>
          <w:sz w:val="28"/>
          <w:szCs w:val="28"/>
        </w:rPr>
        <w:t xml:space="preserve"> </w:t>
      </w:r>
    </w:p>
    <w:p>
      <w:pPr>
        <w:shd w:fill="1F3864" w:color="auto" w:val="clear"/>
        <w:spacing w:after="0"/>
      </w:pPr>
      <w:r>
        <w:rPr>
          <w:rFonts w:ascii="Calibri" w:cs="Calibri" w:eastAsia="Calibri" w:hAnsi="Calibri"/>
          <w:sz w:val="28"/>
          <w:szCs w:val="28"/>
        </w:rPr>
        <w:t xml:space="preserve"> </w:t>
      </w:r>
    </w:p>
    <w:p>
      <w:pPr>
        <w:spacing w:after="240" w:before="1800"/>
        <w:jc w:val="center"/>
      </w:pPr>
      <w:r>
        <w:rPr>
          <w:rFonts w:ascii="Calibri" w:cs="Calibri" w:eastAsia="Calibri" w:hAnsi="Calibri"/>
          <w:b/>
          <w:bCs/>
          <w:color w:val="1F3864"/>
          <w:sz w:val="56"/>
          <w:szCs w:val="56"/>
        </w:rPr>
        <w:t xml:space="preserve">Brand Book</w:t>
      </w:r>
    </w:p>
    <w:p>
      <w:pPr>
        <w:spacing w:after="120"/>
        <w:jc w:val="center"/>
      </w:pPr>
      <w:r>
        <w:rPr>
          <w:rFonts w:ascii="Calibri" w:cs="Calibri" w:eastAsia="Calibri" w:hAnsi="Calibri"/>
          <w:b/>
          <w:bCs/>
          <w:i/>
          <w:iCs/>
          <w:color w:val="2E75B6"/>
          <w:sz w:val="40"/>
          <w:szCs w:val="40"/>
        </w:rPr>
        <w:t xml:space="preserve">deRuedas Gestión</w:t>
      </w:r>
    </w:p>
    <w:p>
      <w:pPr>
        <w:spacing w:before="480"/>
        <w:jc w:val="center"/>
      </w:pPr>
      <w:r>
        <w:rPr>
          <w:rFonts w:ascii="Calibri" w:cs="Calibri" w:eastAsia="Calibri" w:hAnsi="Calibri"/>
          <w:color w:val="404040"/>
          <w:sz w:val="24"/>
          <w:szCs w:val="24"/>
        </w:rPr>
        <w:t xml:space="preserve">Identidad visual, tono de voz</w:t>
      </w:r>
    </w:p>
    <w:p>
      <w:pPr>
        <w:spacing w:before="60"/>
        <w:jc w:val="center"/>
      </w:pPr>
      <w:r>
        <w:rPr>
          <w:rFonts w:ascii="Calibri" w:cs="Calibri" w:eastAsia="Calibri" w:hAnsi="Calibri"/>
          <w:color w:val="404040"/>
          <w:sz w:val="24"/>
          <w:szCs w:val="24"/>
        </w:rPr>
        <w:t xml:space="preserve">y lineamientos de aplicación</w:t>
      </w:r>
    </w:p>
    <w:p>
      <w:pPr>
        <w:spacing w:before="1200"/>
        <w:jc w:val="center"/>
      </w:pPr>
      <w:r>
        <w:rPr>
          <w:rFonts w:ascii="Calibri" w:cs="Calibri" w:eastAsia="Calibri" w:hAnsi="Calibri"/>
          <w:color w:val="595959"/>
          <w:sz w:val="22"/>
          <w:szCs w:val="22"/>
        </w:rPr>
        <w:t xml:space="preserve">Versión 1.0  —  Mayo de 2026</w:t>
      </w:r>
    </w:p>
    <w:p>
      <w:pPr>
        <w:shd w:fill="1F3864" w:color="auto" w:val="clear"/>
        <w:spacing w:after="0" w:before="800"/>
      </w:pPr>
      <w:r>
        <w:rPr>
          <w:rFonts w:ascii="Calibri" w:cs="Calibri" w:eastAsia="Calibri" w:hAnsi="Calibri"/>
          <w:sz w:val="28"/>
          <w:szCs w:val="28"/>
        </w:rPr>
        <w:t xml:space="preserve"> </w:t>
      </w:r>
    </w:p>
    <w:p>
      <w:pPr>
        <w:shd w:fill="1F3864" w:color="auto" w:val="clear"/>
        <w:spacing w:after="0" w:before="800"/>
      </w:pPr>
      <w:r>
        <w:rPr>
          <w:rFonts w:ascii="Calibri" w:cs="Calibri" w:eastAsia="Calibri" w:hAnsi="Calibri"/>
          <w:sz w:val="28"/>
          <w:szCs w:val="28"/>
        </w:rPr>
        <w:t xml:space="preserve"> </w:t>
      </w:r>
    </w:p>
    <w:p>
      <w:pPr>
        <w:shd w:fill="1F3864" w:color="auto" w:val="clear"/>
        <w:spacing w:after="0" w:before="800"/>
      </w:pPr>
      <w:r>
        <w:rPr>
          <w:rFonts w:ascii="Calibri" w:cs="Calibri" w:eastAsia="Calibri" w:hAnsi="Calibri"/>
          <w:sz w:val="28"/>
          <w:szCs w:val="28"/>
        </w:rPr>
        <w:t xml:space="preserve"> </w:t>
      </w:r>
    </w:p>
    <w:p>
      <w:pPr>
        <w:shd w:fill="1F3864" w:color="auto" w:val="clear"/>
        <w:spacing w:after="0" w:before="800"/>
      </w:pPr>
      <w:r>
        <w:rPr>
          <w:rFonts w:ascii="Calibri" w:cs="Calibri" w:eastAsia="Calibri" w:hAnsi="Calibri"/>
          <w:sz w:val="28"/>
          <w:szCs w:val="28"/>
        </w:rPr>
        <w:t xml:space="preserve"> </w:t>
      </w:r>
    </w:p>
    <w:p>
      <w:pPr>
        <w:shd w:fill="1F3864" w:color="auto" w:val="clear"/>
        <w:spacing w:after="0" w:before="800"/>
      </w:pPr>
      <w:r>
        <w:rPr>
          <w:rFonts w:ascii="Calibri" w:cs="Calibri" w:eastAsia="Calibri" w:hAnsi="Calibri"/>
          <w:sz w:val="28"/>
          <w:szCs w:val="28"/>
        </w:rPr>
        <w:t xml:space="preserve"> </w:t>
      </w:r>
    </w:p>
    <w:p>
      <w:pPr>
        <w:shd w:fill="1F3864" w:color="auto" w:val="clear"/>
        <w:spacing w:after="0" w:before="800"/>
      </w:pPr>
      <w:r>
        <w:rPr>
          <w:rFonts w:ascii="Calibri" w:cs="Calibri" w:eastAsia="Calibri" w:hAnsi="Calibri"/>
          <w:sz w:val="28"/>
          <w:szCs w:val="28"/>
        </w:rPr>
        <w:t xml:space="preserve"> </w:t>
      </w:r>
    </w:p>
    <w:p>
      <w:pPr>
        <w:shd w:fill="1F3864" w:color="auto" w:val="clear"/>
        <w:spacing w:after="0" w:before="800"/>
      </w:pPr>
      <w:r>
        <w:rPr>
          <w:rFonts w:ascii="Calibri" w:cs="Calibri" w:eastAsia="Calibri" w:hAnsi="Calibri"/>
          <w:sz w:val="28"/>
          <w:szCs w:val="28"/>
        </w:rPr>
        <w:t xml:space="preserve"> </w:t>
      </w:r>
    </w:p>
    <w:p>
      <w:pPr>
        <w:shd w:fill="1F3864" w:color="auto" w:val="clear"/>
        <w:spacing w:after="0" w:before="800"/>
      </w:pPr>
      <w:r>
        <w:rPr>
          <w:rFonts w:ascii="Calibri" w:cs="Calibri" w:eastAsia="Calibri" w:hAnsi="Calibri"/>
          <w:sz w:val="28"/>
          <w:szCs w:val="28"/>
        </w:rPr>
        <w:t xml:space="preserve"> </w:t>
      </w:r>
    </w:p>
    <w:p>
      <w:r>
        <w:br w:type="page"/>
      </w:r>
    </w:p>
    <w:p>
      <w:pPr>
        <w:pStyle w:val="Heading1"/>
        <w:spacing w:after="240" w:before="360"/>
      </w:pPr>
      <w:r>
        <w:rPr>
          <w:rFonts w:ascii="Calibri" w:cs="Calibri" w:eastAsia="Calibri" w:hAnsi="Calibri"/>
          <w:b/>
          <w:bCs/>
          <w:color w:val="1F3864"/>
          <w:sz w:val="36"/>
          <w:szCs w:val="36"/>
        </w:rPr>
        <w:t xml:space="preserve">1. Introducción</w:t>
      </w:r>
    </w:p>
    <w:p>
      <w:pPr>
        <w:spacing w:after="140" w:line="290"/>
        <w:jc w:val="both"/>
      </w:pPr>
      <w:r>
        <w:rPr>
          <w:rFonts w:ascii="Calibri" w:cs="Calibri" w:eastAsia="Calibri" w:hAnsi="Calibri"/>
          <w:sz w:val="22"/>
          <w:szCs w:val="22"/>
        </w:rPr>
        <w:t xml:space="preserve">Este Brand Book consolida la identidad visual y comunicacional de deRuedas Gestión. Es complemento del cuerpo SDD y, en particular, del design system técnico que la Especificación incluye en su capa de frontend: el design system define tokens, componentes y patrones de interacción; este documento define la voz, el alma y los criterios visuales que dan coherencia al producto cuando aparece en cualquier soporte.</w:t>
      </w:r>
    </w:p>
    <w:p>
      <w:pPr>
        <w:spacing w:after="140" w:line="290"/>
        <w:jc w:val="both"/>
      </w:pPr>
      <w:r>
        <w:rPr>
          <w:rFonts w:ascii="Calibri" w:cs="Calibri" w:eastAsia="Calibri" w:hAnsi="Calibri"/>
          <w:sz w:val="22"/>
          <w:szCs w:val="22"/>
        </w:rPr>
        <w:t xml:space="preserve">La razón de ser del documento es práctica más que estética. Cuando deRuedas empiece a aparecer en múltiples soportes simultáneamente —la propia aplicación, la página comercial, materiales de venta para presentar a agencias, comunicaciones por email transaccional y comercial, contenido en redes profesionales, manuales de usuario, eventualmente piezas tercerizadas a una agencia de marketing— la coherencia visual y de tono es lo que vuelve reconocible la marca. Sin lineamientos explícitos cada actor improvisa según su gusto y la marca se diluye en un mosaico de aproximaciones razonables pero inconexas.</w:t>
      </w:r>
    </w:p>
    <w:p>
      <w:pPr>
        <w:pStyle w:val="Heading2"/>
        <w:spacing w:after="160" w:before="280"/>
      </w:pPr>
      <w:r>
        <w:rPr>
          <w:rFonts w:ascii="Calibri" w:cs="Calibri" w:eastAsia="Calibri" w:hAnsi="Calibri"/>
          <w:b/>
          <w:bCs/>
          <w:color w:val="2E75B6"/>
          <w:sz w:val="28"/>
          <w:szCs w:val="28"/>
        </w:rPr>
        <w:t xml:space="preserve">1.1 Audiencia</w:t>
      </w:r>
    </w:p>
    <w:p>
      <w:pPr>
        <w:spacing w:after="140" w:line="290"/>
        <w:jc w:val="both"/>
      </w:pPr>
      <w:r>
        <w:rPr>
          <w:rFonts w:ascii="Calibri" w:cs="Calibri" w:eastAsia="Calibri" w:hAnsi="Calibri"/>
          <w:sz w:val="22"/>
          <w:szCs w:val="22"/>
        </w:rPr>
        <w:t xml:space="preserve">El documento tiene tres audiencias diferenciadas. Para el equipo interno —diseñadores, desarrolladores que trabajan en frontend, customer success, ventas— funciona como referencia operativa cuando deben producir cualquier pieza visual o comunicacional. Para colaboradores externos —agencia de marketing, freelancers de diseño, productores de video, redactores tercerizados— funciona como brief permanente que evita explicar la marca cada vez. Para tenants y stakeholders interesados en cómo deRuedas se posiciona —partners potenciales, inversores, prensa especializada— funciona como artefacto que comunica el cuidado y la profesionalidad de la organización.</w:t>
      </w:r>
    </w:p>
    <w:p>
      <w:pPr>
        <w:pStyle w:val="Heading2"/>
        <w:spacing w:after="160" w:before="280"/>
      </w:pPr>
      <w:r>
        <w:rPr>
          <w:rFonts w:ascii="Calibri" w:cs="Calibri" w:eastAsia="Calibri" w:hAnsi="Calibri"/>
          <w:b/>
          <w:bCs/>
          <w:color w:val="2E75B6"/>
          <w:sz w:val="28"/>
          <w:szCs w:val="28"/>
        </w:rPr>
        <w:t xml:space="preserve">1.2 Posición frente al cuerpo SDD</w:t>
      </w:r>
    </w:p>
    <w:p>
      <w:pPr>
        <w:spacing w:after="140" w:line="290"/>
        <w:jc w:val="both"/>
      </w:pPr>
      <w:r>
        <w:rPr>
          <w:rFonts w:ascii="Calibri" w:cs="Calibri" w:eastAsia="Calibri" w:hAnsi="Calibri"/>
          <w:sz w:val="22"/>
          <w:szCs w:val="22"/>
        </w:rPr>
        <w:t xml:space="preserve">El Brand Book no contradice ni reemplaza el design system técnico. Cuando un diseñador necesita un valor concreto para una variable CSS (color, tamaño, espaciado), la fuente de verdad es el design system del frontend; este documento aporta el contexto y los principios sobre los que esos valores se eligieron. Cuando se introduce un cambio significativo a la identidad visual —cambio de paleta, de tipografía, de logo— el Brand Book se actualiza primero, los tokens del design system después. La precedencia evita inconsistencias entre lo declarado y lo implementado.</w:t>
      </w:r>
    </w:p>
    <w:p>
      <w:pPr>
        <w:pStyle w:val="Heading2"/>
        <w:spacing w:after="160" w:before="280"/>
      </w:pPr>
      <w:r>
        <w:rPr>
          <w:rFonts w:ascii="Calibri" w:cs="Calibri" w:eastAsia="Calibri" w:hAnsi="Calibri"/>
          <w:b/>
          <w:bCs/>
          <w:color w:val="2E75B6"/>
          <w:sz w:val="28"/>
          <w:szCs w:val="28"/>
        </w:rPr>
        <w:t xml:space="preserve">1.3 Estructura del documento</w:t>
      </w:r>
    </w:p>
    <w:p>
      <w:pPr>
        <w:spacing w:after="140" w:line="290"/>
        <w:jc w:val="both"/>
      </w:pPr>
      <w:r>
        <w:rPr>
          <w:rFonts w:ascii="Calibri" w:cs="Calibri" w:eastAsia="Calibri" w:hAnsi="Calibri"/>
          <w:sz w:val="22"/>
          <w:szCs w:val="22"/>
        </w:rPr>
        <w:t xml:space="preserve">El documento está organizado en doce capítulos. El segundo establece el posicionamiento de marca: para quién, frente a quién, con qué promesa. El tercero define la personalidad de marca y su tono de voz. El cuarto trata del nombre y su uso correcto. El quinto desarrolla el sistema de logo: variantes, márgenes, prohibiciones. El sexto define la paleta cromática primaria y secundaria con valores exactos para distintos soportes. El séptimo establece el sistema tipográfico. El octavo trata del lenguaje visual: iconografía, ilustración, fotografía. El noveno cubre los lineamientos de aplicación en soportes específicos: producto, web, email, social, presentaciones, materiales impresos. El décimo es el manual de copy: principios de escritura, vocabulario controlado, antipatrones. El décimo primero detalla el uso de marca en contextos formales (legales, regulatorios, contractuales). El décimo segundo cierra con anexos y plantillas.</w:t>
      </w:r>
    </w:p>
    <w:p>
      <w:pPr>
        <w:shd w:fill="DEEAF6" w:color="auto" w:val="clear"/>
        <w:spacing w:after="120" w:before="120" w:line="280"/>
        <w:jc w:val="both"/>
      </w:pPr>
      <w:r>
        <w:rPr>
          <w:rFonts w:ascii="Calibri" w:cs="Calibri" w:eastAsia="Calibri" w:hAnsi="Calibri"/>
          <w:b/>
          <w:bCs/>
          <w:color w:val="1F3864"/>
          <w:sz w:val="21"/>
          <w:szCs w:val="21"/>
        </w:rPr>
        <w:t xml:space="preserve">Sobre los activos digitales: </w:t>
      </w:r>
      <w:r>
        <w:rPr>
          <w:rFonts w:ascii="Calibri" w:cs="Calibri" w:eastAsia="Calibri" w:hAnsi="Calibri"/>
          <w:color w:val="1F3864"/>
          <w:sz w:val="21"/>
          <w:szCs w:val="21"/>
        </w:rPr>
        <w:t xml:space="preserve">Este documento describe los lineamientos pero no contiene los activos descargables. Los activos definitivos —archivos vectoriales del logo, fuentes licenciadas, paletas en formatos para herramientas de diseño, plantillas— se mantienen en un repositorio de marca (deRuedas Brand Assets) accesible internamente y bajo solicitud para colaboradores externos.</w:t>
      </w:r>
    </w:p>
    <w:p>
      <w:r>
        <w:br w:type="page"/>
      </w:r>
    </w:p>
    <w:p>
      <w:pPr>
        <w:pStyle w:val="Heading1"/>
        <w:spacing w:after="240" w:before="360"/>
      </w:pPr>
      <w:r>
        <w:rPr>
          <w:rFonts w:ascii="Calibri" w:cs="Calibri" w:eastAsia="Calibri" w:hAnsi="Calibri"/>
          <w:b/>
          <w:bCs/>
          <w:color w:val="1F3864"/>
          <w:sz w:val="36"/>
          <w:szCs w:val="36"/>
        </w:rPr>
        <w:t xml:space="preserve">2. Posicionamiento de marca</w:t>
      </w:r>
    </w:p>
    <w:p>
      <w:pPr>
        <w:spacing w:after="140" w:line="290"/>
        <w:jc w:val="both"/>
      </w:pPr>
      <w:r>
        <w:rPr>
          <w:rFonts w:ascii="Calibri" w:cs="Calibri" w:eastAsia="Calibri" w:hAnsi="Calibri"/>
          <w:sz w:val="22"/>
          <w:szCs w:val="22"/>
        </w:rPr>
        <w:t xml:space="preserve">Esta sección declara qué es deRuedas Gestión como marca antes de entrar a cómo se ve y cómo suena. Sin esta declaración, las decisiones visuales y de tono se vuelven arbitrarias. La estrategia de posicionamiento se deriva del Plan estratégico del cuerpo SDD pero se reformula aquí en términos de marca.</w:t>
      </w:r>
    </w:p>
    <w:p>
      <w:pPr>
        <w:pStyle w:val="Heading2"/>
        <w:spacing w:after="160" w:before="280"/>
      </w:pPr>
      <w:r>
        <w:rPr>
          <w:rFonts w:ascii="Calibri" w:cs="Calibri" w:eastAsia="Calibri" w:hAnsi="Calibri"/>
          <w:b/>
          <w:bCs/>
          <w:color w:val="2E75B6"/>
          <w:sz w:val="28"/>
          <w:szCs w:val="28"/>
        </w:rPr>
        <w:t xml:space="preserve">2.1 Esencia de marca</w:t>
      </w:r>
    </w:p>
    <w:p>
      <w:pPr>
        <w:spacing w:after="140" w:line="290"/>
        <w:jc w:val="both"/>
      </w:pPr>
      <w:r>
        <w:rPr>
          <w:rFonts w:ascii="Calibri" w:cs="Calibri" w:eastAsia="Calibri" w:hAnsi="Calibri"/>
          <w:sz w:val="22"/>
          <w:szCs w:val="22"/>
        </w:rPr>
        <w:t xml:space="preserve">deRuedas Gestión es la herramienta de gestión que las agencias argentinas de vehículos eligen cuando se cansaron de adaptar productos generalistas que casi alcanzan. El producto entiende cómo trabaja una agencia, habla su idioma, automatiza lo que ahoga y deja en manos del vendedor lo que solo el vendedor puede hacer. La esencia se condensa en una promesa: dejarte vender más sin que tengas que aprender a usar otro software.</w:t>
      </w:r>
    </w:p>
    <w:p>
      <w:pPr>
        <w:pStyle w:val="Heading2"/>
        <w:spacing w:after="160" w:before="280"/>
      </w:pPr>
      <w:r>
        <w:rPr>
          <w:rFonts w:ascii="Calibri" w:cs="Calibri" w:eastAsia="Calibri" w:hAnsi="Calibri"/>
          <w:b/>
          <w:bCs/>
          <w:color w:val="2E75B6"/>
          <w:sz w:val="28"/>
          <w:szCs w:val="28"/>
        </w:rPr>
        <w:t xml:space="preserve">2.2 Para quién</w:t>
      </w:r>
    </w:p>
    <w:p>
      <w:pPr>
        <w:spacing w:after="140" w:line="290"/>
        <w:jc w:val="both"/>
      </w:pPr>
      <w:r>
        <w:rPr>
          <w:rFonts w:ascii="Calibri" w:cs="Calibri" w:eastAsia="Calibri" w:hAnsi="Calibri"/>
          <w:sz w:val="22"/>
          <w:szCs w:val="22"/>
        </w:rPr>
        <w:t xml:space="preserve">La audiencia primaria es el dueño o el gerente comercial de una agencia de vehículos argentina mediana o chica, con entre uno y cuatro vendedores activos, con stock entre veinte y doscientos vehículos según el momento, con flujo comercial intenso en WhatsApp y publicación regular en el portal sectorial. Es una persona pragmática, con poco tiempo para evaluar opciones, con cierta desconfianza histórica hacia el software porque ya fue prometido y decepcionado más de una vez. Es alguien que valora más que se entiendan sus problemas reales que las funcionalidades brillantes en abstracto.</w:t>
      </w:r>
    </w:p>
    <w:p>
      <w:pPr>
        <w:spacing w:after="140" w:line="290"/>
        <w:jc w:val="both"/>
      </w:pPr>
      <w:r>
        <w:rPr>
          <w:rFonts w:ascii="Calibri" w:cs="Calibri" w:eastAsia="Calibri" w:hAnsi="Calibri"/>
          <w:sz w:val="22"/>
          <w:szCs w:val="22"/>
        </w:rPr>
        <w:t xml:space="preserve">La audiencia secundaria es el vendedor o la administrativa que va a usar el producto a diario. Sus criterios son distintos: lo que les importa es que la herramienta no les complique el día, que sea rápida, que entienda sin frustrarlos. Si el dueño compra pero los vendedores resisten, el producto fracasa silenciosamente.</w:t>
      </w:r>
    </w:p>
    <w:p>
      <w:pPr>
        <w:pStyle w:val="Heading2"/>
        <w:spacing w:after="160" w:before="280"/>
      </w:pPr>
      <w:r>
        <w:rPr>
          <w:rFonts w:ascii="Calibri" w:cs="Calibri" w:eastAsia="Calibri" w:hAnsi="Calibri"/>
          <w:b/>
          <w:bCs/>
          <w:color w:val="2E75B6"/>
          <w:sz w:val="28"/>
          <w:szCs w:val="28"/>
        </w:rPr>
        <w:t xml:space="preserve">2.3 Frente a quién</w:t>
      </w:r>
    </w:p>
    <w:p>
      <w:pPr>
        <w:spacing w:after="140" w:line="290"/>
        <w:jc w:val="both"/>
      </w:pPr>
      <w:r>
        <w:rPr>
          <w:rFonts w:ascii="Calibri" w:cs="Calibri" w:eastAsia="Calibri" w:hAnsi="Calibri"/>
          <w:sz w:val="22"/>
          <w:szCs w:val="22"/>
        </w:rPr>
        <w:t xml:space="preserve">deRuedas se posiciona frente a tres alternativas que sus prospects evalúan implícita o explícitamente. Frente a los CRMs generalistas internacionales (HubSpot, Pipedrive, Salesforce), deRuedas es vertical: habla del negocio del usuario, no obliga a traducir conceptos genéricos. Frente a los desarrollos a medida internos (planillas de Excel, software hecho por un sobrino programador), deRuedas es profesional: viene con seguridad, soporte, evolución, trazabilidad. Frente a la opción de no hacer nada y seguir como hasta ahora (que es la verdadera competencia en muchos casos), deRuedas es accesible: no exige cambiar todo, no exige aprender mucho, no exige equipo dedicado de IT.</w:t>
      </w:r>
    </w:p>
    <w:p>
      <w:pPr>
        <w:pStyle w:val="Heading2"/>
        <w:spacing w:after="160" w:before="280"/>
      </w:pPr>
      <w:r>
        <w:rPr>
          <w:rFonts w:ascii="Calibri" w:cs="Calibri" w:eastAsia="Calibri" w:hAnsi="Calibri"/>
          <w:b/>
          <w:bCs/>
          <w:color w:val="2E75B6"/>
          <w:sz w:val="28"/>
          <w:szCs w:val="28"/>
        </w:rPr>
        <w:t xml:space="preserve">2.4 Promesa de marca</w:t>
      </w:r>
    </w:p>
    <w:p>
      <w:pPr>
        <w:spacing w:after="140" w:line="290"/>
        <w:jc w:val="both"/>
      </w:pPr>
      <w:r>
        <w:rPr>
          <w:rFonts w:ascii="Calibri" w:cs="Calibri" w:eastAsia="Calibri" w:hAnsi="Calibri"/>
          <w:sz w:val="22"/>
          <w:szCs w:val="22"/>
        </w:rPr>
        <w:t xml:space="preserve">La promesa que deRuedas hace al mercado se condensa así: te damos la herramienta de gestión hecha específicamente para agencias como la tuya, que te entiende sin que tengas que enseñarle, que se aprende rápido, y que te acompaña a medida que tu negocio crece. La promesa tiene tres componentes verificables —especificidad vertical, baja curva de aprendizaje, capacidad de evolucionar con el cliente— y todos los mensajes de marca deben reforzar al menos uno sin contradecir a los otros.</w:t>
      </w:r>
    </w:p>
    <w:p>
      <w:pPr>
        <w:pStyle w:val="Heading2"/>
        <w:spacing w:after="160" w:before="280"/>
      </w:pPr>
      <w:r>
        <w:rPr>
          <w:rFonts w:ascii="Calibri" w:cs="Calibri" w:eastAsia="Calibri" w:hAnsi="Calibri"/>
          <w:b/>
          <w:bCs/>
          <w:color w:val="2E75B6"/>
          <w:sz w:val="28"/>
          <w:szCs w:val="28"/>
        </w:rPr>
        <w:t xml:space="preserve">2.5 Atributos de marca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Atributo</w:t>
            </w:r>
          </w:p>
        </w:tc>
        <w:tc>
          <w:tcPr>
            <w:tcW w:type="dxa" w:w="6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Significado y manifestación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Específico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 habla en términos del negocio del usuario, no en abstracciones. Donde otros dicen “oportunidad” nosotros decimos “lead de un Toyota Hilux”. La especificidad se materializa en copy que usa vocabulario sectorial sin disculpas.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Cercano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 no es un proveedor distante con soporte impersonal. Hablamos en argentino, sin pretensiones, con humor cuando corresponde. La cercanía no implica informalidad descuidada: implica calidez profesional.</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Confiable</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 custodia datos comerciales sensibles del tenant. La confiabilidad se manifiesta en transparencia (status pages, comunicación honesta de incidentes, compromiso de privacidad explícito) y en presentación cuidada que comunica seriedad.</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Pragmático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 no promete revoluciones. Promete resolver problemas concretos uno por uno. La voz es directa, sin marketing inflado, sin promesas que no podemos cumplir.</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Moderno sin ser tecnócrata</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 usa tecnología contemporánea (IA asistida, integraciones, mobile-first) pero no la pone como protagonista. La tecnología es medio, el cliente es el protagonista.</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2.6 Lo que deRuedas NO es</w:t>
      </w:r>
    </w:p>
    <w:p>
      <w:pPr>
        <w:spacing w:after="140" w:line="290"/>
        <w:jc w:val="both"/>
      </w:pPr>
      <w:r>
        <w:rPr>
          <w:rFonts w:ascii="Calibri" w:cs="Calibri" w:eastAsia="Calibri" w:hAnsi="Calibri"/>
          <w:sz w:val="22"/>
          <w:szCs w:val="22"/>
        </w:rPr>
        <w:t xml:space="preserve">Una marca también se define por contraste. deRuedas no es un disruptor agresivo: el tono no es “venimos a romper la industria”. No es un producto enterprise grandilocuente: el tono no es “soluciones de gestión empresarial avanzada”. No es un producto tecnocrático: no presumimos arquitectura, ni APIs, ni stack al cliente que no le importa. No es un producto millennial irreverente: el humor existe pero no a costa de la profesionalidad. No es un commodity barato: deRuedas se paga porque entrega valor específico, no porque sea la opción más barata del mercado.</w:t>
      </w:r>
    </w:p>
    <w:p>
      <w:pPr>
        <w:shd w:fill="FFF4D6" w:color="auto" w:val="clear"/>
        <w:spacing w:after="120" w:before="120" w:line="280"/>
        <w:jc w:val="both"/>
      </w:pPr>
      <w:r>
        <w:rPr>
          <w:rFonts w:ascii="Calibri" w:cs="Calibri" w:eastAsia="Calibri" w:hAnsi="Calibri"/>
          <w:b/>
          <w:bCs/>
          <w:color w:val="9C5700"/>
          <w:sz w:val="21"/>
          <w:szCs w:val="21"/>
        </w:rPr>
        <w:t xml:space="preserve">Test rápido de coherencia: </w:t>
      </w:r>
      <w:r>
        <w:rPr>
          <w:rFonts w:ascii="Calibri" w:cs="Calibri" w:eastAsia="Calibri" w:hAnsi="Calibri"/>
          <w:color w:val="9C5700"/>
          <w:sz w:val="21"/>
          <w:szCs w:val="21"/>
        </w:rPr>
        <w:t xml:space="preserve">Antes de aprobar una pieza de comunicación, conviene preguntarse: ¿esta pieza podría haber sido publicada por otro CRM cualquiera? Si la respuesta es sí, falta especificidad de marca. ¿Esta pieza haría sentir cómodo al dueño de una agencia mediana en una sobremesa después de leerla? Si la respuesta es no, sobra distancia.</w:t>
      </w:r>
    </w:p>
    <w:p>
      <w:pPr>
        <w:pStyle w:val="Heading1"/>
        <w:spacing w:after="240" w:before="360"/>
      </w:pPr>
      <w:r>
        <w:rPr>
          <w:rFonts w:ascii="Calibri" w:cs="Calibri" w:eastAsia="Calibri" w:hAnsi="Calibri"/>
          <w:b/>
          <w:bCs/>
          <w:color w:val="1F3864"/>
          <w:sz w:val="36"/>
          <w:szCs w:val="36"/>
        </w:rPr>
        <w:t xml:space="preserve">3. Personalidad y tono de voz</w:t>
      </w:r>
    </w:p>
    <w:p>
      <w:pPr>
        <w:spacing w:after="140" w:line="290"/>
        <w:jc w:val="both"/>
      </w:pPr>
      <w:r>
        <w:rPr>
          <w:rFonts w:ascii="Calibri" w:cs="Calibri" w:eastAsia="Calibri" w:hAnsi="Calibri"/>
          <w:sz w:val="22"/>
          <w:szCs w:val="22"/>
        </w:rPr>
        <w:t xml:space="preserve">La personalidad de marca es lo que haría reconocible a deRuedas si todas sus comunicaciones llegaran sin logo: el lector debería poder decir “esto suena a deRuedas” por el modo de hablar. Esta sección define cómo es esa voz, cómo se ajusta según el contexto y qué la diferencia de las voces que no son la nuestra.</w:t>
      </w:r>
    </w:p>
    <w:p>
      <w:pPr>
        <w:pStyle w:val="Heading2"/>
        <w:spacing w:after="160" w:before="280"/>
      </w:pPr>
      <w:r>
        <w:rPr>
          <w:rFonts w:ascii="Calibri" w:cs="Calibri" w:eastAsia="Calibri" w:hAnsi="Calibri"/>
          <w:b/>
          <w:bCs/>
          <w:color w:val="2E75B6"/>
          <w:sz w:val="28"/>
          <w:szCs w:val="28"/>
        </w:rPr>
        <w:t xml:space="preserve">3.1 Personalidad en cinco dimensiones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6600"/>
      </w:tblGrid>
      <w:tr>
        <w:tc>
          <w:tcPr>
            <w:tcW w:type="dxa" w:w="2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Dimensión</w:t>
            </w:r>
          </w:p>
        </w:tc>
        <w:tc>
          <w:tcPr>
            <w:tcW w:type="dxa" w:w="6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Posición de deRuedas</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Formal ↔ informal</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Tendiendo a informal pero sin caer en colegial. Tratamiento de “vos” en Argentina; “tú” solo si la pieza apunta a otros mercados hispanohablantes.</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Distante ↔ cercano</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Cercano. Hablamos como un colega que sabe del negocio del cliente, no como un proveedor que dicta soluciones.</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Serio ↔ humorístico</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Serio con licencia de humor cuando aporta. El humor nunca a costa del cliente; nunca sobre temas sensibles (problemas comerciales del cliente, fallas del producto).</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Tradicional ↔ moderno</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Moderno sin ser “tech”. Usamos vocabulario actual pero sin jerga de Silicon Valley que el cliente no entiende ni le interesa.</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Técnico ↔ accesible</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Accesible. Cuando el contexto exige profundidad técnica (página de seguridad, infosec questionnaire), bajamos al detalle sin condescendencia.</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3.2 Voz y tono: la diferencia</w:t>
      </w:r>
    </w:p>
    <w:p>
      <w:pPr>
        <w:spacing w:after="140" w:line="290"/>
        <w:jc w:val="both"/>
      </w:pPr>
      <w:r>
        <w:rPr>
          <w:rFonts w:ascii="Calibri" w:cs="Calibri" w:eastAsia="Calibri" w:hAnsi="Calibri"/>
          <w:sz w:val="22"/>
          <w:szCs w:val="22"/>
        </w:rPr>
        <w:t xml:space="preserve">Los términos suelen confundirse pero designan cosas distintas. La voz es estable: lo que somos siempre, en cualquier contexto. El tono es modulable: cómo nos expresamos según la situación específica. La voz de deRuedas es siempre cercana, específica del sector, pragmática y honesta. El tono varía: en una página de marketing puede ser entusiasta, en un email de error puede ser empático, en un reporte de seguridad puede ser preciso y formal, en una notificación de éxito puede ser celebratorio sin exagerar.</w:t>
      </w:r>
    </w:p>
    <w:p>
      <w:pPr>
        <w:pStyle w:val="Heading2"/>
        <w:spacing w:after="160" w:before="280"/>
      </w:pPr>
      <w:r>
        <w:rPr>
          <w:rFonts w:ascii="Calibri" w:cs="Calibri" w:eastAsia="Calibri" w:hAnsi="Calibri"/>
          <w:b/>
          <w:bCs/>
          <w:color w:val="2E75B6"/>
          <w:sz w:val="28"/>
          <w:szCs w:val="28"/>
        </w:rPr>
        <w:t xml:space="preserve">3.3 Tono según contexto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00"/>
      </w:tblGrid>
      <w:tr>
        <w:tc>
          <w:tcPr>
            <w:tcW w:type="dxa" w:w="2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Contexto</w:t>
            </w:r>
          </w:p>
        </w:tc>
        <w:tc>
          <w:tcPr>
            <w:tcW w:type="dxa" w:w="3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Tono apropiado</w:t>
            </w:r>
          </w:p>
        </w:tc>
        <w:tc>
          <w:tcPr>
            <w:tcW w:type="dxa" w:w="3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Ejemplo</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Bienvenida y onboarding</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Cálido, claro, motivador sin exagerar</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“Bienvenido a deRuedas. Vamos a tener tu agencia operativa en menos de 20 minutos.”</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Mensaje de éxito</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Breve, claro, sin emojis ni celebración inflada</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“Lead marcado como ganado. La venta del Toyota Hilux quedó registrada.”</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Mensaje de error de usuario</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Claro, sin culpar al usuario, con próximo paso accionable</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“Este vehículo ya está marcado como vendido. Si necesitás revisarlo, escribile a tu manager.”</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Error del sistema</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Honesto, sin echar culpas externas, con compromiso explícito</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 nos cayó el publicador del portal. Estamos sobre el tema. Tus avisos van a salir en cuanto se restablezca.”</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Notificación comercial</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Concreto, con beneficio claro, sin lenguaje publicitario</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“Tenés tres leads sin contactar hace más de 24 horas. ¿Los abrimos?”</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Comunicación legal o privacidad</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Formal, preciso, sin ambigüedad</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 Gestión actúa como encargado del tratamiento conforme al art. 25 de la Ley 25.326.”</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Material comercial / venta</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Específico, basado en beneficios concretos, sin promesas vagas</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 publica tu stock al portal sectorial sin que tengas que repetir la carga. Cada cambio se sincroniza solo.”</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Comunicación de incidente grave</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Transparente, factual, con disculpa cuando corresponde y siguiente paso</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“Hoy entre las 14:30 y las 15:10 el envío de WhatsApp falló para algunos tenants. Ya está resuelto. Si tenés mensajes pendientes, los podés reintentar desde la conversación.”</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3.4 Principios de copy de marca</w:t>
      </w:r>
    </w:p>
    <w:p>
      <w:pPr>
        <w:pStyle w:val="Heading3"/>
        <w:spacing w:after="120" w:before="220"/>
      </w:pPr>
      <w:r>
        <w:rPr>
          <w:rFonts w:ascii="Calibri" w:cs="Calibri" w:eastAsia="Calibri" w:hAnsi="Calibri"/>
          <w:b/>
          <w:bCs/>
          <w:color w:val="404040"/>
          <w:sz w:val="24"/>
          <w:szCs w:val="24"/>
        </w:rPr>
        <w:t xml:space="preserve">3.4.1 Hablamos del cliente, no de nosotros</w:t>
      </w:r>
    </w:p>
    <w:p>
      <w:pPr>
        <w:spacing w:after="140" w:line="290"/>
        <w:jc w:val="both"/>
      </w:pPr>
      <w:r>
        <w:rPr>
          <w:rFonts w:ascii="Calibri" w:cs="Calibri" w:eastAsia="Calibri" w:hAnsi="Calibri"/>
          <w:sz w:val="22"/>
          <w:szCs w:val="22"/>
        </w:rPr>
        <w:t xml:space="preserve">La regla operativa es que la mayoría de las oraciones de cualquier pieza tengan al cliente o su negocio como sujeto, no a deRuedas. “Tu agencia recupera dos horas por semana” antes que “deRuedas te ahorra dos horas por semana”. La diferencia parece menor pero altera el centro de gravedad: el cliente lee y se reconoce, no lee sobre el producto.</w:t>
      </w:r>
    </w:p>
    <w:p>
      <w:pPr>
        <w:pStyle w:val="Heading3"/>
        <w:spacing w:after="120" w:before="220"/>
      </w:pPr>
      <w:r>
        <w:rPr>
          <w:rFonts w:ascii="Calibri" w:cs="Calibri" w:eastAsia="Calibri" w:hAnsi="Calibri"/>
          <w:b/>
          <w:bCs/>
          <w:color w:val="404040"/>
          <w:sz w:val="24"/>
          <w:szCs w:val="24"/>
        </w:rPr>
        <w:t xml:space="preserve">3.4.2 Concreto antes que abstracto</w:t>
      </w:r>
    </w:p>
    <w:p>
      <w:pPr>
        <w:spacing w:after="140" w:line="290"/>
        <w:jc w:val="both"/>
      </w:pPr>
      <w:r>
        <w:rPr>
          <w:rFonts w:ascii="Calibri" w:cs="Calibri" w:eastAsia="Calibri" w:hAnsi="Calibri"/>
          <w:sz w:val="22"/>
          <w:szCs w:val="22"/>
        </w:rPr>
        <w:t xml:space="preserve">Abstracciones como “optimización”, “solución integral”, “flujos eficientes” no aportan información. Las reemplazamos por especificidades verificables. “Tu inventario en el portal sectorial sin doble carga” antes que “optimización de tu canal de publicación”. Cuando una pieza no puede aterrizar a algo concreto, la pieza se reescribe, no se aprueba.</w:t>
      </w:r>
    </w:p>
    <w:p>
      <w:pPr>
        <w:pStyle w:val="Heading3"/>
        <w:spacing w:after="120" w:before="220"/>
      </w:pPr>
      <w:r>
        <w:rPr>
          <w:rFonts w:ascii="Calibri" w:cs="Calibri" w:eastAsia="Calibri" w:hAnsi="Calibri"/>
          <w:b/>
          <w:bCs/>
          <w:color w:val="404040"/>
          <w:sz w:val="24"/>
          <w:szCs w:val="24"/>
        </w:rPr>
        <w:t xml:space="preserve">3.4.3 Cifras realistas, no infladas</w:t>
      </w:r>
    </w:p>
    <w:p>
      <w:pPr>
        <w:spacing w:after="140" w:line="290"/>
        <w:jc w:val="both"/>
      </w:pPr>
      <w:r>
        <w:rPr>
          <w:rFonts w:ascii="Calibri" w:cs="Calibri" w:eastAsia="Calibri" w:hAnsi="Calibri"/>
          <w:sz w:val="22"/>
          <w:szCs w:val="22"/>
        </w:rPr>
        <w:t xml:space="preserve">Si decimos un número, el número está verificado. No usamos “horas de trabajo ahorradas” que provienen de un cálculo dudoso. Si la cifra no está medida, la afirmación se reformula sin cifra: “recuperás tiempo” vale más que “recuperás 17 horas mensuales” si no podemos respaldar las 17 horas con datos.</w:t>
      </w:r>
    </w:p>
    <w:p>
      <w:pPr>
        <w:pStyle w:val="Heading3"/>
        <w:spacing w:after="120" w:before="220"/>
      </w:pPr>
      <w:r>
        <w:rPr>
          <w:rFonts w:ascii="Calibri" w:cs="Calibri" w:eastAsia="Calibri" w:hAnsi="Calibri"/>
          <w:b/>
          <w:bCs/>
          <w:color w:val="404040"/>
          <w:sz w:val="24"/>
          <w:szCs w:val="24"/>
        </w:rPr>
        <w:t xml:space="preserve">3.4.4 Argentino sin ser cerrado</w:t>
      </w:r>
    </w:p>
    <w:p>
      <w:pPr>
        <w:spacing w:after="140" w:line="290"/>
        <w:jc w:val="both"/>
      </w:pPr>
      <w:r>
        <w:rPr>
          <w:rFonts w:ascii="Calibri" w:cs="Calibri" w:eastAsia="Calibri" w:hAnsi="Calibri"/>
          <w:sz w:val="22"/>
          <w:szCs w:val="22"/>
        </w:rPr>
        <w:t xml:space="preserve">El producto se posiciona en Argentina pero podría expandirse. El uso del voseo es normal en piezas locales. Las expresiones muy regionales (lunfardo, modismos de un solo barrio) se evitan. Cuando una pieza apunta a comunicación inter-regional o a documentación pública internacional, el español se neutraliza sin perder calidez.</w:t>
      </w:r>
    </w:p>
    <w:p>
      <w:pPr>
        <w:pStyle w:val="Heading3"/>
        <w:spacing w:after="120" w:before="220"/>
      </w:pPr>
      <w:r>
        <w:rPr>
          <w:rFonts w:ascii="Calibri" w:cs="Calibri" w:eastAsia="Calibri" w:hAnsi="Calibri"/>
          <w:b/>
          <w:bCs/>
          <w:color w:val="404040"/>
          <w:sz w:val="24"/>
          <w:szCs w:val="24"/>
        </w:rPr>
        <w:t xml:space="preserve">3.4.5 Honestidad antes que marketing</w:t>
      </w:r>
    </w:p>
    <w:p>
      <w:pPr>
        <w:spacing w:after="140" w:line="290"/>
        <w:jc w:val="both"/>
      </w:pPr>
      <w:r>
        <w:rPr>
          <w:rFonts w:ascii="Calibri" w:cs="Calibri" w:eastAsia="Calibri" w:hAnsi="Calibri"/>
          <w:sz w:val="22"/>
          <w:szCs w:val="22"/>
        </w:rPr>
        <w:t xml:space="preserve">Si una funcionalidad todavía no está, no la prometemos como si estuviera. “En mayo de 2026 sumamos integración con X” antes que “Integración con X” listada como si fuera presente cuando no lo es. Esta regla es valor de marca: las agencias argentinas tienen mucha experiencia con software que prometió y no entregó. La diferenciación es entregar lo que se promete.</w:t>
      </w:r>
    </w:p>
    <w:p>
      <w:pPr>
        <w:pStyle w:val="Heading3"/>
        <w:spacing w:after="120" w:before="220"/>
      </w:pPr>
      <w:r>
        <w:rPr>
          <w:rFonts w:ascii="Calibri" w:cs="Calibri" w:eastAsia="Calibri" w:hAnsi="Calibri"/>
          <w:b/>
          <w:bCs/>
          <w:color w:val="404040"/>
          <w:sz w:val="24"/>
          <w:szCs w:val="24"/>
        </w:rPr>
        <w:t xml:space="preserve">3.4.6 Disculpa cuando corresponde, sin exceso</w:t>
      </w:r>
    </w:p>
    <w:p>
      <w:pPr>
        <w:spacing w:after="140" w:line="290"/>
        <w:jc w:val="both"/>
      </w:pPr>
      <w:r>
        <w:rPr>
          <w:rFonts w:ascii="Calibri" w:cs="Calibri" w:eastAsia="Calibri" w:hAnsi="Calibri"/>
          <w:sz w:val="22"/>
          <w:szCs w:val="22"/>
        </w:rPr>
        <w:t xml:space="preserve">Cuando algo del producto falla, pedimos disculpas con claridad y nos vamos al siguiente punto. No nos auto-flagelamos ni dramatizamos. “Lamentamos el inconveniente. Acá está lo que pasó y qué hicimos.” Tres oraciones cuando se pueden resumir, no quince.</w:t>
      </w:r>
    </w:p>
    <w:p>
      <w:pPr>
        <w:pStyle w:val="Heading2"/>
        <w:spacing w:after="160" w:before="280"/>
      </w:pPr>
      <w:r>
        <w:rPr>
          <w:rFonts w:ascii="Calibri" w:cs="Calibri" w:eastAsia="Calibri" w:hAnsi="Calibri"/>
          <w:b/>
          <w:bCs/>
          <w:color w:val="2E75B6"/>
          <w:sz w:val="28"/>
          <w:szCs w:val="28"/>
        </w:rPr>
        <w:t xml:space="preserve">3.5 Antipatrones de tono</w:t>
      </w:r>
    </w:p>
    <w:p>
      <w:pPr>
        <w:pStyle w:val="ListParagraph"/>
        <w:numPr>
          <w:ilvl w:val="0"/>
          <w:numId w:val="2"/>
        </w:numPr>
        <w:spacing w:after="60" w:line="270"/>
        <w:jc w:val="both"/>
      </w:pPr>
      <w:r>
        <w:rPr>
          <w:rFonts w:ascii="Calibri" w:cs="Calibri" w:eastAsia="Calibri" w:hAnsi="Calibri"/>
          <w:sz w:val="21"/>
          <w:szCs w:val="21"/>
        </w:rPr>
        <w:t xml:space="preserve">“Estamos comprometidos con la excelencia” y otras frases vacías que cualquier marca podría firmar. Las eliminamos.</w:t>
      </w:r>
    </w:p>
    <w:p>
      <w:pPr>
        <w:pStyle w:val="ListParagraph"/>
        <w:numPr>
          <w:ilvl w:val="0"/>
          <w:numId w:val="2"/>
        </w:numPr>
        <w:spacing w:after="60" w:line="270"/>
        <w:jc w:val="both"/>
      </w:pPr>
      <w:r>
        <w:rPr>
          <w:rFonts w:ascii="Calibri" w:cs="Calibri" w:eastAsia="Calibri" w:hAnsi="Calibri"/>
          <w:sz w:val="21"/>
          <w:szCs w:val="21"/>
        </w:rPr>
        <w:t xml:space="preserve">Marketing inflado: “revolucionar”, “unique”, “game-changer”. La marca no necesita prometer revoluciones.</w:t>
      </w:r>
    </w:p>
    <w:p>
      <w:pPr>
        <w:pStyle w:val="ListParagraph"/>
        <w:numPr>
          <w:ilvl w:val="0"/>
          <w:numId w:val="2"/>
        </w:numPr>
        <w:spacing w:after="60" w:line="270"/>
        <w:jc w:val="both"/>
      </w:pPr>
      <w:r>
        <w:rPr>
          <w:rFonts w:ascii="Calibri" w:cs="Calibri" w:eastAsia="Calibri" w:hAnsi="Calibri"/>
          <w:sz w:val="21"/>
          <w:szCs w:val="21"/>
        </w:rPr>
        <w:t xml:space="preserve">Jerga de Silicon Valley en piezas para clientes: “onboarding”, “stack”, “engagement”. En piezas internas o para devs es válido; en piezas para agencias se traduce.</w:t>
      </w:r>
    </w:p>
    <w:p>
      <w:pPr>
        <w:pStyle w:val="ListParagraph"/>
        <w:numPr>
          <w:ilvl w:val="0"/>
          <w:numId w:val="2"/>
        </w:numPr>
        <w:spacing w:after="60" w:line="270"/>
        <w:jc w:val="both"/>
      </w:pPr>
      <w:r>
        <w:rPr>
          <w:rFonts w:ascii="Calibri" w:cs="Calibri" w:eastAsia="Calibri" w:hAnsi="Calibri"/>
          <w:sz w:val="21"/>
          <w:szCs w:val="21"/>
        </w:rPr>
        <w:t xml:space="preserve">Diminutivos infantiles: “clickeá acá”, “esperanos un toquecito”. La cercanía no es infantilización.</w:t>
      </w:r>
    </w:p>
    <w:p>
      <w:pPr>
        <w:pStyle w:val="ListParagraph"/>
        <w:numPr>
          <w:ilvl w:val="0"/>
          <w:numId w:val="2"/>
        </w:numPr>
        <w:spacing w:after="60" w:line="270"/>
        <w:jc w:val="both"/>
      </w:pPr>
      <w:r>
        <w:rPr>
          <w:rFonts w:ascii="Calibri" w:cs="Calibri" w:eastAsia="Calibri" w:hAnsi="Calibri"/>
          <w:sz w:val="21"/>
          <w:szCs w:val="21"/>
        </w:rPr>
        <w:t xml:space="preserve">Emojis decorativos en comunicaciones formales o de soporte. Excepción: notificaciones casuales internas a la app pueden usarlos con moderación.</w:t>
      </w:r>
    </w:p>
    <w:p>
      <w:pPr>
        <w:pStyle w:val="ListParagraph"/>
        <w:numPr>
          <w:ilvl w:val="0"/>
          <w:numId w:val="2"/>
        </w:numPr>
        <w:spacing w:after="60" w:line="270"/>
        <w:jc w:val="both"/>
      </w:pPr>
      <w:r>
        <w:rPr>
          <w:rFonts w:ascii="Calibri" w:cs="Calibri" w:eastAsia="Calibri" w:hAnsi="Calibri"/>
          <w:sz w:val="21"/>
          <w:szCs w:val="21"/>
        </w:rPr>
        <w:t xml:space="preserve">Excusas con culpa externa: “nuestro proveedor falló”. La culpa siempre se asume internamente cuando hablamos al cliente; los detalles técnicos viven en postmortem público si corresponde.</w:t>
      </w:r>
    </w:p>
    <w:p>
      <w:pPr>
        <w:pStyle w:val="ListParagraph"/>
        <w:numPr>
          <w:ilvl w:val="0"/>
          <w:numId w:val="2"/>
        </w:numPr>
        <w:spacing w:after="60" w:line="270"/>
        <w:jc w:val="both"/>
      </w:pPr>
      <w:r>
        <w:rPr>
          <w:rFonts w:ascii="Calibri" w:cs="Calibri" w:eastAsia="Calibri" w:hAnsi="Calibri"/>
          <w:sz w:val="21"/>
          <w:szCs w:val="21"/>
        </w:rPr>
        <w:t xml:space="preserve">Genéricos vacíos para evitar comprometerse: “próximamente”, “en las próximas semanas”. Damos fechas o no decimos nada.</w:t>
      </w:r>
    </w:p>
    <w:p>
      <w:pPr>
        <w:pStyle w:val="Heading2"/>
        <w:spacing w:after="160" w:before="280"/>
      </w:pPr>
      <w:r>
        <w:rPr>
          <w:rFonts w:ascii="Calibri" w:cs="Calibri" w:eastAsia="Calibri" w:hAnsi="Calibri"/>
          <w:b/>
          <w:bCs/>
          <w:color w:val="2E75B6"/>
          <w:sz w:val="28"/>
          <w:szCs w:val="28"/>
        </w:rPr>
        <w:t xml:space="preserve">3.6 Vocabulario controlado</w:t>
      </w:r>
    </w:p>
    <w:p>
      <w:pPr>
        <w:spacing w:after="140" w:line="290"/>
        <w:jc w:val="both"/>
      </w:pPr>
      <w:r>
        <w:rPr>
          <w:rFonts w:ascii="Calibri" w:cs="Calibri" w:eastAsia="Calibri" w:hAnsi="Calibri"/>
          <w:sz w:val="22"/>
          <w:szCs w:val="22"/>
        </w:rPr>
        <w:t xml:space="preserve">Para mantener consistencia, hay términos cuyo uso preferido se declara explícitamente y se respeta en todas las comunicaciones. La lista es viva y se actualiza cuando aparecen casos nuevos.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Concepto</w:t>
            </w:r>
          </w:p>
        </w:tc>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Decimos</w:t>
            </w:r>
          </w:p>
        </w:tc>
        <w:tc>
          <w:tcPr>
            <w:tcW w:type="dxa" w:w="3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 decimos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Cliente del cliente</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contacto, lead</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prospect, prospecto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Vehículo en stock</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vehículo</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auto (excepto si es exclusivamente autos), unidad</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Operación de venta</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venta, operación</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deal, transacción</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Flujo de venta</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pipeline, embudo</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funnel</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Mensaje a contacto</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mensaje, conversación</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chat (excepto cuando refiere al canal específico)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El portal sectorial argentino</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el portal</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la plataforma de avisos (genérico)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Aplicación deRuedas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 deRuedas Gestión, la app</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la herramienta (genérico)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Multi-empresa / cuenta del cliente</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agencia, tenant (uso técnico), tu agencia (uso comercial)</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organización, empresa, cuenta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Funcionalidad</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función, funcionalidad</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feature (en piezas técnicas internas vale)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Soporte de cliente</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soporte, equipo de soporte</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customer service, atención al cliente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Inicio de uso</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primeros pasos, alta</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onboarding (en piezas comerciales)</w:t>
            </w:r>
          </w:p>
        </w:tc>
      </w:tr>
    </w:tbl>
    <w:p>
      <w:pPr>
        <w:spacing w:after="140" w:line="290"/>
        <w:jc w:val="both"/>
      </w:pPr>
      <w:r>
        <w:rPr>
          <w:rFonts w:ascii="Calibri" w:cs="Calibri" w:eastAsia="Calibri" w:hAnsi="Calibri"/>
          <w:sz w:val="22"/>
          <w:szCs w:val="22"/>
        </w:rPr>
        <w:t xml:space="preserve"/>
      </w:r>
    </w:p>
    <w:p>
      <w:r>
        <w:br w:type="page"/>
      </w:r>
    </w:p>
    <w:p>
      <w:pPr>
        <w:pStyle w:val="Heading1"/>
        <w:spacing w:after="240" w:before="360"/>
      </w:pPr>
      <w:r>
        <w:rPr>
          <w:rFonts w:ascii="Calibri" w:cs="Calibri" w:eastAsia="Calibri" w:hAnsi="Calibri"/>
          <w:b/>
          <w:bCs/>
          <w:color w:val="1F3864"/>
          <w:sz w:val="36"/>
          <w:szCs w:val="36"/>
        </w:rPr>
        <w:t xml:space="preserve">4. El nombre</w:t>
      </w:r>
    </w:p>
    <w:p>
      <w:pPr>
        <w:pStyle w:val="Heading2"/>
        <w:spacing w:after="160" w:before="280"/>
      </w:pPr>
      <w:r>
        <w:rPr>
          <w:rFonts w:ascii="Calibri" w:cs="Calibri" w:eastAsia="Calibri" w:hAnsi="Calibri"/>
          <w:b/>
          <w:bCs/>
          <w:color w:val="2E75B6"/>
          <w:sz w:val="28"/>
          <w:szCs w:val="28"/>
        </w:rPr>
        <w:t xml:space="preserve">4.1 Forma correcta</w:t>
      </w:r>
    </w:p>
    <w:p>
      <w:pPr>
        <w:spacing w:after="140" w:line="290"/>
        <w:jc w:val="both"/>
      </w:pPr>
      <w:r>
        <w:rPr>
          <w:rFonts w:ascii="Calibri" w:cs="Calibri" w:eastAsia="Calibri" w:hAnsi="Calibri"/>
          <w:sz w:val="22"/>
          <w:szCs w:val="22"/>
        </w:rPr>
        <w:t xml:space="preserve">El nombre de la marca es deRuedas Gestión. Su forma correcta es la única aceptada en cualquier soporte oficial. La forma respeta tres convenciones que no deben alterarse.</w:t>
      </w:r>
    </w:p>
    <w:p>
      <w:pPr>
        <w:pStyle w:val="ListParagraph"/>
        <w:numPr>
          <w:ilvl w:val="0"/>
          <w:numId w:val="2"/>
        </w:numPr>
        <w:spacing w:after="60" w:line="270"/>
        <w:jc w:val="both"/>
      </w:pPr>
      <w:r>
        <w:rPr>
          <w:rFonts w:ascii="Calibri" w:cs="Calibri" w:eastAsia="Calibri" w:hAnsi="Calibri"/>
          <w:sz w:val="21"/>
          <w:szCs w:val="21"/>
        </w:rPr>
        <w:t xml:space="preserve">La preposición “de” va siempre en minúscula, incluso al comienzo de oración.</w:t>
      </w:r>
    </w:p>
    <w:p>
      <w:pPr>
        <w:pStyle w:val="ListParagraph"/>
        <w:numPr>
          <w:ilvl w:val="0"/>
          <w:numId w:val="2"/>
        </w:numPr>
        <w:spacing w:after="60" w:line="270"/>
        <w:jc w:val="both"/>
      </w:pPr>
      <w:r>
        <w:rPr>
          <w:rFonts w:ascii="Calibri" w:cs="Calibri" w:eastAsia="Calibri" w:hAnsi="Calibri"/>
          <w:sz w:val="21"/>
          <w:szCs w:val="21"/>
        </w:rPr>
        <w:t xml:space="preserve">La R de “Ruedas” va siempre en mayúscula y va pegada a “de”, sin espacio.</w:t>
      </w:r>
    </w:p>
    <w:p>
      <w:pPr>
        <w:pStyle w:val="ListParagraph"/>
        <w:numPr>
          <w:ilvl w:val="0"/>
          <w:numId w:val="2"/>
        </w:numPr>
        <w:spacing w:after="60" w:line="270"/>
        <w:jc w:val="both"/>
      </w:pPr>
      <w:r>
        <w:rPr>
          <w:rFonts w:ascii="Calibri" w:cs="Calibri" w:eastAsia="Calibri" w:hAnsi="Calibri"/>
          <w:sz w:val="21"/>
          <w:szCs w:val="21"/>
        </w:rPr>
        <w:t xml:space="preserve">La palabra “Gestión” acompaña al nombre principal cuando se requiere identificación completa del producto, separada por un espacio.</w:t>
      </w:r>
    </w:p>
    <w:p>
      <w:pPr>
        <w:shd w:fill="DEEAF6" w:color="auto" w:val="clear"/>
        <w:spacing w:after="120" w:before="120" w:line="280"/>
        <w:jc w:val="both"/>
      </w:pPr>
      <w:r>
        <w:rPr>
          <w:rFonts w:ascii="Calibri" w:cs="Calibri" w:eastAsia="Calibri" w:hAnsi="Calibri"/>
          <w:b/>
          <w:bCs/>
          <w:color w:val="1F3864"/>
          <w:sz w:val="21"/>
          <w:szCs w:val="21"/>
        </w:rPr>
        <w:t xml:space="preserve">Forma correcta: </w:t>
      </w:r>
      <w:r>
        <w:rPr>
          <w:rFonts w:ascii="Calibri" w:cs="Calibri" w:eastAsia="Calibri" w:hAnsi="Calibri"/>
          <w:color w:val="1F3864"/>
          <w:sz w:val="21"/>
          <w:szCs w:val="21"/>
        </w:rPr>
        <w:t xml:space="preserve">deRuedas Gestión</w:t>
      </w:r>
    </w:p>
    <w:p>
      <w:pPr>
        <w:pStyle w:val="Heading2"/>
        <w:spacing w:after="160" w:before="280"/>
      </w:pPr>
      <w:r>
        <w:rPr>
          <w:rFonts w:ascii="Calibri" w:cs="Calibri" w:eastAsia="Calibri" w:hAnsi="Calibri"/>
          <w:b/>
          <w:bCs/>
          <w:color w:val="2E75B6"/>
          <w:sz w:val="28"/>
          <w:szCs w:val="28"/>
        </w:rPr>
        <w:t xml:space="preserve">4.2 Variantes admitidas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c>
          <w:tcPr>
            <w:tcW w:type="dxa" w:w="3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Variante</w:t>
            </w:r>
          </w:p>
        </w:tc>
        <w:tc>
          <w:tcPr>
            <w:tcW w:type="dxa" w:w="6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Cuándo se usa</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 Gestión</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Forma completa para identificación oficial, primera mención en cualquier pieza, contextos legales y contractuales.</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Forma corta para uso conversacional, menciones repetidas tras la primera, copy comercial donde el contexto ya es claro.</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dR</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Iniciales decorativas para usos gráficos puntuales: monograma, favicon, watermark muy chico. Nunca como nombre escrito en copy.</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4.3 Formas incorrectas</w:t>
      </w:r>
    </w:p>
    <w:p>
      <w:pPr>
        <w:spacing w:after="140" w:line="290"/>
        <w:jc w:val="both"/>
      </w:pPr>
      <w:r>
        <w:rPr>
          <w:rFonts w:ascii="Calibri" w:cs="Calibri" w:eastAsia="Calibri" w:hAnsi="Calibri"/>
          <w:sz w:val="22"/>
          <w:szCs w:val="22"/>
        </w:rPr>
        <w:t xml:space="preserve">Las siguientes variantes son explícitamente incorrectas y no deben aparecer en ninguna pieza oficial. Equipos externos que reciban brief deben tener este apartado en frente.</w:t>
      </w:r>
    </w:p>
    <w:p>
      <w:pPr>
        <w:pStyle w:val="ListParagraph"/>
        <w:numPr>
          <w:ilvl w:val="0"/>
          <w:numId w:val="2"/>
        </w:numPr>
        <w:spacing w:after="60" w:line="270"/>
        <w:jc w:val="both"/>
      </w:pPr>
      <w:r>
        <w:rPr>
          <w:rFonts w:ascii="Calibri" w:cs="Calibri" w:eastAsia="Calibri" w:hAnsi="Calibri"/>
          <w:sz w:val="21"/>
          <w:szCs w:val="21"/>
        </w:rPr>
        <w:t xml:space="preserve">“De Ruedas” (con espacio entre De y Ruedas): rompe la unidad del nombre.</w:t>
      </w:r>
    </w:p>
    <w:p>
      <w:pPr>
        <w:pStyle w:val="ListParagraph"/>
        <w:numPr>
          <w:ilvl w:val="0"/>
          <w:numId w:val="2"/>
        </w:numPr>
        <w:spacing w:after="60" w:line="270"/>
        <w:jc w:val="both"/>
      </w:pPr>
      <w:r>
        <w:rPr>
          <w:rFonts w:ascii="Calibri" w:cs="Calibri" w:eastAsia="Calibri" w:hAnsi="Calibri"/>
          <w:sz w:val="21"/>
          <w:szCs w:val="21"/>
        </w:rPr>
        <w:t xml:space="preserve">“DeRuedas” (con D mayúscula): equivocada por convención de la marca.</w:t>
      </w:r>
    </w:p>
    <w:p>
      <w:pPr>
        <w:pStyle w:val="ListParagraph"/>
        <w:numPr>
          <w:ilvl w:val="0"/>
          <w:numId w:val="2"/>
        </w:numPr>
        <w:spacing w:after="60" w:line="270"/>
        <w:jc w:val="both"/>
      </w:pPr>
      <w:r>
        <w:rPr>
          <w:rFonts w:ascii="Calibri" w:cs="Calibri" w:eastAsia="Calibri" w:hAnsi="Calibri"/>
          <w:sz w:val="21"/>
          <w:szCs w:val="21"/>
        </w:rPr>
        <w:t xml:space="preserve">“deruedas” (todo minúsculas): admisible solo en URL del dominio (deruedas.com); en copy es incorrecto.</w:t>
      </w:r>
    </w:p>
    <w:p>
      <w:pPr>
        <w:pStyle w:val="ListParagraph"/>
        <w:numPr>
          <w:ilvl w:val="0"/>
          <w:numId w:val="2"/>
        </w:numPr>
        <w:spacing w:after="60" w:line="270"/>
        <w:jc w:val="both"/>
      </w:pPr>
      <w:r>
        <w:rPr>
          <w:rFonts w:ascii="Calibri" w:cs="Calibri" w:eastAsia="Calibri" w:hAnsi="Calibri"/>
          <w:sz w:val="21"/>
          <w:szCs w:val="21"/>
        </w:rPr>
        <w:t xml:space="preserve">“DERUEDAS” (todo mayúsculas): nunca, ni en titulares.</w:t>
      </w:r>
    </w:p>
    <w:p>
      <w:pPr>
        <w:pStyle w:val="ListParagraph"/>
        <w:numPr>
          <w:ilvl w:val="0"/>
          <w:numId w:val="2"/>
        </w:numPr>
        <w:spacing w:after="60" w:line="270"/>
        <w:jc w:val="both"/>
      </w:pPr>
      <w:r>
        <w:rPr>
          <w:rFonts w:ascii="Calibri" w:cs="Calibri" w:eastAsia="Calibri" w:hAnsi="Calibri"/>
          <w:sz w:val="21"/>
          <w:szCs w:val="21"/>
        </w:rPr>
        <w:t xml:space="preserve">“deRuedas®” con símbolo de marca registrada: solo agregar el símbolo cuando la marca esté efectivamente registrada y el contexto exija el aviso (información legal, footer de página oficial).</w:t>
      </w:r>
    </w:p>
    <w:p>
      <w:pPr>
        <w:pStyle w:val="ListParagraph"/>
        <w:numPr>
          <w:ilvl w:val="0"/>
          <w:numId w:val="2"/>
        </w:numPr>
        <w:spacing w:after="60" w:line="270"/>
        <w:jc w:val="both"/>
      </w:pPr>
      <w:r>
        <w:rPr>
          <w:rFonts w:ascii="Calibri" w:cs="Calibri" w:eastAsia="Calibri" w:hAnsi="Calibri"/>
          <w:sz w:val="21"/>
          <w:szCs w:val="21"/>
        </w:rPr>
        <w:t xml:space="preserve">“De Ruedas Gestión”, “Ruedas Gestión” y otras mutilaciones: rechazadas.</w:t>
      </w:r>
    </w:p>
    <w:p>
      <w:pPr>
        <w:pStyle w:val="Heading2"/>
        <w:spacing w:after="160" w:before="280"/>
      </w:pPr>
      <w:r>
        <w:rPr>
          <w:rFonts w:ascii="Calibri" w:cs="Calibri" w:eastAsia="Calibri" w:hAnsi="Calibri"/>
          <w:b/>
          <w:bCs/>
          <w:color w:val="2E75B6"/>
          <w:sz w:val="28"/>
          <w:szCs w:val="28"/>
        </w:rPr>
        <w:t xml:space="preserve">4.4 Pronunciación</w:t>
      </w:r>
    </w:p>
    <w:p>
      <w:pPr>
        <w:spacing w:after="140" w:line="290"/>
        <w:jc w:val="both"/>
      </w:pPr>
      <w:r>
        <w:rPr>
          <w:rFonts w:ascii="Calibri" w:cs="Calibri" w:eastAsia="Calibri" w:hAnsi="Calibri"/>
          <w:sz w:val="22"/>
          <w:szCs w:val="22"/>
        </w:rPr>
        <w:t xml:space="preserve">La pronunciación recomendada en español argentino es “de-ruedas” acentuado en la primera “e” de Ruedas (palabra grave): /de.ˈrwe.ðas/. La forma se mantiene en hablantes de otros dialectos hispanohablantes con sus variaciones fonéticas naturales. Para audiencias anglófonas se acepta la pronunciación adaptada “deh-RWAY-dahs” sin pretender que la pronuncien como un argentino.</w:t>
      </w:r>
    </w:p>
    <w:p>
      <w:pPr>
        <w:pStyle w:val="Heading2"/>
        <w:spacing w:after="160" w:before="280"/>
      </w:pPr>
      <w:r>
        <w:rPr>
          <w:rFonts w:ascii="Calibri" w:cs="Calibri" w:eastAsia="Calibri" w:hAnsi="Calibri"/>
          <w:b/>
          <w:bCs/>
          <w:color w:val="2E75B6"/>
          <w:sz w:val="28"/>
          <w:szCs w:val="28"/>
        </w:rPr>
        <w:t xml:space="preserve">4.5 Origen del nombre</w:t>
      </w:r>
    </w:p>
    <w:p>
      <w:pPr>
        <w:spacing w:after="140" w:line="290"/>
        <w:jc w:val="both"/>
      </w:pPr>
      <w:r>
        <w:rPr>
          <w:rFonts w:ascii="Calibri" w:cs="Calibri" w:eastAsia="Calibri" w:hAnsi="Calibri"/>
          <w:sz w:val="22"/>
          <w:szCs w:val="22"/>
        </w:rPr>
        <w:t xml:space="preserve">El nombre fue elegido por su simpleza y su asociación inmediata con el universo de los vehículos sin restringirse a una categoría (“deruedas” abarca autos, utilitarios, motos, comerciales, eventualmente embarcaciones o náuticos si el producto se extiende). La cualidad evocativa —ruedas como sinónimo coloquial de vehículo en español— hace al nombre memorable sin necesidad de explicación. La preferencia por “deRuedas” sobre “Ruedas” a secas es para diferenciarse comercialmente de marcas existentes con nombres similares.</w:t>
      </w:r>
    </w:p>
    <w:p>
      <w:r>
        <w:br w:type="page"/>
      </w:r>
    </w:p>
    <w:p>
      <w:pPr>
        <w:pStyle w:val="Heading1"/>
        <w:spacing w:after="240" w:before="360"/>
      </w:pPr>
      <w:r>
        <w:rPr>
          <w:rFonts w:ascii="Calibri" w:cs="Calibri" w:eastAsia="Calibri" w:hAnsi="Calibri"/>
          <w:b/>
          <w:bCs/>
          <w:color w:val="1F3864"/>
          <w:sz w:val="36"/>
          <w:szCs w:val="36"/>
        </w:rPr>
        <w:t xml:space="preserve">5. Sistema de logo</w:t>
      </w:r>
    </w:p>
    <w:p>
      <w:pPr>
        <w:spacing w:after="140" w:line="290"/>
        <w:jc w:val="both"/>
      </w:pPr>
      <w:r>
        <w:rPr>
          <w:rFonts w:ascii="Calibri" w:cs="Calibri" w:eastAsia="Calibri" w:hAnsi="Calibri"/>
          <w:sz w:val="22"/>
          <w:szCs w:val="22"/>
        </w:rPr>
        <w:t xml:space="preserve">Esta sección define el logo de la marca: sus variantes, sus márgenes de seguridad, sus tamaños mínimos y sus prohibiciones de uso. El logo es el activo visual de mayor exposición; el cuidado de su integridad es responsabilidad de cada persona que lo aplica.</w:t>
      </w:r>
    </w:p>
    <w:p>
      <w:pPr>
        <w:pStyle w:val="Heading2"/>
        <w:spacing w:after="160" w:before="280"/>
      </w:pPr>
      <w:r>
        <w:rPr>
          <w:rFonts w:ascii="Calibri" w:cs="Calibri" w:eastAsia="Calibri" w:hAnsi="Calibri"/>
          <w:b/>
          <w:bCs/>
          <w:color w:val="2E75B6"/>
          <w:sz w:val="28"/>
          <w:szCs w:val="28"/>
        </w:rPr>
        <w:t xml:space="preserve">5.1 Composición del logo</w:t>
      </w:r>
    </w:p>
    <w:p>
      <w:pPr>
        <w:spacing w:after="140" w:line="290"/>
        <w:jc w:val="both"/>
      </w:pPr>
      <w:r>
        <w:rPr>
          <w:rFonts w:ascii="Calibri" w:cs="Calibri" w:eastAsia="Calibri" w:hAnsi="Calibri"/>
          <w:sz w:val="22"/>
          <w:szCs w:val="22"/>
        </w:rPr>
        <w:t xml:space="preserve">El logo de deRuedas Gestión está compuesto por dos elementos que pueden aparecer juntos o por separado según el contexto. El isotipo es la marca gráfica abstracta: una forma circular estilizada que evoca una rueda en movimiento, construida con dos arcos concéntricos que se cierran en una flecha sutil. El logotipo es la representación tipográfica del nombre “deRuedas”, dibujado con una variante personalizada de la familia tipográfica institucional.</w:t>
      </w:r>
    </w:p>
    <w:p>
      <w:pPr>
        <w:shd w:fill="FFF4D6" w:color="auto" w:val="clear"/>
        <w:spacing w:after="120" w:before="120" w:line="280"/>
        <w:jc w:val="both"/>
      </w:pPr>
      <w:r>
        <w:rPr>
          <w:rFonts w:ascii="Calibri" w:cs="Calibri" w:eastAsia="Calibri" w:hAnsi="Calibri"/>
          <w:b/>
          <w:bCs/>
          <w:color w:val="9C5700"/>
          <w:sz w:val="21"/>
          <w:szCs w:val="21"/>
        </w:rPr>
        <w:t xml:space="preserve">Sobre los archivos: </w:t>
      </w:r>
      <w:r>
        <w:rPr>
          <w:rFonts w:ascii="Calibri" w:cs="Calibri" w:eastAsia="Calibri" w:hAnsi="Calibri"/>
          <w:color w:val="9C5700"/>
          <w:sz w:val="21"/>
          <w:szCs w:val="21"/>
        </w:rPr>
        <w:t xml:space="preserve">Las versiones definitivas del logo —incluyendo SVG vectorial, PNG en distintas resoluciones, AI editable, EPS para imprenta— se encuentran en el repositorio de marca. Bajo ninguna circunstancia se usan logos copiados desde la web o capturados desde la aplicación; el deterioro de calidad acumulado convierte un activo cuidado en algo deshilachado.</w:t>
      </w:r>
    </w:p>
    <w:p>
      <w:pPr>
        <w:pStyle w:val="Heading2"/>
        <w:spacing w:after="160" w:before="280"/>
      </w:pPr>
      <w:r>
        <w:rPr>
          <w:rFonts w:ascii="Calibri" w:cs="Calibri" w:eastAsia="Calibri" w:hAnsi="Calibri"/>
          <w:b/>
          <w:bCs/>
          <w:color w:val="2E75B6"/>
          <w:sz w:val="28"/>
          <w:szCs w:val="28"/>
        </w:rPr>
        <w:t xml:space="preserve">5.2 Variantes del logo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6600"/>
      </w:tblGrid>
      <w:tr>
        <w:tc>
          <w:tcPr>
            <w:tcW w:type="dxa" w:w="2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Variante</w:t>
            </w:r>
          </w:p>
        </w:tc>
        <w:tc>
          <w:tcPr>
            <w:tcW w:type="dxa" w:w="6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Uso recomendado</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Logo principal (isotipo + logotipo horizontal)</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Pieza de mayor uso. Apropiado para headers de la aplicación, encabezados de presentaciones, papelería, web institucional, firma de email.</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Logo vertical (isotipo arriba, logotipo abajo)</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Espacios cuadrados o verticales: avatar de redes, packaging si aplica, banners verticales.</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Solo isotipo</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Espacios muy reducidos: favicon, monograma de email, app icon de móvil, watermark.</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Solo logotipo</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Cuando el isotipo ya está presente en otra parte de la pieza, o cuando el contexto exige horizontalidad extrema (footer fino, banner muy ancho).</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Variante monocromática negra</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Reproducción en blanco y negro, fax (sí, aún ocurre), impresiones donde el color no está disponible.</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Variante monocromática blanca</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Sobre fondos oscuros o con imágenes de fondo donde el color principal pierde contraste.</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5.3 Área de respeto</w:t>
      </w:r>
    </w:p>
    <w:p>
      <w:pPr>
        <w:spacing w:after="140" w:line="290"/>
        <w:jc w:val="both"/>
      </w:pPr>
      <w:r>
        <w:rPr>
          <w:rFonts w:ascii="Calibri" w:cs="Calibri" w:eastAsia="Calibri" w:hAnsi="Calibri"/>
          <w:sz w:val="22"/>
          <w:szCs w:val="22"/>
        </w:rPr>
        <w:t xml:space="preserve">Alrededor del logo se preserva una zona libre donde no aparece ningún otro elemento gráfico, texto, imagen ni borde. Esta área de respeto garantiza la legibilidad y la presencia visual del logo en cualquier pieza.</w:t>
      </w:r>
    </w:p>
    <w:p>
      <w:pPr>
        <w:spacing w:after="140" w:line="290"/>
        <w:jc w:val="both"/>
      </w:pPr>
      <w:r>
        <w:rPr>
          <w:rFonts w:ascii="Calibri" w:cs="Calibri" w:eastAsia="Calibri" w:hAnsi="Calibri"/>
          <w:sz w:val="22"/>
          <w:szCs w:val="22"/>
        </w:rPr>
        <w:t xml:space="preserve">La regla del área de respeto es la siguiente: la altura mínima del margen alrededor del logo es igual a la altura del isotipo del propio logo. Si el isotipo mide 40 píxeles, los 40 píxeles inmediatamente exteriores en cada dirección son zona libre. Esta regla es proporcional, lo que la hace aplicable a cualquier escala.</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[zona]              │</w:t>
      </w:r>
    </w:p>
    <w:p>
      <w:pPr>
        <w:shd w:fill="F2F2F2" w:color="auto" w:val="clear"/>
        <w:spacing w:after="0" w:line="240"/>
      </w:pPr>
      <w:r>
        <w:rPr>
          <w:rFonts w:ascii="Consolas" w:cs="Consolas" w:eastAsia="Consolas" w:hAnsi="Consolas"/>
          <w:color w:val="1F3864"/>
          <w:sz w:val="18"/>
          <w:szCs w:val="18"/>
        </w:rPr>
        <w:t xml:space="preserve">                  │           ┌─────────────┐        │</w:t>
      </w:r>
    </w:p>
    <w:p>
      <w:pPr>
        <w:shd w:fill="F2F2F2" w:color="auto" w:val="clear"/>
        <w:spacing w:after="0" w:line="240"/>
      </w:pPr>
      <w:r>
        <w:rPr>
          <w:rFonts w:ascii="Consolas" w:cs="Consolas" w:eastAsia="Consolas" w:hAnsi="Consolas"/>
          <w:color w:val="1F3864"/>
          <w:sz w:val="18"/>
          <w:szCs w:val="18"/>
        </w:rPr>
        <w:t xml:space="preserve">                  │  [zona]   │   LOGO      │ [zona] │</w:t>
      </w:r>
    </w:p>
    <w:p>
      <w:pPr>
        <w:shd w:fill="F2F2F2" w:color="auto" w:val="clear"/>
        <w:spacing w:after="0" w:line="240"/>
      </w:pPr>
      <w:r>
        <w:rPr>
          <w:rFonts w:ascii="Consolas" w:cs="Consolas" w:eastAsia="Consolas" w:hAnsi="Consolas"/>
          <w:color w:val="1F3864"/>
          <w:sz w:val="18"/>
          <w:szCs w:val="18"/>
        </w:rPr>
        <w:t xml:space="preserve">                  │           └─────────────┘        │</w:t>
      </w:r>
    </w:p>
    <w:p>
      <w:pPr>
        <w:shd w:fill="F2F2F2" w:color="auto" w:val="clear"/>
        <w:spacing w:after="0" w:line="240"/>
      </w:pPr>
      <w:r>
        <w:rPr>
          <w:rFonts w:ascii="Consolas" w:cs="Consolas" w:eastAsia="Consolas" w:hAnsi="Consolas"/>
          <w:color w:val="1F3864"/>
          <w:sz w:val="18"/>
          <w:szCs w:val="18"/>
        </w:rPr>
        <w:t xml:space="preserve">                  │              [zona]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ancho mínimo de zona = altura del isotipo del logo</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5.4 Tamaño mínimo</w:t>
      </w:r>
    </w:p>
    <w:p>
      <w:pPr>
        <w:spacing w:after="140" w:line="290"/>
        <w:jc w:val="both"/>
      </w:pPr>
      <w:r>
        <w:rPr>
          <w:rFonts w:ascii="Calibri" w:cs="Calibri" w:eastAsia="Calibri" w:hAnsi="Calibri"/>
          <w:sz w:val="22"/>
          <w:szCs w:val="22"/>
        </w:rPr>
        <w:t xml:space="preserve">Por debajo de cierto tamaño el logo deja de ser legible y la marca se daña. Las restricciones por variante son las siguientes.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000"/>
      </w:tblGrid>
      <w:tr>
        <w:tc>
          <w:tcPr>
            <w:tcW w:type="dxa" w:w="3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Variante</w:t>
            </w:r>
          </w:p>
        </w:tc>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En pantalla</w:t>
            </w:r>
          </w:p>
        </w:tc>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En impreso</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Logo principal horizontal</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120 px de ancho mínimo</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30 mm de ancho mínimo</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Logo vertical</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80 px de ancho mínimo</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20 mm de ancho mínimo</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Solo isotipo</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32 px de lado</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8 mm de lado</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Favicon (caso especial)</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16 px (versión simplificada del isotipo)</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no aplica</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5.5 Usos no permitidos</w:t>
      </w:r>
    </w:p>
    <w:p>
      <w:pPr>
        <w:spacing w:after="140" w:line="290"/>
        <w:jc w:val="both"/>
      </w:pPr>
      <w:r>
        <w:rPr>
          <w:rFonts w:ascii="Calibri" w:cs="Calibri" w:eastAsia="Calibri" w:hAnsi="Calibri"/>
          <w:sz w:val="22"/>
          <w:szCs w:val="22"/>
        </w:rPr>
        <w:t xml:space="preserve">El logo es elemento estable: no se modifica, no se decora, no se compone con otros elementos sin lineamientos explícitos. Las siguientes prácticas están prohibidas.</w:t>
      </w:r>
    </w:p>
    <w:p>
      <w:pPr>
        <w:pStyle w:val="ListParagraph"/>
        <w:numPr>
          <w:ilvl w:val="0"/>
          <w:numId w:val="2"/>
        </w:numPr>
        <w:spacing w:after="60" w:line="270"/>
        <w:jc w:val="both"/>
      </w:pPr>
      <w:r>
        <w:rPr>
          <w:rFonts w:ascii="Calibri" w:cs="Calibri" w:eastAsia="Calibri" w:hAnsi="Calibri"/>
          <w:sz w:val="21"/>
          <w:szCs w:val="21"/>
        </w:rPr>
        <w:t xml:space="preserve">Cambiar los colores del logo a colores fuera de la paleta institucional aprobada.</w:t>
      </w:r>
    </w:p>
    <w:p>
      <w:pPr>
        <w:pStyle w:val="ListParagraph"/>
        <w:numPr>
          <w:ilvl w:val="0"/>
          <w:numId w:val="2"/>
        </w:numPr>
        <w:spacing w:after="60" w:line="270"/>
        <w:jc w:val="both"/>
      </w:pPr>
      <w:r>
        <w:rPr>
          <w:rFonts w:ascii="Calibri" w:cs="Calibri" w:eastAsia="Calibri" w:hAnsi="Calibri"/>
          <w:sz w:val="21"/>
          <w:szCs w:val="21"/>
        </w:rPr>
        <w:t xml:space="preserve">Aplicar efectos: sombra paralela, brillo, biselado, degradados arbitrarios, filtros.</w:t>
      </w:r>
    </w:p>
    <w:p>
      <w:pPr>
        <w:pStyle w:val="ListParagraph"/>
        <w:numPr>
          <w:ilvl w:val="0"/>
          <w:numId w:val="2"/>
        </w:numPr>
        <w:spacing w:after="60" w:line="270"/>
        <w:jc w:val="both"/>
      </w:pPr>
      <w:r>
        <w:rPr>
          <w:rFonts w:ascii="Calibri" w:cs="Calibri" w:eastAsia="Calibri" w:hAnsi="Calibri"/>
          <w:sz w:val="21"/>
          <w:szCs w:val="21"/>
        </w:rPr>
        <w:t xml:space="preserve">Distorsionar las proporciones: estirar horizontal o verticalmente, comprimir.</w:t>
      </w:r>
    </w:p>
    <w:p>
      <w:pPr>
        <w:pStyle w:val="ListParagraph"/>
        <w:numPr>
          <w:ilvl w:val="0"/>
          <w:numId w:val="2"/>
        </w:numPr>
        <w:spacing w:after="60" w:line="270"/>
        <w:jc w:val="both"/>
      </w:pPr>
      <w:r>
        <w:rPr>
          <w:rFonts w:ascii="Calibri" w:cs="Calibri" w:eastAsia="Calibri" w:hAnsi="Calibri"/>
          <w:sz w:val="21"/>
          <w:szCs w:val="21"/>
        </w:rPr>
        <w:t xml:space="preserve">Rotar el logo en ángulos arbitrarios para “efecto creativo”. Permitida la rotación 90° solo para badges verticales especiales y aprobados.</w:t>
      </w:r>
    </w:p>
    <w:p>
      <w:pPr>
        <w:pStyle w:val="ListParagraph"/>
        <w:numPr>
          <w:ilvl w:val="0"/>
          <w:numId w:val="2"/>
        </w:numPr>
        <w:spacing w:after="60" w:line="270"/>
        <w:jc w:val="both"/>
      </w:pPr>
      <w:r>
        <w:rPr>
          <w:rFonts w:ascii="Calibri" w:cs="Calibri" w:eastAsia="Calibri" w:hAnsi="Calibri"/>
          <w:sz w:val="21"/>
          <w:szCs w:val="21"/>
        </w:rPr>
        <w:t xml:space="preserve">Recortar el logo de manera que se mutile (excepto la variante “solo isotipo” que es una variante diseñada, no un recorte ad hoc).</w:t>
      </w:r>
    </w:p>
    <w:p>
      <w:pPr>
        <w:pStyle w:val="ListParagraph"/>
        <w:numPr>
          <w:ilvl w:val="0"/>
          <w:numId w:val="2"/>
        </w:numPr>
        <w:spacing w:after="60" w:line="270"/>
        <w:jc w:val="both"/>
      </w:pPr>
      <w:r>
        <w:rPr>
          <w:rFonts w:ascii="Calibri" w:cs="Calibri" w:eastAsia="Calibri" w:hAnsi="Calibri"/>
          <w:sz w:val="21"/>
          <w:szCs w:val="21"/>
        </w:rPr>
        <w:t xml:space="preserve">Reemplazar el logotipo tipográfico por otra fuente.</w:t>
      </w:r>
    </w:p>
    <w:p>
      <w:pPr>
        <w:pStyle w:val="ListParagraph"/>
        <w:numPr>
          <w:ilvl w:val="0"/>
          <w:numId w:val="2"/>
        </w:numPr>
        <w:spacing w:after="60" w:line="270"/>
        <w:jc w:val="both"/>
      </w:pPr>
      <w:r>
        <w:rPr>
          <w:rFonts w:ascii="Calibri" w:cs="Calibri" w:eastAsia="Calibri" w:hAnsi="Calibri"/>
          <w:sz w:val="21"/>
          <w:szCs w:val="21"/>
        </w:rPr>
        <w:t xml:space="preserve">Componer el logo con elementos gráficos ajenos (ilustraciones, íconos, fotos) dentro del área de respeto.</w:t>
      </w:r>
    </w:p>
    <w:p>
      <w:pPr>
        <w:pStyle w:val="ListParagraph"/>
        <w:numPr>
          <w:ilvl w:val="0"/>
          <w:numId w:val="2"/>
        </w:numPr>
        <w:spacing w:after="60" w:line="270"/>
        <w:jc w:val="both"/>
      </w:pPr>
      <w:r>
        <w:rPr>
          <w:rFonts w:ascii="Calibri" w:cs="Calibri" w:eastAsia="Calibri" w:hAnsi="Calibri"/>
          <w:sz w:val="21"/>
          <w:szCs w:val="21"/>
        </w:rPr>
        <w:t xml:space="preserve">Usar el logo como marca de agua sobre contenido del cliente (fotos de vehículos cargadas por el tenant) sin política específica que lo apruebe.</w:t>
      </w:r>
    </w:p>
    <w:p>
      <w:pPr>
        <w:pStyle w:val="ListParagraph"/>
        <w:numPr>
          <w:ilvl w:val="0"/>
          <w:numId w:val="2"/>
        </w:numPr>
        <w:spacing w:after="60" w:line="270"/>
        <w:jc w:val="both"/>
      </w:pPr>
      <w:r>
        <w:rPr>
          <w:rFonts w:ascii="Calibri" w:cs="Calibri" w:eastAsia="Calibri" w:hAnsi="Calibri"/>
          <w:sz w:val="21"/>
          <w:szCs w:val="21"/>
        </w:rPr>
        <w:t xml:space="preserve">Aplicar el logo color sobre fondos que comprometen su contraste (azul similar, fondos cargados).</w:t>
      </w:r>
    </w:p>
    <w:p>
      <w:pPr>
        <w:pStyle w:val="ListParagraph"/>
        <w:numPr>
          <w:ilvl w:val="0"/>
          <w:numId w:val="2"/>
        </w:numPr>
        <w:spacing w:after="60" w:line="270"/>
        <w:jc w:val="both"/>
      </w:pPr>
      <w:r>
        <w:rPr>
          <w:rFonts w:ascii="Calibri" w:cs="Calibri" w:eastAsia="Calibri" w:hAnsi="Calibri"/>
          <w:sz w:val="21"/>
          <w:szCs w:val="21"/>
        </w:rPr>
        <w:t xml:space="preserve">Reproducir el logo a baja resolución que produzca pixelación visible.</w:t>
      </w:r>
    </w:p>
    <w:p>
      <w:pPr>
        <w:pStyle w:val="Heading2"/>
        <w:spacing w:after="160" w:before="280"/>
      </w:pPr>
      <w:r>
        <w:rPr>
          <w:rFonts w:ascii="Calibri" w:cs="Calibri" w:eastAsia="Calibri" w:hAnsi="Calibri"/>
          <w:b/>
          <w:bCs/>
          <w:color w:val="2E75B6"/>
          <w:sz w:val="28"/>
          <w:szCs w:val="28"/>
        </w:rPr>
        <w:t xml:space="preserve">5.6 Logo sobre fondos: criterios de contraste</w:t>
      </w:r>
    </w:p>
    <w:p>
      <w:pPr>
        <w:spacing w:after="140" w:line="290"/>
        <w:jc w:val="both"/>
      </w:pPr>
      <w:r>
        <w:rPr>
          <w:rFonts w:ascii="Calibri" w:cs="Calibri" w:eastAsia="Calibri" w:hAnsi="Calibri"/>
          <w:sz w:val="22"/>
          <w:szCs w:val="22"/>
        </w:rPr>
        <w:t xml:space="preserve">La elección de la variante del logo según el fondo se rige por el contraste. La regla operativa: la variante color se usa sobre fondos blanco, gris muy claro y crema; la variante monocromática blanca se usa sobre el azul institucional, sobre fondos oscuros y sobre imágenes con suficiente uniformidad oscura; la variante monocromática negra se usa cuando el color no está disponible y el fondo es claro.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000"/>
      </w:tblGrid>
      <w:tr>
        <w:tc>
          <w:tcPr>
            <w:tcW w:type="dxa" w:w="3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Fondo</w:t>
            </w:r>
          </w:p>
        </w:tc>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Variante recomendada</w:t>
            </w:r>
          </w:p>
        </w:tc>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Contraste WCAG</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Blanco (#FFFFFF)</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Logo en color (azul institucional)</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AA cumplido</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Gris muy claro (#F5F5F5)</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Logo en color</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AA cumplido</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Azul institucional (#1F3864)</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Logo monocromático blanco</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AAA cumplido</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Negro / muy oscuro</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Logo monocromático blanco</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AAA cumplido</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Foto ambiente (vehículos, agencia)</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Logo blanco con leve sombra (excepción aprobada)</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Verificar caso a caso</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5.7 Co-branding</w:t>
      </w:r>
    </w:p>
    <w:p>
      <w:pPr>
        <w:spacing w:after="140" w:line="290"/>
        <w:jc w:val="both"/>
      </w:pPr>
      <w:r>
        <w:rPr>
          <w:rFonts w:ascii="Calibri" w:cs="Calibri" w:eastAsia="Calibri" w:hAnsi="Calibri"/>
          <w:sz w:val="22"/>
          <w:szCs w:val="22"/>
        </w:rPr>
        <w:t xml:space="preserve">Cuando el logo de deRuedas debe convivir con el logo de un partner —en una pieza conjunta de venta, en un evento, en un material de prensa— se aplican criterios específicos. Los logos se separan con un divisor neutro (línea vertical fina o espacio sustancial) que sea al menos tan ancho como el área de respeto del logo más restrictivo. Los logos se equilibran ópticamente, lo que no significa misma altura literal sino misma presencia visual; logos con isotipos cuadrados pueden requerir altura mayor para parecer del mismo tamaño que un logo horizontal. El orden de los logos sigue convención del contexto: alfabético cuando no hay jerarquía, jerárquico cuando hay relación de partnership formal con orden establecido.</w:t>
      </w:r>
    </w:p>
    <w:p>
      <w:pPr>
        <w:pStyle w:val="Heading1"/>
        <w:spacing w:after="240" w:before="360"/>
      </w:pPr>
      <w:r>
        <w:rPr>
          <w:rFonts w:ascii="Calibri" w:cs="Calibri" w:eastAsia="Calibri" w:hAnsi="Calibri"/>
          <w:b/>
          <w:bCs/>
          <w:color w:val="1F3864"/>
          <w:sz w:val="36"/>
          <w:szCs w:val="36"/>
        </w:rPr>
        <w:t xml:space="preserve">6. Paleta cromática</w:t>
      </w:r>
    </w:p>
    <w:p>
      <w:pPr>
        <w:spacing w:after="140" w:line="290"/>
        <w:jc w:val="both"/>
      </w:pPr>
      <w:r>
        <w:rPr>
          <w:rFonts w:ascii="Calibri" w:cs="Calibri" w:eastAsia="Calibri" w:hAnsi="Calibri"/>
          <w:sz w:val="22"/>
          <w:szCs w:val="22"/>
        </w:rPr>
        <w:t xml:space="preserve">La paleta de deRuedas Gestión está construida sobre tres niveles: una paleta primaria con dos colores institucionales que portan la identidad, una paleta secundaria con cinco colores funcionales que aportan acentos y comunicación de estado, y una escala de neutros que da estructura a interfaces, tipografía y fondos. Los valores declarados son la fuente de verdad para todos los soportes; los tokens del design system técnico (variables CSS) deben mantener correspondencia uno a uno con esta paleta.</w:t>
      </w:r>
    </w:p>
    <w:p>
      <w:pPr>
        <w:pStyle w:val="Heading2"/>
        <w:spacing w:after="160" w:before="280"/>
      </w:pPr>
      <w:r>
        <w:rPr>
          <w:rFonts w:ascii="Calibri" w:cs="Calibri" w:eastAsia="Calibri" w:hAnsi="Calibri"/>
          <w:b/>
          <w:bCs/>
          <w:color w:val="2E75B6"/>
          <w:sz w:val="28"/>
          <w:szCs w:val="28"/>
        </w:rPr>
        <w:t xml:space="preserve">6.1 Paleta primaria</w:t>
      </w:r>
    </w:p>
    <w:p>
      <w:pPr>
        <w:spacing w:after="40" w:before="200"/>
      </w:pPr>
      <w:r>
        <w:rPr>
          <w:rFonts w:ascii="Calibri" w:cs="Calibri" w:eastAsia="Calibri" w:hAnsi="Calibri"/>
          <w:b/>
          <w:bCs/>
          <w:color w:val="1F3864"/>
          <w:sz w:val="26"/>
          <w:szCs w:val="26"/>
        </w:rPr>
        <w:t xml:space="preserve">Azul institucional</w:t>
      </w:r>
    </w:p>
    <w:p>
      <w:pPr>
        <w:shd w:fill="1F3864" w:color="auto" w:val="clear"/>
        <w:spacing w:after="0"/>
      </w:pPr>
      <w:r>
        <w:rPr>
          <w:rFonts w:ascii="Calibri" w:cs="Calibri" w:eastAsia="Calibri" w:hAnsi="Calibri"/>
          <w:sz w:val="22"/>
          <w:szCs w:val="22"/>
        </w:rPr>
        <w:t xml:space="preserve"> </w:t>
      </w:r>
    </w:p>
    <w:p>
      <w:pPr>
        <w:shd w:fill="1F3864" w:color="auto" w:val="clear"/>
        <w:spacing w:after="0"/>
      </w:pPr>
      <w:r>
        <w:rPr>
          <w:rFonts w:ascii="Calibri" w:cs="Calibri" w:eastAsia="Calibri" w:hAnsi="Calibri"/>
          <w:sz w:val="22"/>
          <w:szCs w:val="22"/>
        </w:rPr>
        <w:t xml:space="preserve"> </w:t>
      </w:r>
    </w:p>
    <w:p>
      <w:pPr>
        <w:shd w:fill="1F3864" w:color="auto" w:val="clear"/>
        <w:spacing w:after="0"/>
      </w:pPr>
      <w:r>
        <w:rPr>
          <w:rFonts w:ascii="Calibri" w:cs="Calibri" w:eastAsia="Calibri" w:hAnsi="Calibri"/>
          <w:sz w:val="22"/>
          <w:szCs w:val="22"/>
        </w:rPr>
        <w:t xml:space="preserve"> </w:t>
      </w:r>
    </w:p>
    <w:p>
      <w:pPr>
        <w:shd w:fill="1F3864" w:color="auto" w:val="clear"/>
        <w:spacing w:after="0"/>
      </w:pPr>
      <w:r>
        <w:rPr>
          <w:rFonts w:ascii="Calibri" w:cs="Calibri" w:eastAsia="Calibri" w:hAnsi="Calibri"/>
          <w:sz w:val="22"/>
          <w:szCs w:val="22"/>
        </w:rPr>
        <w:t xml:space="preserve"> </w:t>
      </w:r>
    </w:p>
    <w:p>
      <w:pPr>
        <w:shd w:fill="1F3864" w:color="auto" w:val="clear"/>
        <w:spacing w:after="0"/>
      </w:pPr>
      <w:r>
        <w:rPr>
          <w:rFonts w:ascii="Calibri" w:cs="Calibri" w:eastAsia="Calibri" w:hAnsi="Calibri"/>
          <w:sz w:val="22"/>
          <w:szCs w:val="22"/>
        </w:rPr>
        <w:t xml:space="preserve"> </w:t>
      </w:r>
    </w:p>
    <w:p>
      <w:pPr>
        <w:shd w:fill="1F3864" w:color="auto" w:val="clear"/>
        <w:spacing w:after="0"/>
      </w:pPr>
      <w:r>
        <w:rPr>
          <w:rFonts w:ascii="Calibri" w:cs="Calibri" w:eastAsia="Calibri" w:hAnsi="Calibri"/>
          <w:sz w:val="22"/>
          <w:szCs w:val="22"/>
        </w:rPr>
        <w:t xml:space="preserve"> </w:t>
      </w:r>
    </w:p>
    <w:p>
      <w:pPr>
        <w:spacing w:after="80"/>
      </w:pPr>
      <w:r>
        <w:t xml:space="preserve"/>
      </w:r>
    </w:p>
    <w:p>
      <w:pPr>
        <w:spacing w:after="30"/>
      </w:pPr>
      <w:r>
        <w:rPr>
          <w:rFonts w:ascii="Calibri" w:cs="Calibri" w:eastAsia="Calibri" w:hAnsi="Calibri"/>
          <w:b/>
          <w:bCs/>
          <w:color w:val="1F3864"/>
          <w:sz w:val="20"/>
          <w:szCs w:val="20"/>
        </w:rPr>
        <w:t xml:space="preserve">Rol: </w:t>
      </w:r>
      <w:r>
        <w:rPr>
          <w:rFonts w:ascii="Calibri" w:cs="Calibri" w:eastAsia="Calibri" w:hAnsi="Calibri"/>
          <w:sz w:val="20"/>
          <w:szCs w:val="20"/>
        </w:rPr>
        <w:t xml:space="preserve">Color principal de la marca. Headers, logos, títulos, llamados a acción primarios.</w:t>
      </w:r>
    </w:p>
    <w:p>
      <w:pPr>
        <w:spacing w:after="30"/>
      </w:pPr>
      <w:r>
        <w:rPr>
          <w:rFonts w:ascii="Calibri" w:cs="Calibri" w:eastAsia="Calibri" w:hAnsi="Calibri"/>
          <w:b/>
          <w:bCs/>
          <w:color w:val="1F3864"/>
          <w:sz w:val="19"/>
          <w:szCs w:val="19"/>
        </w:rPr>
        <w:t xml:space="preserve">HEX: </w:t>
      </w:r>
      <w:r>
        <w:rPr>
          <w:rFonts w:ascii="Consolas" w:cs="Consolas" w:eastAsia="Consolas" w:hAnsi="Consolas"/>
          <w:sz w:val="19"/>
          <w:szCs w:val="19"/>
        </w:rPr>
        <w:t xml:space="preserve">#1F3864</w:t>
      </w:r>
      <w:r>
        <w:rPr>
          <w:rFonts w:ascii="Calibri" w:cs="Calibri" w:eastAsia="Calibri" w:hAnsi="Calibri"/>
          <w:b/>
          <w:bCs/>
          <w:color w:val="1F3864"/>
          <w:sz w:val="19"/>
          <w:szCs w:val="19"/>
        </w:rPr>
        <w:t xml:space="preserve">    RGB: </w:t>
      </w:r>
      <w:r>
        <w:rPr>
          <w:rFonts w:ascii="Consolas" w:cs="Consolas" w:eastAsia="Consolas" w:hAnsi="Consolas"/>
          <w:sz w:val="19"/>
          <w:szCs w:val="19"/>
        </w:rPr>
        <w:t xml:space="preserve">31, 56, 100</w:t>
      </w:r>
      <w:r>
        <w:rPr>
          <w:rFonts w:ascii="Calibri" w:cs="Calibri" w:eastAsia="Calibri" w:hAnsi="Calibri"/>
          <w:b/>
          <w:bCs/>
          <w:color w:val="1F3864"/>
          <w:sz w:val="19"/>
          <w:szCs w:val="19"/>
        </w:rPr>
        <w:t xml:space="preserve">    CMYK: </w:t>
      </w:r>
      <w:r>
        <w:rPr>
          <w:rFonts w:ascii="Consolas" w:cs="Consolas" w:eastAsia="Consolas" w:hAnsi="Consolas"/>
          <w:sz w:val="19"/>
          <w:szCs w:val="19"/>
        </w:rPr>
        <w:t xml:space="preserve">100, 88, 35, 33</w:t>
      </w:r>
    </w:p>
    <w:p>
      <w:pPr>
        <w:spacing w:after="40" w:before="200"/>
      </w:pPr>
      <w:r>
        <w:rPr>
          <w:rFonts w:ascii="Calibri" w:cs="Calibri" w:eastAsia="Calibri" w:hAnsi="Calibri"/>
          <w:b/>
          <w:bCs/>
          <w:color w:val="1F3864"/>
          <w:sz w:val="26"/>
          <w:szCs w:val="26"/>
        </w:rPr>
        <w:t xml:space="preserve">Azul intermedio</w:t>
      </w:r>
    </w:p>
    <w:p>
      <w:pPr>
        <w:shd w:fill="2E75B6" w:color="auto" w:val="clear"/>
        <w:spacing w:after="0"/>
      </w:pPr>
      <w:r>
        <w:rPr>
          <w:rFonts w:ascii="Calibri" w:cs="Calibri" w:eastAsia="Calibri" w:hAnsi="Calibri"/>
          <w:sz w:val="22"/>
          <w:szCs w:val="22"/>
        </w:rPr>
        <w:t xml:space="preserve"> </w:t>
      </w:r>
    </w:p>
    <w:p>
      <w:pPr>
        <w:shd w:fill="2E75B6" w:color="auto" w:val="clear"/>
        <w:spacing w:after="0"/>
      </w:pPr>
      <w:r>
        <w:rPr>
          <w:rFonts w:ascii="Calibri" w:cs="Calibri" w:eastAsia="Calibri" w:hAnsi="Calibri"/>
          <w:sz w:val="22"/>
          <w:szCs w:val="22"/>
        </w:rPr>
        <w:t xml:space="preserve"> </w:t>
      </w:r>
    </w:p>
    <w:p>
      <w:pPr>
        <w:shd w:fill="2E75B6" w:color="auto" w:val="clear"/>
        <w:spacing w:after="0"/>
      </w:pPr>
      <w:r>
        <w:rPr>
          <w:rFonts w:ascii="Calibri" w:cs="Calibri" w:eastAsia="Calibri" w:hAnsi="Calibri"/>
          <w:sz w:val="22"/>
          <w:szCs w:val="22"/>
        </w:rPr>
        <w:t xml:space="preserve"> </w:t>
      </w:r>
    </w:p>
    <w:p>
      <w:pPr>
        <w:shd w:fill="2E75B6" w:color="auto" w:val="clear"/>
        <w:spacing w:after="0"/>
      </w:pPr>
      <w:r>
        <w:rPr>
          <w:rFonts w:ascii="Calibri" w:cs="Calibri" w:eastAsia="Calibri" w:hAnsi="Calibri"/>
          <w:sz w:val="22"/>
          <w:szCs w:val="22"/>
        </w:rPr>
        <w:t xml:space="preserve"> </w:t>
      </w:r>
    </w:p>
    <w:p>
      <w:pPr>
        <w:shd w:fill="2E75B6" w:color="auto" w:val="clear"/>
        <w:spacing w:after="0"/>
      </w:pPr>
      <w:r>
        <w:rPr>
          <w:rFonts w:ascii="Calibri" w:cs="Calibri" w:eastAsia="Calibri" w:hAnsi="Calibri"/>
          <w:sz w:val="22"/>
          <w:szCs w:val="22"/>
        </w:rPr>
        <w:t xml:space="preserve"> </w:t>
      </w:r>
    </w:p>
    <w:p>
      <w:pPr>
        <w:shd w:fill="2E75B6" w:color="auto" w:val="clear"/>
        <w:spacing w:after="0"/>
      </w:pPr>
      <w:r>
        <w:rPr>
          <w:rFonts w:ascii="Calibri" w:cs="Calibri" w:eastAsia="Calibri" w:hAnsi="Calibri"/>
          <w:sz w:val="22"/>
          <w:szCs w:val="22"/>
        </w:rPr>
        <w:t xml:space="preserve"> </w:t>
      </w:r>
    </w:p>
    <w:p>
      <w:pPr>
        <w:spacing w:after="80"/>
      </w:pPr>
      <w:r>
        <w:t xml:space="preserve"/>
      </w:r>
    </w:p>
    <w:p>
      <w:pPr>
        <w:spacing w:after="30"/>
      </w:pPr>
      <w:r>
        <w:rPr>
          <w:rFonts w:ascii="Calibri" w:cs="Calibri" w:eastAsia="Calibri" w:hAnsi="Calibri"/>
          <w:b/>
          <w:bCs/>
          <w:color w:val="1F3864"/>
          <w:sz w:val="20"/>
          <w:szCs w:val="20"/>
        </w:rPr>
        <w:t xml:space="preserve">Rol: </w:t>
      </w:r>
      <w:r>
        <w:rPr>
          <w:rFonts w:ascii="Calibri" w:cs="Calibri" w:eastAsia="Calibri" w:hAnsi="Calibri"/>
          <w:sz w:val="20"/>
          <w:szCs w:val="20"/>
        </w:rPr>
        <w:t xml:space="preserve">Color de acento. Subtítulos, links, hover sobre azul institucional, gráficos.</w:t>
      </w:r>
    </w:p>
    <w:p>
      <w:pPr>
        <w:spacing w:after="30"/>
      </w:pPr>
      <w:r>
        <w:rPr>
          <w:rFonts w:ascii="Calibri" w:cs="Calibri" w:eastAsia="Calibri" w:hAnsi="Calibri"/>
          <w:b/>
          <w:bCs/>
          <w:color w:val="1F3864"/>
          <w:sz w:val="19"/>
          <w:szCs w:val="19"/>
        </w:rPr>
        <w:t xml:space="preserve">HEX: </w:t>
      </w:r>
      <w:r>
        <w:rPr>
          <w:rFonts w:ascii="Consolas" w:cs="Consolas" w:eastAsia="Consolas" w:hAnsi="Consolas"/>
          <w:sz w:val="19"/>
          <w:szCs w:val="19"/>
        </w:rPr>
        <w:t xml:space="preserve">#2E75B6</w:t>
      </w:r>
      <w:r>
        <w:rPr>
          <w:rFonts w:ascii="Calibri" w:cs="Calibri" w:eastAsia="Calibri" w:hAnsi="Calibri"/>
          <w:b/>
          <w:bCs/>
          <w:color w:val="1F3864"/>
          <w:sz w:val="19"/>
          <w:szCs w:val="19"/>
        </w:rPr>
        <w:t xml:space="preserve">    RGB: </w:t>
      </w:r>
      <w:r>
        <w:rPr>
          <w:rFonts w:ascii="Consolas" w:cs="Consolas" w:eastAsia="Consolas" w:hAnsi="Consolas"/>
          <w:sz w:val="19"/>
          <w:szCs w:val="19"/>
        </w:rPr>
        <w:t xml:space="preserve">46, 117, 182</w:t>
      </w:r>
      <w:r>
        <w:rPr>
          <w:rFonts w:ascii="Calibri" w:cs="Calibri" w:eastAsia="Calibri" w:hAnsi="Calibri"/>
          <w:b/>
          <w:bCs/>
          <w:color w:val="1F3864"/>
          <w:sz w:val="19"/>
          <w:szCs w:val="19"/>
        </w:rPr>
        <w:t xml:space="preserve">    CMYK: </w:t>
      </w:r>
      <w:r>
        <w:rPr>
          <w:rFonts w:ascii="Consolas" w:cs="Consolas" w:eastAsia="Consolas" w:hAnsi="Consolas"/>
          <w:sz w:val="19"/>
          <w:szCs w:val="19"/>
        </w:rPr>
        <w:t xml:space="preserve">85, 50, 0, 0</w:t>
      </w:r>
    </w:p>
    <w:p>
      <w:pPr>
        <w:pStyle w:val="Heading2"/>
        <w:spacing w:after="160" w:before="280"/>
      </w:pPr>
      <w:r>
        <w:rPr>
          <w:rFonts w:ascii="Calibri" w:cs="Calibri" w:eastAsia="Calibri" w:hAnsi="Calibri"/>
          <w:b/>
          <w:bCs/>
          <w:color w:val="2E75B6"/>
          <w:sz w:val="28"/>
          <w:szCs w:val="28"/>
        </w:rPr>
        <w:t xml:space="preserve">6.2 Paleta secundaria</w:t>
      </w:r>
    </w:p>
    <w:p>
      <w:pPr>
        <w:spacing w:after="140" w:line="290"/>
        <w:jc w:val="both"/>
      </w:pPr>
      <w:r>
        <w:rPr>
          <w:rFonts w:ascii="Calibri" w:cs="Calibri" w:eastAsia="Calibri" w:hAnsi="Calibri"/>
          <w:sz w:val="22"/>
          <w:szCs w:val="22"/>
        </w:rPr>
        <w:t xml:space="preserve">Los cinco colores secundarios cumplen funciones específicas en la comunicación de estado, énfasis y categoría. Su uso está acotado: no son colores decorativos para usar libremente.</w:t>
      </w:r>
    </w:p>
    <w:p>
      <w:pPr>
        <w:spacing w:after="40" w:before="200"/>
      </w:pPr>
      <w:r>
        <w:rPr>
          <w:rFonts w:ascii="Calibri" w:cs="Calibri" w:eastAsia="Calibri" w:hAnsi="Calibri"/>
          <w:b/>
          <w:bCs/>
          <w:color w:val="1F3864"/>
          <w:sz w:val="26"/>
          <w:szCs w:val="26"/>
        </w:rPr>
        <w:t xml:space="preserve">Verde éxito</w:t>
      </w:r>
    </w:p>
    <w:p>
      <w:pPr>
        <w:shd w:fill="375623" w:color="auto" w:val="clear"/>
        <w:spacing w:after="0"/>
      </w:pPr>
      <w:r>
        <w:rPr>
          <w:rFonts w:ascii="Calibri" w:cs="Calibri" w:eastAsia="Calibri" w:hAnsi="Calibri"/>
          <w:sz w:val="22"/>
          <w:szCs w:val="22"/>
        </w:rPr>
        <w:t xml:space="preserve"> </w:t>
      </w:r>
    </w:p>
    <w:p>
      <w:pPr>
        <w:shd w:fill="375623" w:color="auto" w:val="clear"/>
        <w:spacing w:after="0"/>
      </w:pPr>
      <w:r>
        <w:rPr>
          <w:rFonts w:ascii="Calibri" w:cs="Calibri" w:eastAsia="Calibri" w:hAnsi="Calibri"/>
          <w:sz w:val="22"/>
          <w:szCs w:val="22"/>
        </w:rPr>
        <w:t xml:space="preserve"> </w:t>
      </w:r>
    </w:p>
    <w:p>
      <w:pPr>
        <w:shd w:fill="375623" w:color="auto" w:val="clear"/>
        <w:spacing w:after="0"/>
      </w:pPr>
      <w:r>
        <w:rPr>
          <w:rFonts w:ascii="Calibri" w:cs="Calibri" w:eastAsia="Calibri" w:hAnsi="Calibri"/>
          <w:sz w:val="22"/>
          <w:szCs w:val="22"/>
        </w:rPr>
        <w:t xml:space="preserve"> </w:t>
      </w:r>
    </w:p>
    <w:p>
      <w:pPr>
        <w:shd w:fill="375623" w:color="auto" w:val="clear"/>
        <w:spacing w:after="0"/>
      </w:pPr>
      <w:r>
        <w:rPr>
          <w:rFonts w:ascii="Calibri" w:cs="Calibri" w:eastAsia="Calibri" w:hAnsi="Calibri"/>
          <w:sz w:val="22"/>
          <w:szCs w:val="22"/>
        </w:rPr>
        <w:t xml:space="preserve"> </w:t>
      </w:r>
    </w:p>
    <w:p>
      <w:pPr>
        <w:shd w:fill="375623" w:color="auto" w:val="clear"/>
        <w:spacing w:after="0"/>
      </w:pPr>
      <w:r>
        <w:rPr>
          <w:rFonts w:ascii="Calibri" w:cs="Calibri" w:eastAsia="Calibri" w:hAnsi="Calibri"/>
          <w:sz w:val="22"/>
          <w:szCs w:val="22"/>
        </w:rPr>
        <w:t xml:space="preserve"> </w:t>
      </w:r>
    </w:p>
    <w:p>
      <w:pPr>
        <w:shd w:fill="375623" w:color="auto" w:val="clear"/>
        <w:spacing w:after="0"/>
      </w:pPr>
      <w:r>
        <w:rPr>
          <w:rFonts w:ascii="Calibri" w:cs="Calibri" w:eastAsia="Calibri" w:hAnsi="Calibri"/>
          <w:sz w:val="22"/>
          <w:szCs w:val="22"/>
        </w:rPr>
        <w:t xml:space="preserve"> </w:t>
      </w:r>
    </w:p>
    <w:p>
      <w:pPr>
        <w:spacing w:after="80"/>
      </w:pPr>
      <w:r>
        <w:t xml:space="preserve"/>
      </w:r>
    </w:p>
    <w:p>
      <w:pPr>
        <w:spacing w:after="30"/>
      </w:pPr>
      <w:r>
        <w:rPr>
          <w:rFonts w:ascii="Calibri" w:cs="Calibri" w:eastAsia="Calibri" w:hAnsi="Calibri"/>
          <w:b/>
          <w:bCs/>
          <w:color w:val="1F3864"/>
          <w:sz w:val="20"/>
          <w:szCs w:val="20"/>
        </w:rPr>
        <w:t xml:space="preserve">Rol: </w:t>
      </w:r>
      <w:r>
        <w:rPr>
          <w:rFonts w:ascii="Calibri" w:cs="Calibri" w:eastAsia="Calibri" w:hAnsi="Calibri"/>
          <w:sz w:val="20"/>
          <w:szCs w:val="20"/>
        </w:rPr>
        <w:t xml:space="preserve">Confirmaciones, mensajes de éxito, indicadores de operación cerrada favorablemente, métricas positivas.</w:t>
      </w:r>
    </w:p>
    <w:p>
      <w:pPr>
        <w:spacing w:after="30"/>
      </w:pPr>
      <w:r>
        <w:rPr>
          <w:rFonts w:ascii="Calibri" w:cs="Calibri" w:eastAsia="Calibri" w:hAnsi="Calibri"/>
          <w:b/>
          <w:bCs/>
          <w:color w:val="1F3864"/>
          <w:sz w:val="19"/>
          <w:szCs w:val="19"/>
        </w:rPr>
        <w:t xml:space="preserve">HEX: </w:t>
      </w:r>
      <w:r>
        <w:rPr>
          <w:rFonts w:ascii="Consolas" w:cs="Consolas" w:eastAsia="Consolas" w:hAnsi="Consolas"/>
          <w:sz w:val="19"/>
          <w:szCs w:val="19"/>
        </w:rPr>
        <w:t xml:space="preserve">#375623</w:t>
      </w:r>
      <w:r>
        <w:rPr>
          <w:rFonts w:ascii="Calibri" w:cs="Calibri" w:eastAsia="Calibri" w:hAnsi="Calibri"/>
          <w:b/>
          <w:bCs/>
          <w:color w:val="1F3864"/>
          <w:sz w:val="19"/>
          <w:szCs w:val="19"/>
        </w:rPr>
        <w:t xml:space="preserve">    RGB: </w:t>
      </w:r>
      <w:r>
        <w:rPr>
          <w:rFonts w:ascii="Consolas" w:cs="Consolas" w:eastAsia="Consolas" w:hAnsi="Consolas"/>
          <w:sz w:val="19"/>
          <w:szCs w:val="19"/>
        </w:rPr>
        <w:t xml:space="preserve">55, 86, 35</w:t>
      </w:r>
      <w:r>
        <w:rPr>
          <w:rFonts w:ascii="Calibri" w:cs="Calibri" w:eastAsia="Calibri" w:hAnsi="Calibri"/>
          <w:b/>
          <w:bCs/>
          <w:color w:val="1F3864"/>
          <w:sz w:val="19"/>
          <w:szCs w:val="19"/>
        </w:rPr>
        <w:t xml:space="preserve">    CMYK: </w:t>
      </w:r>
      <w:r>
        <w:rPr>
          <w:rFonts w:ascii="Consolas" w:cs="Consolas" w:eastAsia="Consolas" w:hAnsi="Consolas"/>
          <w:sz w:val="19"/>
          <w:szCs w:val="19"/>
        </w:rPr>
        <w:t xml:space="preserve">70, 30, 100, 30</w:t>
      </w:r>
    </w:p>
    <w:p>
      <w:pPr>
        <w:spacing w:after="40" w:before="200"/>
      </w:pPr>
      <w:r>
        <w:rPr>
          <w:rFonts w:ascii="Calibri" w:cs="Calibri" w:eastAsia="Calibri" w:hAnsi="Calibri"/>
          <w:b/>
          <w:bCs/>
          <w:color w:val="1F3864"/>
          <w:sz w:val="26"/>
          <w:szCs w:val="26"/>
        </w:rPr>
        <w:t xml:space="preserve">Amarillo atención</w:t>
      </w:r>
    </w:p>
    <w:p>
      <w:pPr>
        <w:shd w:fill="9C5700" w:color="auto" w:val="clear"/>
        <w:spacing w:after="0"/>
      </w:pPr>
      <w:r>
        <w:rPr>
          <w:rFonts w:ascii="Calibri" w:cs="Calibri" w:eastAsia="Calibri" w:hAnsi="Calibri"/>
          <w:sz w:val="22"/>
          <w:szCs w:val="22"/>
        </w:rPr>
        <w:t xml:space="preserve"> </w:t>
      </w:r>
    </w:p>
    <w:p>
      <w:pPr>
        <w:shd w:fill="9C5700" w:color="auto" w:val="clear"/>
        <w:spacing w:after="0"/>
      </w:pPr>
      <w:r>
        <w:rPr>
          <w:rFonts w:ascii="Calibri" w:cs="Calibri" w:eastAsia="Calibri" w:hAnsi="Calibri"/>
          <w:sz w:val="22"/>
          <w:szCs w:val="22"/>
        </w:rPr>
        <w:t xml:space="preserve"> </w:t>
      </w:r>
    </w:p>
    <w:p>
      <w:pPr>
        <w:shd w:fill="9C5700" w:color="auto" w:val="clear"/>
        <w:spacing w:after="0"/>
      </w:pPr>
      <w:r>
        <w:rPr>
          <w:rFonts w:ascii="Calibri" w:cs="Calibri" w:eastAsia="Calibri" w:hAnsi="Calibri"/>
          <w:sz w:val="22"/>
          <w:szCs w:val="22"/>
        </w:rPr>
        <w:t xml:space="preserve"> </w:t>
      </w:r>
    </w:p>
    <w:p>
      <w:pPr>
        <w:shd w:fill="9C5700" w:color="auto" w:val="clear"/>
        <w:spacing w:after="0"/>
      </w:pPr>
      <w:r>
        <w:rPr>
          <w:rFonts w:ascii="Calibri" w:cs="Calibri" w:eastAsia="Calibri" w:hAnsi="Calibri"/>
          <w:sz w:val="22"/>
          <w:szCs w:val="22"/>
        </w:rPr>
        <w:t xml:space="preserve"> </w:t>
      </w:r>
    </w:p>
    <w:p>
      <w:pPr>
        <w:shd w:fill="9C5700" w:color="auto" w:val="clear"/>
        <w:spacing w:after="0"/>
      </w:pPr>
      <w:r>
        <w:rPr>
          <w:rFonts w:ascii="Calibri" w:cs="Calibri" w:eastAsia="Calibri" w:hAnsi="Calibri"/>
          <w:sz w:val="22"/>
          <w:szCs w:val="22"/>
        </w:rPr>
        <w:t xml:space="preserve"> </w:t>
      </w:r>
    </w:p>
    <w:p>
      <w:pPr>
        <w:shd w:fill="9C5700" w:color="auto" w:val="clear"/>
        <w:spacing w:after="0"/>
      </w:pPr>
      <w:r>
        <w:rPr>
          <w:rFonts w:ascii="Calibri" w:cs="Calibri" w:eastAsia="Calibri" w:hAnsi="Calibri"/>
          <w:sz w:val="22"/>
          <w:szCs w:val="22"/>
        </w:rPr>
        <w:t xml:space="preserve"> </w:t>
      </w:r>
    </w:p>
    <w:p>
      <w:pPr>
        <w:spacing w:after="80"/>
      </w:pPr>
      <w:r>
        <w:t xml:space="preserve"/>
      </w:r>
    </w:p>
    <w:p>
      <w:pPr>
        <w:spacing w:after="30"/>
      </w:pPr>
      <w:r>
        <w:rPr>
          <w:rFonts w:ascii="Calibri" w:cs="Calibri" w:eastAsia="Calibri" w:hAnsi="Calibri"/>
          <w:b/>
          <w:bCs/>
          <w:color w:val="1F3864"/>
          <w:sz w:val="20"/>
          <w:szCs w:val="20"/>
        </w:rPr>
        <w:t xml:space="preserve">Rol: </w:t>
      </w:r>
      <w:r>
        <w:rPr>
          <w:rFonts w:ascii="Calibri" w:cs="Calibri" w:eastAsia="Calibri" w:hAnsi="Calibri"/>
          <w:sz w:val="20"/>
          <w:szCs w:val="20"/>
        </w:rPr>
        <w:t xml:space="preserve">Advertencias, situaciones que requieren atención del usuario sin ser bloqueantes, callouts informativos importantes.</w:t>
      </w:r>
    </w:p>
    <w:p>
      <w:pPr>
        <w:spacing w:after="30"/>
      </w:pPr>
      <w:r>
        <w:rPr>
          <w:rFonts w:ascii="Calibri" w:cs="Calibri" w:eastAsia="Calibri" w:hAnsi="Calibri"/>
          <w:b/>
          <w:bCs/>
          <w:color w:val="1F3864"/>
          <w:sz w:val="19"/>
          <w:szCs w:val="19"/>
        </w:rPr>
        <w:t xml:space="preserve">HEX: </w:t>
      </w:r>
      <w:r>
        <w:rPr>
          <w:rFonts w:ascii="Consolas" w:cs="Consolas" w:eastAsia="Consolas" w:hAnsi="Consolas"/>
          <w:sz w:val="19"/>
          <w:szCs w:val="19"/>
        </w:rPr>
        <w:t xml:space="preserve">#9C5700</w:t>
      </w:r>
      <w:r>
        <w:rPr>
          <w:rFonts w:ascii="Calibri" w:cs="Calibri" w:eastAsia="Calibri" w:hAnsi="Calibri"/>
          <w:b/>
          <w:bCs/>
          <w:color w:val="1F3864"/>
          <w:sz w:val="19"/>
          <w:szCs w:val="19"/>
        </w:rPr>
        <w:t xml:space="preserve">    RGB: </w:t>
      </w:r>
      <w:r>
        <w:rPr>
          <w:rFonts w:ascii="Consolas" w:cs="Consolas" w:eastAsia="Consolas" w:hAnsi="Consolas"/>
          <w:sz w:val="19"/>
          <w:szCs w:val="19"/>
        </w:rPr>
        <w:t xml:space="preserve">156, 87, 0</w:t>
      </w:r>
      <w:r>
        <w:rPr>
          <w:rFonts w:ascii="Calibri" w:cs="Calibri" w:eastAsia="Calibri" w:hAnsi="Calibri"/>
          <w:b/>
          <w:bCs/>
          <w:color w:val="1F3864"/>
          <w:sz w:val="19"/>
          <w:szCs w:val="19"/>
        </w:rPr>
        <w:t xml:space="preserve">    CMYK: </w:t>
      </w:r>
      <w:r>
        <w:rPr>
          <w:rFonts w:ascii="Consolas" w:cs="Consolas" w:eastAsia="Consolas" w:hAnsi="Consolas"/>
          <w:sz w:val="19"/>
          <w:szCs w:val="19"/>
        </w:rPr>
        <w:t xml:space="preserve">20, 60, 100, 10</w:t>
      </w:r>
    </w:p>
    <w:p>
      <w:pPr>
        <w:spacing w:after="40" w:before="200"/>
      </w:pPr>
      <w:r>
        <w:rPr>
          <w:rFonts w:ascii="Calibri" w:cs="Calibri" w:eastAsia="Calibri" w:hAnsi="Calibri"/>
          <w:b/>
          <w:bCs/>
          <w:color w:val="1F3864"/>
          <w:sz w:val="26"/>
          <w:szCs w:val="26"/>
        </w:rPr>
        <w:t xml:space="preserve">Rojo crítico</w:t>
      </w:r>
    </w:p>
    <w:p>
      <w:pPr>
        <w:shd w:fill="974706" w:color="auto" w:val="clear"/>
        <w:spacing w:after="0"/>
      </w:pPr>
      <w:r>
        <w:rPr>
          <w:rFonts w:ascii="Calibri" w:cs="Calibri" w:eastAsia="Calibri" w:hAnsi="Calibri"/>
          <w:sz w:val="22"/>
          <w:szCs w:val="22"/>
        </w:rPr>
        <w:t xml:space="preserve"> </w:t>
      </w:r>
    </w:p>
    <w:p>
      <w:pPr>
        <w:shd w:fill="974706" w:color="auto" w:val="clear"/>
        <w:spacing w:after="0"/>
      </w:pPr>
      <w:r>
        <w:rPr>
          <w:rFonts w:ascii="Calibri" w:cs="Calibri" w:eastAsia="Calibri" w:hAnsi="Calibri"/>
          <w:sz w:val="22"/>
          <w:szCs w:val="22"/>
        </w:rPr>
        <w:t xml:space="preserve"> </w:t>
      </w:r>
    </w:p>
    <w:p>
      <w:pPr>
        <w:shd w:fill="974706" w:color="auto" w:val="clear"/>
        <w:spacing w:after="0"/>
      </w:pPr>
      <w:r>
        <w:rPr>
          <w:rFonts w:ascii="Calibri" w:cs="Calibri" w:eastAsia="Calibri" w:hAnsi="Calibri"/>
          <w:sz w:val="22"/>
          <w:szCs w:val="22"/>
        </w:rPr>
        <w:t xml:space="preserve"> </w:t>
      </w:r>
    </w:p>
    <w:p>
      <w:pPr>
        <w:shd w:fill="974706" w:color="auto" w:val="clear"/>
        <w:spacing w:after="0"/>
      </w:pPr>
      <w:r>
        <w:rPr>
          <w:rFonts w:ascii="Calibri" w:cs="Calibri" w:eastAsia="Calibri" w:hAnsi="Calibri"/>
          <w:sz w:val="22"/>
          <w:szCs w:val="22"/>
        </w:rPr>
        <w:t xml:space="preserve"> </w:t>
      </w:r>
    </w:p>
    <w:p>
      <w:pPr>
        <w:shd w:fill="974706" w:color="auto" w:val="clear"/>
        <w:spacing w:after="0"/>
      </w:pPr>
      <w:r>
        <w:rPr>
          <w:rFonts w:ascii="Calibri" w:cs="Calibri" w:eastAsia="Calibri" w:hAnsi="Calibri"/>
          <w:sz w:val="22"/>
          <w:szCs w:val="22"/>
        </w:rPr>
        <w:t xml:space="preserve"> </w:t>
      </w:r>
    </w:p>
    <w:p>
      <w:pPr>
        <w:shd w:fill="974706" w:color="auto" w:val="clear"/>
        <w:spacing w:after="0"/>
      </w:pPr>
      <w:r>
        <w:rPr>
          <w:rFonts w:ascii="Calibri" w:cs="Calibri" w:eastAsia="Calibri" w:hAnsi="Calibri"/>
          <w:sz w:val="22"/>
          <w:szCs w:val="22"/>
        </w:rPr>
        <w:t xml:space="preserve"> </w:t>
      </w:r>
    </w:p>
    <w:p>
      <w:pPr>
        <w:spacing w:after="80"/>
      </w:pPr>
      <w:r>
        <w:t xml:space="preserve"/>
      </w:r>
    </w:p>
    <w:p>
      <w:pPr>
        <w:spacing w:after="30"/>
      </w:pPr>
      <w:r>
        <w:rPr>
          <w:rFonts w:ascii="Calibri" w:cs="Calibri" w:eastAsia="Calibri" w:hAnsi="Calibri"/>
          <w:b/>
          <w:bCs/>
          <w:color w:val="1F3864"/>
          <w:sz w:val="20"/>
          <w:szCs w:val="20"/>
        </w:rPr>
        <w:t xml:space="preserve">Rol: </w:t>
      </w:r>
      <w:r>
        <w:rPr>
          <w:rFonts w:ascii="Calibri" w:cs="Calibri" w:eastAsia="Calibri" w:hAnsi="Calibri"/>
          <w:sz w:val="20"/>
          <w:szCs w:val="20"/>
        </w:rPr>
        <w:t xml:space="preserve">Errores, prohibiciones, mensajes de fallas, acciones destructivas que requieren confirmación, indicadores de problema.</w:t>
      </w:r>
    </w:p>
    <w:p>
      <w:pPr>
        <w:spacing w:after="30"/>
      </w:pPr>
      <w:r>
        <w:rPr>
          <w:rFonts w:ascii="Calibri" w:cs="Calibri" w:eastAsia="Calibri" w:hAnsi="Calibri"/>
          <w:b/>
          <w:bCs/>
          <w:color w:val="1F3864"/>
          <w:sz w:val="19"/>
          <w:szCs w:val="19"/>
        </w:rPr>
        <w:t xml:space="preserve">HEX: </w:t>
      </w:r>
      <w:r>
        <w:rPr>
          <w:rFonts w:ascii="Consolas" w:cs="Consolas" w:eastAsia="Consolas" w:hAnsi="Consolas"/>
          <w:sz w:val="19"/>
          <w:szCs w:val="19"/>
        </w:rPr>
        <w:t xml:space="preserve">#974706</w:t>
      </w:r>
      <w:r>
        <w:rPr>
          <w:rFonts w:ascii="Calibri" w:cs="Calibri" w:eastAsia="Calibri" w:hAnsi="Calibri"/>
          <w:b/>
          <w:bCs/>
          <w:color w:val="1F3864"/>
          <w:sz w:val="19"/>
          <w:szCs w:val="19"/>
        </w:rPr>
        <w:t xml:space="preserve">    RGB: </w:t>
      </w:r>
      <w:r>
        <w:rPr>
          <w:rFonts w:ascii="Consolas" w:cs="Consolas" w:eastAsia="Consolas" w:hAnsi="Consolas"/>
          <w:sz w:val="19"/>
          <w:szCs w:val="19"/>
        </w:rPr>
        <w:t xml:space="preserve">151, 71, 6</w:t>
      </w:r>
      <w:r>
        <w:rPr>
          <w:rFonts w:ascii="Calibri" w:cs="Calibri" w:eastAsia="Calibri" w:hAnsi="Calibri"/>
          <w:b/>
          <w:bCs/>
          <w:color w:val="1F3864"/>
          <w:sz w:val="19"/>
          <w:szCs w:val="19"/>
        </w:rPr>
        <w:t xml:space="preserve">    CMYK: </w:t>
      </w:r>
      <w:r>
        <w:rPr>
          <w:rFonts w:ascii="Consolas" w:cs="Consolas" w:eastAsia="Consolas" w:hAnsi="Consolas"/>
          <w:sz w:val="19"/>
          <w:szCs w:val="19"/>
        </w:rPr>
        <w:t xml:space="preserve">20, 70, 100, 30</w:t>
      </w:r>
    </w:p>
    <w:p>
      <w:pPr>
        <w:spacing w:after="40" w:before="200"/>
      </w:pPr>
      <w:r>
        <w:rPr>
          <w:rFonts w:ascii="Calibri" w:cs="Calibri" w:eastAsia="Calibri" w:hAnsi="Calibri"/>
          <w:b/>
          <w:bCs/>
          <w:color w:val="1F3864"/>
          <w:sz w:val="26"/>
          <w:szCs w:val="26"/>
        </w:rPr>
        <w:t xml:space="preserve">Violeta meta</w:t>
      </w:r>
    </w:p>
    <w:p>
      <w:pPr>
        <w:shd w:fill="5B2D8C" w:color="auto" w:val="clear"/>
        <w:spacing w:after="0"/>
      </w:pPr>
      <w:r>
        <w:rPr>
          <w:rFonts w:ascii="Calibri" w:cs="Calibri" w:eastAsia="Calibri" w:hAnsi="Calibri"/>
          <w:sz w:val="22"/>
          <w:szCs w:val="22"/>
        </w:rPr>
        <w:t xml:space="preserve"> </w:t>
      </w:r>
    </w:p>
    <w:p>
      <w:pPr>
        <w:shd w:fill="5B2D8C" w:color="auto" w:val="clear"/>
        <w:spacing w:after="0"/>
      </w:pPr>
      <w:r>
        <w:rPr>
          <w:rFonts w:ascii="Calibri" w:cs="Calibri" w:eastAsia="Calibri" w:hAnsi="Calibri"/>
          <w:sz w:val="22"/>
          <w:szCs w:val="22"/>
        </w:rPr>
        <w:t xml:space="preserve"> </w:t>
      </w:r>
    </w:p>
    <w:p>
      <w:pPr>
        <w:shd w:fill="5B2D8C" w:color="auto" w:val="clear"/>
        <w:spacing w:after="0"/>
      </w:pPr>
      <w:r>
        <w:rPr>
          <w:rFonts w:ascii="Calibri" w:cs="Calibri" w:eastAsia="Calibri" w:hAnsi="Calibri"/>
          <w:sz w:val="22"/>
          <w:szCs w:val="22"/>
        </w:rPr>
        <w:t xml:space="preserve"> </w:t>
      </w:r>
    </w:p>
    <w:p>
      <w:pPr>
        <w:shd w:fill="5B2D8C" w:color="auto" w:val="clear"/>
        <w:spacing w:after="0"/>
      </w:pPr>
      <w:r>
        <w:rPr>
          <w:rFonts w:ascii="Calibri" w:cs="Calibri" w:eastAsia="Calibri" w:hAnsi="Calibri"/>
          <w:sz w:val="22"/>
          <w:szCs w:val="22"/>
        </w:rPr>
        <w:t xml:space="preserve"> </w:t>
      </w:r>
    </w:p>
    <w:p>
      <w:pPr>
        <w:shd w:fill="5B2D8C" w:color="auto" w:val="clear"/>
        <w:spacing w:after="0"/>
      </w:pPr>
      <w:r>
        <w:rPr>
          <w:rFonts w:ascii="Calibri" w:cs="Calibri" w:eastAsia="Calibri" w:hAnsi="Calibri"/>
          <w:sz w:val="22"/>
          <w:szCs w:val="22"/>
        </w:rPr>
        <w:t xml:space="preserve"> </w:t>
      </w:r>
    </w:p>
    <w:p>
      <w:pPr>
        <w:shd w:fill="5B2D8C" w:color="auto" w:val="clear"/>
        <w:spacing w:after="0"/>
      </w:pPr>
      <w:r>
        <w:rPr>
          <w:rFonts w:ascii="Calibri" w:cs="Calibri" w:eastAsia="Calibri" w:hAnsi="Calibri"/>
          <w:sz w:val="22"/>
          <w:szCs w:val="22"/>
        </w:rPr>
        <w:t xml:space="preserve"> </w:t>
      </w:r>
    </w:p>
    <w:p>
      <w:pPr>
        <w:spacing w:after="80"/>
      </w:pPr>
      <w:r>
        <w:t xml:space="preserve"/>
      </w:r>
    </w:p>
    <w:p>
      <w:pPr>
        <w:spacing w:after="30"/>
      </w:pPr>
      <w:r>
        <w:rPr>
          <w:rFonts w:ascii="Calibri" w:cs="Calibri" w:eastAsia="Calibri" w:hAnsi="Calibri"/>
          <w:b/>
          <w:bCs/>
          <w:color w:val="1F3864"/>
          <w:sz w:val="20"/>
          <w:szCs w:val="20"/>
        </w:rPr>
        <w:t xml:space="preserve">Rol: </w:t>
      </w:r>
      <w:r>
        <w:rPr>
          <w:rFonts w:ascii="Calibri" w:cs="Calibri" w:eastAsia="Calibri" w:hAnsi="Calibri"/>
          <w:sz w:val="20"/>
          <w:szCs w:val="20"/>
        </w:rPr>
        <w:t xml:space="preserve">Información meta, comentarios sobre el proceso, citas o referencias, indicadores especiales fuera del flujo normal.</w:t>
      </w:r>
    </w:p>
    <w:p>
      <w:pPr>
        <w:spacing w:after="30"/>
      </w:pPr>
      <w:r>
        <w:rPr>
          <w:rFonts w:ascii="Calibri" w:cs="Calibri" w:eastAsia="Calibri" w:hAnsi="Calibri"/>
          <w:b/>
          <w:bCs/>
          <w:color w:val="1F3864"/>
          <w:sz w:val="19"/>
          <w:szCs w:val="19"/>
        </w:rPr>
        <w:t xml:space="preserve">HEX: </w:t>
      </w:r>
      <w:r>
        <w:rPr>
          <w:rFonts w:ascii="Consolas" w:cs="Consolas" w:eastAsia="Consolas" w:hAnsi="Consolas"/>
          <w:sz w:val="19"/>
          <w:szCs w:val="19"/>
        </w:rPr>
        <w:t xml:space="preserve">#5B2D8C</w:t>
      </w:r>
      <w:r>
        <w:rPr>
          <w:rFonts w:ascii="Calibri" w:cs="Calibri" w:eastAsia="Calibri" w:hAnsi="Calibri"/>
          <w:b/>
          <w:bCs/>
          <w:color w:val="1F3864"/>
          <w:sz w:val="19"/>
          <w:szCs w:val="19"/>
        </w:rPr>
        <w:t xml:space="preserve">    RGB: </w:t>
      </w:r>
      <w:r>
        <w:rPr>
          <w:rFonts w:ascii="Consolas" w:cs="Consolas" w:eastAsia="Consolas" w:hAnsi="Consolas"/>
          <w:sz w:val="19"/>
          <w:szCs w:val="19"/>
        </w:rPr>
        <w:t xml:space="preserve">91, 45, 140</w:t>
      </w:r>
      <w:r>
        <w:rPr>
          <w:rFonts w:ascii="Calibri" w:cs="Calibri" w:eastAsia="Calibri" w:hAnsi="Calibri"/>
          <w:b/>
          <w:bCs/>
          <w:color w:val="1F3864"/>
          <w:sz w:val="19"/>
          <w:szCs w:val="19"/>
        </w:rPr>
        <w:t xml:space="preserve">    CMYK: </w:t>
      </w:r>
      <w:r>
        <w:rPr>
          <w:rFonts w:ascii="Consolas" w:cs="Consolas" w:eastAsia="Consolas" w:hAnsi="Consolas"/>
          <w:sz w:val="19"/>
          <w:szCs w:val="19"/>
        </w:rPr>
        <w:t xml:space="preserve">70, 90, 0, 30</w:t>
      </w:r>
    </w:p>
    <w:p>
      <w:pPr>
        <w:spacing w:after="40" w:before="200"/>
      </w:pPr>
      <w:r>
        <w:rPr>
          <w:rFonts w:ascii="Calibri" w:cs="Calibri" w:eastAsia="Calibri" w:hAnsi="Calibri"/>
          <w:b/>
          <w:bCs/>
          <w:color w:val="1F3864"/>
          <w:sz w:val="26"/>
          <w:szCs w:val="26"/>
        </w:rPr>
        <w:t xml:space="preserve">Dorado destacado</w:t>
      </w:r>
    </w:p>
    <w:p>
      <w:pPr>
        <w:shd w:fill="FFD966" w:color="auto" w:val="clear"/>
        <w:spacing w:after="0"/>
      </w:pPr>
      <w:r>
        <w:rPr>
          <w:rFonts w:ascii="Calibri" w:cs="Calibri" w:eastAsia="Calibri" w:hAnsi="Calibri"/>
          <w:sz w:val="22"/>
          <w:szCs w:val="22"/>
        </w:rPr>
        <w:t xml:space="preserve"> </w:t>
      </w:r>
    </w:p>
    <w:p>
      <w:pPr>
        <w:shd w:fill="FFD966" w:color="auto" w:val="clear"/>
        <w:spacing w:after="0"/>
      </w:pPr>
      <w:r>
        <w:rPr>
          <w:rFonts w:ascii="Calibri" w:cs="Calibri" w:eastAsia="Calibri" w:hAnsi="Calibri"/>
          <w:sz w:val="22"/>
          <w:szCs w:val="22"/>
        </w:rPr>
        <w:t xml:space="preserve"> </w:t>
      </w:r>
    </w:p>
    <w:p>
      <w:pPr>
        <w:shd w:fill="FFD966" w:color="auto" w:val="clear"/>
        <w:spacing w:after="0"/>
      </w:pPr>
      <w:r>
        <w:rPr>
          <w:rFonts w:ascii="Calibri" w:cs="Calibri" w:eastAsia="Calibri" w:hAnsi="Calibri"/>
          <w:sz w:val="22"/>
          <w:szCs w:val="22"/>
        </w:rPr>
        <w:t xml:space="preserve"> </w:t>
      </w:r>
    </w:p>
    <w:p>
      <w:pPr>
        <w:shd w:fill="FFD966" w:color="auto" w:val="clear"/>
        <w:spacing w:after="0"/>
      </w:pPr>
      <w:r>
        <w:rPr>
          <w:rFonts w:ascii="Calibri" w:cs="Calibri" w:eastAsia="Calibri" w:hAnsi="Calibri"/>
          <w:sz w:val="22"/>
          <w:szCs w:val="22"/>
        </w:rPr>
        <w:t xml:space="preserve"> </w:t>
      </w:r>
    </w:p>
    <w:p>
      <w:pPr>
        <w:shd w:fill="FFD966" w:color="auto" w:val="clear"/>
        <w:spacing w:after="0"/>
      </w:pPr>
      <w:r>
        <w:rPr>
          <w:rFonts w:ascii="Calibri" w:cs="Calibri" w:eastAsia="Calibri" w:hAnsi="Calibri"/>
          <w:sz w:val="22"/>
          <w:szCs w:val="22"/>
        </w:rPr>
        <w:t xml:space="preserve"> </w:t>
      </w:r>
    </w:p>
    <w:p>
      <w:pPr>
        <w:shd w:fill="FFD966" w:color="auto" w:val="clear"/>
        <w:spacing w:after="0"/>
      </w:pPr>
      <w:r>
        <w:rPr>
          <w:rFonts w:ascii="Calibri" w:cs="Calibri" w:eastAsia="Calibri" w:hAnsi="Calibri"/>
          <w:sz w:val="22"/>
          <w:szCs w:val="22"/>
        </w:rPr>
        <w:t xml:space="preserve"> </w:t>
      </w:r>
    </w:p>
    <w:p>
      <w:pPr>
        <w:spacing w:after="80"/>
      </w:pPr>
      <w:r>
        <w:t xml:space="preserve"/>
      </w:r>
    </w:p>
    <w:p>
      <w:pPr>
        <w:spacing w:after="30"/>
      </w:pPr>
      <w:r>
        <w:rPr>
          <w:rFonts w:ascii="Calibri" w:cs="Calibri" w:eastAsia="Calibri" w:hAnsi="Calibri"/>
          <w:b/>
          <w:bCs/>
          <w:color w:val="1F3864"/>
          <w:sz w:val="20"/>
          <w:szCs w:val="20"/>
        </w:rPr>
        <w:t xml:space="preserve">Rol: </w:t>
      </w:r>
      <w:r>
        <w:rPr>
          <w:rFonts w:ascii="Calibri" w:cs="Calibri" w:eastAsia="Calibri" w:hAnsi="Calibri"/>
          <w:sz w:val="20"/>
          <w:szCs w:val="20"/>
        </w:rPr>
        <w:t xml:space="preserve">Acentos premium, notificaciones especiales, badges de estado distintivo. Uso medido: el dorado pierde fuerza si se abusa.</w:t>
      </w:r>
    </w:p>
    <w:p>
      <w:pPr>
        <w:spacing w:after="30"/>
      </w:pPr>
      <w:r>
        <w:rPr>
          <w:rFonts w:ascii="Calibri" w:cs="Calibri" w:eastAsia="Calibri" w:hAnsi="Calibri"/>
          <w:b/>
          <w:bCs/>
          <w:color w:val="1F3864"/>
          <w:sz w:val="19"/>
          <w:szCs w:val="19"/>
        </w:rPr>
        <w:t xml:space="preserve">HEX: </w:t>
      </w:r>
      <w:r>
        <w:rPr>
          <w:rFonts w:ascii="Consolas" w:cs="Consolas" w:eastAsia="Consolas" w:hAnsi="Consolas"/>
          <w:sz w:val="19"/>
          <w:szCs w:val="19"/>
        </w:rPr>
        <w:t xml:space="preserve">#FFD966</w:t>
      </w:r>
      <w:r>
        <w:rPr>
          <w:rFonts w:ascii="Calibri" w:cs="Calibri" w:eastAsia="Calibri" w:hAnsi="Calibri"/>
          <w:b/>
          <w:bCs/>
          <w:color w:val="1F3864"/>
          <w:sz w:val="19"/>
          <w:szCs w:val="19"/>
        </w:rPr>
        <w:t xml:space="preserve">    RGB: </w:t>
      </w:r>
      <w:r>
        <w:rPr>
          <w:rFonts w:ascii="Consolas" w:cs="Consolas" w:eastAsia="Consolas" w:hAnsi="Consolas"/>
          <w:sz w:val="19"/>
          <w:szCs w:val="19"/>
        </w:rPr>
        <w:t xml:space="preserve">255, 217, 102</w:t>
      </w:r>
      <w:r>
        <w:rPr>
          <w:rFonts w:ascii="Calibri" w:cs="Calibri" w:eastAsia="Calibri" w:hAnsi="Calibri"/>
          <w:b/>
          <w:bCs/>
          <w:color w:val="1F3864"/>
          <w:sz w:val="19"/>
          <w:szCs w:val="19"/>
        </w:rPr>
        <w:t xml:space="preserve">    CMYK: </w:t>
      </w:r>
      <w:r>
        <w:rPr>
          <w:rFonts w:ascii="Consolas" w:cs="Consolas" w:eastAsia="Consolas" w:hAnsi="Consolas"/>
          <w:sz w:val="19"/>
          <w:szCs w:val="19"/>
        </w:rPr>
        <w:t xml:space="preserve">0, 15, 70, 0</w:t>
      </w:r>
    </w:p>
    <w:p>
      <w:pPr>
        <w:pStyle w:val="Heading2"/>
        <w:spacing w:after="160" w:before="280"/>
      </w:pPr>
      <w:r>
        <w:rPr>
          <w:rFonts w:ascii="Calibri" w:cs="Calibri" w:eastAsia="Calibri" w:hAnsi="Calibri"/>
          <w:b/>
          <w:bCs/>
          <w:color w:val="2E75B6"/>
          <w:sz w:val="28"/>
          <w:szCs w:val="28"/>
        </w:rPr>
        <w:t xml:space="preserve">6.3 Escala de neutros</w:t>
      </w:r>
    </w:p>
    <w:p>
      <w:pPr>
        <w:spacing w:after="140" w:line="290"/>
        <w:jc w:val="both"/>
      </w:pPr>
      <w:r>
        <w:rPr>
          <w:rFonts w:ascii="Calibri" w:cs="Calibri" w:eastAsia="Calibri" w:hAnsi="Calibri"/>
          <w:sz w:val="22"/>
          <w:szCs w:val="22"/>
        </w:rPr>
        <w:t xml:space="preserve">Los neutros son el esqueleto de la mayoría de las piezas: tipografía, fondos, separadores, sombras. La escala adoptada cubre desde el blanco puro hasta el negro casi negro con cinco escalones intermedios que cubren los usos típicos.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500"/>
        <w:gridCol w:w="37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Nombre</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HEX</w:t>
            </w:r>
          </w:p>
        </w:tc>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Muestra</w:t>
            </w:r>
          </w:p>
        </w:tc>
        <w:tc>
          <w:tcPr>
            <w:tcW w:type="dxa" w:w="3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Uso típico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Blanco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8"/>
                <w:szCs w:val="18"/>
              </w:rPr>
              <w:t xml:space="preserve">#FFFFFF</w:t>
            </w:r>
          </w:p>
        </w:tc>
        <w:tc>
          <w:tcPr>
            <w:tcW w:type="dxa" w:w="1500"/>
            <w:tcBorders>
              <w:top w:val="single" w:color="BFBFBF" w:sz="6"/>
              <w:left w:val="single" w:color="BFBFBF" w:sz="6"/>
              <w:bottom w:val="single" w:color="BFBFBF" w:sz="6"/>
              <w:right w:val="single" w:color="BFBFBF" w:sz="6"/>
            </w:tcBorders>
            <w:shd w:fill="FFFFFF" w:color="auto" w:val="clear"/>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w:t>
            </w:r>
          </w:p>
        </w:tc>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Fondos primarios, lienzo de la app.</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Gris claro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8"/>
                <w:szCs w:val="18"/>
              </w:rPr>
              <w:t xml:space="preserve">#F5F5F5</w:t>
            </w:r>
          </w:p>
        </w:tc>
        <w:tc>
          <w:tcPr>
            <w:tcW w:type="dxa" w:w="1500"/>
            <w:tcBorders>
              <w:top w:val="single" w:color="BFBFBF" w:sz="6"/>
              <w:left w:val="single" w:color="BFBFBF" w:sz="6"/>
              <w:bottom w:val="single" w:color="BFBFBF" w:sz="6"/>
              <w:right w:val="single" w:color="BFBFBF" w:sz="6"/>
            </w:tcBorders>
            <w:shd w:fill="F5F5F5" w:color="auto" w:val="clear"/>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w:t>
            </w:r>
          </w:p>
        </w:tc>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Fondos secundarios, áreas de descanso visual, listas striped.</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Gris medio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8"/>
                <w:szCs w:val="18"/>
              </w:rPr>
              <w:t xml:space="preserve">#BFBFBF</w:t>
            </w:r>
          </w:p>
        </w:tc>
        <w:tc>
          <w:tcPr>
            <w:tcW w:type="dxa" w:w="1500"/>
            <w:tcBorders>
              <w:top w:val="single" w:color="BFBFBF" w:sz="6"/>
              <w:left w:val="single" w:color="BFBFBF" w:sz="6"/>
              <w:bottom w:val="single" w:color="BFBFBF" w:sz="6"/>
              <w:right w:val="single" w:color="BFBFBF" w:sz="6"/>
            </w:tcBorders>
            <w:shd w:fill="BFBFBF" w:color="auto" w:val="clear"/>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w:t>
            </w:r>
          </w:p>
        </w:tc>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Bordes de tablas, separadores, elementos deshabilitados.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Gris texto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8"/>
                <w:szCs w:val="18"/>
              </w:rPr>
              <w:t xml:space="preserve">#808080</w:t>
            </w:r>
          </w:p>
        </w:tc>
        <w:tc>
          <w:tcPr>
            <w:tcW w:type="dxa" w:w="1500"/>
            <w:tcBorders>
              <w:top w:val="single" w:color="BFBFBF" w:sz="6"/>
              <w:left w:val="single" w:color="BFBFBF" w:sz="6"/>
              <w:bottom w:val="single" w:color="BFBFBF" w:sz="6"/>
              <w:right w:val="single" w:color="BFBFBF" w:sz="6"/>
            </w:tcBorders>
            <w:shd w:fill="808080" w:color="auto" w:val="clear"/>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w:t>
            </w:r>
          </w:p>
        </w:tc>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Texto secundario, pies de tabla, captions.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Gris oscuro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8"/>
                <w:szCs w:val="18"/>
              </w:rPr>
              <w:t xml:space="preserve">#404040</w:t>
            </w:r>
          </w:p>
        </w:tc>
        <w:tc>
          <w:tcPr>
            <w:tcW w:type="dxa" w:w="1500"/>
            <w:tcBorders>
              <w:top w:val="single" w:color="BFBFBF" w:sz="6"/>
              <w:left w:val="single" w:color="BFBFBF" w:sz="6"/>
              <w:bottom w:val="single" w:color="BFBFBF" w:sz="6"/>
              <w:right w:val="single" w:color="BFBFBF" w:sz="6"/>
            </w:tcBorders>
            <w:shd w:fill="404040" w:color="auto" w:val="clear"/>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w:t>
            </w:r>
          </w:p>
        </w:tc>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Texto principal sobre fondos claros (alternativa al negro puro).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Casi negro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8"/>
                <w:szCs w:val="18"/>
              </w:rPr>
              <w:t xml:space="preserve">#1A1A1A</w:t>
            </w:r>
          </w:p>
        </w:tc>
        <w:tc>
          <w:tcPr>
            <w:tcW w:type="dxa" w:w="1500"/>
            <w:tcBorders>
              <w:top w:val="single" w:color="BFBFBF" w:sz="6"/>
              <w:left w:val="single" w:color="BFBFBF" w:sz="6"/>
              <w:bottom w:val="single" w:color="BFBFBF" w:sz="6"/>
              <w:right w:val="single" w:color="BFBFBF" w:sz="6"/>
            </w:tcBorders>
            <w:shd w:fill="1A1A1A" w:color="auto" w:val="clear"/>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w:t>
            </w:r>
          </w:p>
        </w:tc>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Texto enfático, headers en piezas especiales.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6.4 Reglas de uso de la paleta</w:t>
      </w:r>
    </w:p>
    <w:p>
      <w:pPr>
        <w:pStyle w:val="Heading3"/>
        <w:spacing w:after="120" w:before="220"/>
      </w:pPr>
      <w:r>
        <w:rPr>
          <w:rFonts w:ascii="Calibri" w:cs="Calibri" w:eastAsia="Calibri" w:hAnsi="Calibri"/>
          <w:b/>
          <w:bCs/>
          <w:color w:val="404040"/>
          <w:sz w:val="24"/>
          <w:szCs w:val="24"/>
        </w:rPr>
        <w:t xml:space="preserve">6.4.1 Proporciones recomendadas</w:t>
      </w:r>
    </w:p>
    <w:p>
      <w:pPr>
        <w:spacing w:after="140" w:line="290"/>
        <w:jc w:val="both"/>
      </w:pPr>
      <w:r>
        <w:rPr>
          <w:rFonts w:ascii="Calibri" w:cs="Calibri" w:eastAsia="Calibri" w:hAnsi="Calibri"/>
          <w:sz w:val="22"/>
          <w:szCs w:val="22"/>
        </w:rPr>
        <w:t xml:space="preserve">Una pieza visual saludable respeta proporciones aproximadas en el uso de color. Los neutros (blancos, grises) ocupan típicamente un 60% de la composición; el azul institucional ocupa un 25 a 30% y aporta la identidad; los colores secundarios ocupan un 5 a 10% y se reservan para acentos y estados; el dorado destacado, cuando aparece, no supera un 2% de la composición. Las desviaciones a esta proporción se justifican por contexto (una pieza de error puede tener mayor proporción de rojo, una pieza de celebración puede tener mayor proporción de verde) pero la dieta básica es esta.</w:t>
      </w:r>
    </w:p>
    <w:p>
      <w:pPr>
        <w:pStyle w:val="Heading3"/>
        <w:spacing w:after="120" w:before="220"/>
      </w:pPr>
      <w:r>
        <w:rPr>
          <w:rFonts w:ascii="Calibri" w:cs="Calibri" w:eastAsia="Calibri" w:hAnsi="Calibri"/>
          <w:b/>
          <w:bCs/>
          <w:color w:val="404040"/>
          <w:sz w:val="24"/>
          <w:szCs w:val="24"/>
        </w:rPr>
        <w:t xml:space="preserve">6.4.2 Combinaciones aprobadas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Combinación</w:t>
            </w:r>
          </w:p>
        </w:tc>
        <w:tc>
          <w:tcPr>
            <w:tcW w:type="dxa" w:w="6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Cuándo se usa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Azul institucional + Blanco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Combinación canónica. Se aplica a casi todas las piezas como base.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Azul institucional + Gris claro + Blanco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Interfaces complejas con jerarquía. La app respeta esta combinación.</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Azul institucional + Dorado destacado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Material premium o de alto impacto: pitch decks, presentaciones a clientes enterprise, eventos. Uso esporádico.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Azul intermedio + Blanco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Comunicaciones secundarias: emails transaccionales, notificaciones, contenido conversacional.</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Verde éxito + Blanco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Confirmaciones puntuales, no como base de pieza.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Rojo crítico + Blanco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Alertas y errores puntuales, no como base de pieza.</w:t>
            </w:r>
          </w:p>
        </w:tc>
      </w:tr>
    </w:tbl>
    <w:p>
      <w:pPr>
        <w:spacing w:after="140" w:line="290"/>
        <w:jc w:val="both"/>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404040"/>
          <w:sz w:val="24"/>
          <w:szCs w:val="24"/>
        </w:rPr>
        <w:t xml:space="preserve">6.4.3 Combinaciones no recomendadas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single" w:color="BFBFBF" w:sz="6"/>
              <w:left w:val="single" w:color="BFBFBF" w:sz="6"/>
              <w:bottom w:val="single" w:color="BFBFBF" w:sz="6"/>
              <w:right w:val="single" w:color="BFBFBF" w:sz="6"/>
            </w:tcBorders>
            <w:shd w:fill="E2EFDA" w:color="auto" w:val="clear"/>
            <w:tcMar>
              <w:top w:type="dxa" w:w="120"/>
              <w:left w:type="dxa" w:w="200"/>
              <w:bottom w:type="dxa" w:w="120"/>
              <w:right w:type="dxa" w:w="200"/>
            </w:tcMar>
          </w:tcPr>
          <w:p>
            <w:pPr>
              <w:spacing w:after="60"/>
            </w:pPr>
            <w:r>
              <w:rPr>
                <w:rFonts w:ascii="Calibri" w:cs="Calibri" w:eastAsia="Calibri" w:hAnsi="Calibri"/>
                <w:b/>
                <w:bCs/>
                <w:color w:val="375623"/>
                <w:sz w:val="22"/>
                <w:szCs w:val="22"/>
              </w:rPr>
              <w:t xml:space="preserve">✓  HACER</w:t>
            </w:r>
          </w:p>
          <w:p>
            <w:pPr>
              <w:spacing w:after="0" w:line="280"/>
              <w:jc w:val="both"/>
            </w:pPr>
            <w:r>
              <w:rPr>
                <w:rFonts w:ascii="Calibri" w:cs="Calibri" w:eastAsia="Calibri" w:hAnsi="Calibri"/>
                <w:color w:val="375623"/>
                <w:sz w:val="20"/>
                <w:szCs w:val="20"/>
              </w:rPr>
              <w:t xml:space="preserve">Usar la paleta declarada en sus combinaciones aprobadas. Cuando se necesite un acento distintivo, recurrir al dorado con moderación.</w:t>
            </w:r>
          </w:p>
        </w:tc>
        <w:tc>
          <w:tcPr>
            <w:tcW w:type="dxa" w:w="4650"/>
            <w:tcBorders>
              <w:top w:val="single" w:color="BFBFBF" w:sz="6"/>
              <w:left w:val="single" w:color="BFBFBF" w:sz="6"/>
              <w:bottom w:val="single" w:color="BFBFBF" w:sz="6"/>
              <w:right w:val="single" w:color="BFBFBF" w:sz="6"/>
            </w:tcBorders>
            <w:shd w:fill="FBE5D6" w:color="auto" w:val="clear"/>
            <w:tcMar>
              <w:top w:type="dxa" w:w="120"/>
              <w:left w:type="dxa" w:w="200"/>
              <w:bottom w:type="dxa" w:w="120"/>
              <w:right w:type="dxa" w:w="200"/>
            </w:tcMar>
          </w:tcPr>
          <w:p>
            <w:pPr>
              <w:spacing w:after="60"/>
            </w:pPr>
            <w:r>
              <w:rPr>
                <w:rFonts w:ascii="Calibri" w:cs="Calibri" w:eastAsia="Calibri" w:hAnsi="Calibri"/>
                <w:b/>
                <w:bCs/>
                <w:color w:val="974706"/>
                <w:sz w:val="22"/>
                <w:szCs w:val="22"/>
              </w:rPr>
              <w:t xml:space="preserve">✗  NO HACER</w:t>
            </w:r>
          </w:p>
          <w:p>
            <w:pPr>
              <w:spacing w:after="0" w:line="280"/>
              <w:jc w:val="both"/>
            </w:pPr>
            <w:r>
              <w:rPr>
                <w:rFonts w:ascii="Calibri" w:cs="Calibri" w:eastAsia="Calibri" w:hAnsi="Calibri"/>
                <w:color w:val="974706"/>
                <w:sz w:val="20"/>
                <w:szCs w:val="20"/>
              </w:rPr>
              <w:t xml:space="preserve">Combinar dos colores secundarios (verde + amarillo, rojo + violeta) en una misma pieza sin justificación funcional. La paleta secundaria se usa de a uno por pieza salvo en gráficos de datos donde múltiples categorías exigen diferenciación.</w:t>
            </w:r>
          </w:p>
        </w:tc>
      </w:tr>
    </w:tbl>
    <w:p>
      <w:pPr>
        <w:spacing w:after="140" w:line="290"/>
        <w:jc w:val="both"/>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404040"/>
          <w:sz w:val="24"/>
          <w:szCs w:val="24"/>
        </w:rPr>
        <w:t xml:space="preserve">6.4.4 Accesibilidad de contraste</w:t>
      </w:r>
    </w:p>
    <w:p>
      <w:pPr>
        <w:spacing w:after="140" w:line="290"/>
        <w:jc w:val="both"/>
      </w:pPr>
      <w:r>
        <w:rPr>
          <w:rFonts w:ascii="Calibri" w:cs="Calibri" w:eastAsia="Calibri" w:hAnsi="Calibri"/>
          <w:sz w:val="22"/>
          <w:szCs w:val="22"/>
        </w:rPr>
        <w:t xml:space="preserve">Toda combinación de color de texto sobre fondo debe respetar los contrastes WCAG 2.1 AA: 4.5:1 mínimo para texto normal, 3:1 para texto grande (18pt o 14pt bold). El azul institucional sobre blanco cumple AAA (más de 7:1); el gris texto sobre blanco cumple AA pero apenas, lo que recomienda usarlo solo para texto secundario; el dorado destacado sobre blanco no cumple contraste suficiente para texto y se usa solo como acento gráfico, nunca como color de texto largo.</w:t>
      </w:r>
    </w:p>
    <w:p>
      <w:pPr>
        <w:shd w:fill="DEEAF6" w:color="auto" w:val="clear"/>
        <w:spacing w:after="120" w:before="120" w:line="280"/>
        <w:jc w:val="both"/>
      </w:pPr>
      <w:r>
        <w:rPr>
          <w:rFonts w:ascii="Calibri" w:cs="Calibri" w:eastAsia="Calibri" w:hAnsi="Calibri"/>
          <w:b/>
          <w:bCs/>
          <w:color w:val="1F3864"/>
          <w:sz w:val="21"/>
          <w:szCs w:val="21"/>
        </w:rPr>
        <w:t xml:space="preserve">Verificación operativa: </w:t>
      </w:r>
      <w:r>
        <w:rPr>
          <w:rFonts w:ascii="Calibri" w:cs="Calibri" w:eastAsia="Calibri" w:hAnsi="Calibri"/>
          <w:color w:val="1F3864"/>
          <w:sz w:val="21"/>
          <w:szCs w:val="21"/>
        </w:rPr>
        <w:t xml:space="preserve">Toda pieza nueva pasa por verificación automática de contraste mediante herramientas estándar (WebAIM Contrast Checker, axe-core en frontend). Las combinaciones que no cumplen contraste se rechazan o se ajustan; el cumplimiento es bloqueante para release de cualquier pieza pública.</w:t>
      </w:r>
    </w:p>
    <w:p>
      <w:r>
        <w:br w:type="page"/>
      </w:r>
    </w:p>
    <w:p>
      <w:pPr>
        <w:pStyle w:val="Heading1"/>
        <w:spacing w:after="240" w:before="360"/>
      </w:pPr>
      <w:r>
        <w:rPr>
          <w:rFonts w:ascii="Calibri" w:cs="Calibri" w:eastAsia="Calibri" w:hAnsi="Calibri"/>
          <w:b/>
          <w:bCs/>
          <w:color w:val="1F3864"/>
          <w:sz w:val="36"/>
          <w:szCs w:val="36"/>
        </w:rPr>
        <w:t xml:space="preserve">7. Sistema tipográfico</w:t>
      </w:r>
    </w:p>
    <w:p>
      <w:pPr>
        <w:spacing w:after="140" w:line="290"/>
        <w:jc w:val="both"/>
      </w:pPr>
      <w:r>
        <w:rPr>
          <w:rFonts w:ascii="Calibri" w:cs="Calibri" w:eastAsia="Calibri" w:hAnsi="Calibri"/>
          <w:sz w:val="22"/>
          <w:szCs w:val="22"/>
        </w:rPr>
        <w:t xml:space="preserve">Esta sección define el sistema tipográfico de la marca: qué familias se usan, en qué jerarquías, con qué pesos y tamaños. La consistencia tipográfica es uno de los factores que más diferencia productos cuidados de productos descuidados.</w:t>
      </w:r>
    </w:p>
    <w:p>
      <w:pPr>
        <w:pStyle w:val="Heading2"/>
        <w:spacing w:after="160" w:before="280"/>
      </w:pPr>
      <w:r>
        <w:rPr>
          <w:rFonts w:ascii="Calibri" w:cs="Calibri" w:eastAsia="Calibri" w:hAnsi="Calibri"/>
          <w:b/>
          <w:bCs/>
          <w:color w:val="2E75B6"/>
          <w:sz w:val="28"/>
          <w:szCs w:val="28"/>
        </w:rPr>
        <w:t xml:space="preserve">7.1 Familia institucional principal: Inter</w:t>
      </w:r>
    </w:p>
    <w:p>
      <w:pPr>
        <w:spacing w:after="140" w:line="290"/>
        <w:jc w:val="both"/>
      </w:pPr>
      <w:r>
        <w:rPr>
          <w:rFonts w:ascii="Calibri" w:cs="Calibri" w:eastAsia="Calibri" w:hAnsi="Calibri"/>
          <w:sz w:val="22"/>
          <w:szCs w:val="22"/>
        </w:rPr>
        <w:t xml:space="preserve">La familia tipográfica institucional para todas las piezas digitales es Inter, diseñada por Rasmus Andersson. Es una familia sans-serif moderna optimizada para legibilidad en pantalla, con cobertura completa para español incluyendo diacríticos correctos, con peso variable que cubre desde Thin hasta Black, y con licencia open source (SIL Open Font License) que la hace gratuita para uso comercial sin restricciones.</w:t>
      </w:r>
    </w:p>
    <w:p>
      <w:pPr>
        <w:spacing w:after="30" w:before="100"/>
      </w:pPr>
      <w:r>
        <w:rPr>
          <w:rFonts w:ascii="Calibri" w:cs="Calibri" w:eastAsia="Calibri" w:hAnsi="Calibri"/>
          <w:i/>
          <w:iCs/>
          <w:color w:val="808080"/>
          <w:sz w:val="18"/>
          <w:szCs w:val="18"/>
        </w:rPr>
        <w:t xml:space="preserve">Inter Regular — peso base</w:t>
      </w:r>
    </w:p>
    <w:p>
      <w:pPr>
        <w:spacing w:after="80"/>
      </w:pPr>
      <w:r>
        <w:rPr>
          <w:rFonts w:ascii="Inter" w:cs="Inter" w:eastAsia="Inter" w:hAnsi="Inter"/>
          <w:b w:val="false"/>
          <w:bCs w:val="false"/>
          <w:color w:val="1F3864"/>
          <w:sz w:val="56"/>
          <w:szCs w:val="56"/>
        </w:rPr>
        <w:t xml:space="preserve">AaBbCcDd 0123456789</w:t>
      </w:r>
    </w:p>
    <w:p>
      <w:pPr>
        <w:spacing w:after="30" w:before="100"/>
      </w:pPr>
      <w:r>
        <w:rPr>
          <w:rFonts w:ascii="Calibri" w:cs="Calibri" w:eastAsia="Calibri" w:hAnsi="Calibri"/>
          <w:i/>
          <w:iCs/>
          <w:color w:val="808080"/>
          <w:sz w:val="18"/>
          <w:szCs w:val="18"/>
        </w:rPr>
        <w:t xml:space="preserve">Inter Bold — para énfasis y títulos</w:t>
      </w:r>
    </w:p>
    <w:p>
      <w:pPr>
        <w:spacing w:after="80"/>
      </w:pPr>
      <w:r>
        <w:rPr>
          <w:rFonts w:ascii="Inter" w:cs="Inter" w:eastAsia="Inter" w:hAnsi="Inter"/>
          <w:b/>
          <w:bCs/>
          <w:color w:val="1F3864"/>
          <w:sz w:val="56"/>
          <w:szCs w:val="56"/>
        </w:rPr>
        <w:t xml:space="preserve">AaBbCcDd 0123456789</w:t>
      </w:r>
    </w:p>
    <w:p>
      <w:pPr>
        <w:spacing w:after="30" w:before="100"/>
      </w:pPr>
      <w:r>
        <w:rPr>
          <w:rFonts w:ascii="Calibri" w:cs="Calibri" w:eastAsia="Calibri" w:hAnsi="Calibri"/>
          <w:i/>
          <w:iCs/>
          <w:color w:val="808080"/>
          <w:sz w:val="18"/>
          <w:szCs w:val="18"/>
        </w:rPr>
        <w:t xml:space="preserve">Muestra de párrafo en cuerpo 9pt</w:t>
      </w:r>
    </w:p>
    <w:p>
      <w:pPr>
        <w:spacing w:after="80"/>
      </w:pPr>
      <w:r>
        <w:rPr>
          <w:rFonts w:ascii="Inter" w:cs="Inter" w:eastAsia="Inter" w:hAnsi="Inter"/>
          <w:b w:val="false"/>
          <w:bCs w:val="false"/>
          <w:color w:val="404040"/>
          <w:sz w:val="36"/>
          <w:szCs w:val="36"/>
        </w:rPr>
        <w:t xml:space="preserve">Las agencias venden más cuando dejan de pelear con su software.</w:t>
      </w:r>
    </w:p>
    <w:p>
      <w:pPr>
        <w:shd w:fill="FFF4D6" w:color="auto" w:val="clear"/>
        <w:spacing w:after="120" w:before="120" w:line="280"/>
        <w:jc w:val="both"/>
      </w:pPr>
      <w:r>
        <w:rPr>
          <w:rFonts w:ascii="Calibri" w:cs="Calibri" w:eastAsia="Calibri" w:hAnsi="Calibri"/>
          <w:b/>
          <w:bCs/>
          <w:color w:val="9C5700"/>
          <w:sz w:val="21"/>
          <w:szCs w:val="21"/>
        </w:rPr>
        <w:t xml:space="preserve">Nota técnica sobre la muestra: </w:t>
      </w:r>
      <w:r>
        <w:rPr>
          <w:rFonts w:ascii="Calibri" w:cs="Calibri" w:eastAsia="Calibri" w:hAnsi="Calibri"/>
          <w:color w:val="9C5700"/>
          <w:sz w:val="21"/>
          <w:szCs w:val="21"/>
        </w:rPr>
        <w:t xml:space="preserve">La muestra anterior se renderiza con la familia que el visor utilice si Inter no está instalada localmente. Para verificación visual definitiva, ver el repositorio de marca con la fuente embebida.</w:t>
      </w:r>
    </w:p>
    <w:p>
      <w:pPr>
        <w:pStyle w:val="Heading2"/>
        <w:spacing w:after="160" w:before="280"/>
      </w:pPr>
      <w:r>
        <w:rPr>
          <w:rFonts w:ascii="Calibri" w:cs="Calibri" w:eastAsia="Calibri" w:hAnsi="Calibri"/>
          <w:b/>
          <w:bCs/>
          <w:color w:val="2E75B6"/>
          <w:sz w:val="28"/>
          <w:szCs w:val="28"/>
        </w:rPr>
        <w:t xml:space="preserve">7.2 Familia para impresos formales: Source Serif Pro</w:t>
      </w:r>
    </w:p>
    <w:p>
      <w:pPr>
        <w:spacing w:after="140" w:line="290"/>
        <w:jc w:val="both"/>
      </w:pPr>
      <w:r>
        <w:rPr>
          <w:rFonts w:ascii="Calibri" w:cs="Calibri" w:eastAsia="Calibri" w:hAnsi="Calibri"/>
          <w:sz w:val="22"/>
          <w:szCs w:val="22"/>
        </w:rPr>
        <w:t xml:space="preserve">Para piezas impresas formales —documentación legal, contratos, papelería institucional— se usa Source Serif Pro como complemento serifado de la familia principal. La elección busca un contraste reconocible entre el universo digital (Inter sans-serif, ágil) y el universo formal (Source Serif Pro serifado, asentado). La familia es también de licencia abierta y tiene cobertura completa de diacríticos castellanos.</w:t>
      </w:r>
    </w:p>
    <w:p>
      <w:pPr>
        <w:pStyle w:val="Heading2"/>
        <w:spacing w:after="160" w:before="280"/>
      </w:pPr>
      <w:r>
        <w:rPr>
          <w:rFonts w:ascii="Calibri" w:cs="Calibri" w:eastAsia="Calibri" w:hAnsi="Calibri"/>
          <w:b/>
          <w:bCs/>
          <w:color w:val="2E75B6"/>
          <w:sz w:val="28"/>
          <w:szCs w:val="28"/>
        </w:rPr>
        <w:t xml:space="preserve">7.3 Familia monoespaciada: JetBrains Mono</w:t>
      </w:r>
    </w:p>
    <w:p>
      <w:pPr>
        <w:spacing w:after="140" w:line="290"/>
        <w:jc w:val="both"/>
      </w:pPr>
      <w:r>
        <w:rPr>
          <w:rFonts w:ascii="Calibri" w:cs="Calibri" w:eastAsia="Calibri" w:hAnsi="Calibri"/>
          <w:sz w:val="22"/>
          <w:szCs w:val="22"/>
        </w:rPr>
        <w:t xml:space="preserve">Para fragmentos de código, valores técnicos en documentación, identificadores de tickets o tareas, y cualquier contexto donde la alineación de caracteres sea funcional, se usa JetBrains Mono. La familia es de licencia abierta y tiene calidad superior a alternativas comunes para legibilidad de código.</w:t>
      </w:r>
    </w:p>
    <w:p>
      <w:pPr>
        <w:spacing w:after="30" w:before="100"/>
      </w:pPr>
      <w:r>
        <w:rPr>
          <w:rFonts w:ascii="Calibri" w:cs="Calibri" w:eastAsia="Calibri" w:hAnsi="Calibri"/>
          <w:i/>
          <w:iCs/>
          <w:color w:val="808080"/>
          <w:sz w:val="18"/>
          <w:szCs w:val="18"/>
        </w:rPr>
        <w:t xml:space="preserve">Muestra (renderizada con Consolas a falta de JetBrains Mono local)</w:t>
      </w:r>
    </w:p>
    <w:p>
      <w:pPr>
        <w:spacing w:after="80"/>
      </w:pPr>
      <w:r>
        <w:rPr>
          <w:rFonts w:ascii="Consolas" w:cs="Consolas" w:eastAsia="Consolas" w:hAnsi="Consolas"/>
          <w:b w:val="false"/>
          <w:bCs w:val="false"/>
          <w:color w:val="1F3864"/>
          <w:sz w:val="32"/>
          <w:szCs w:val="32"/>
        </w:rPr>
        <w:t xml:space="preserve">const valor = 1F3864;  // azul institucional</w:t>
      </w:r>
    </w:p>
    <w:p>
      <w:pPr>
        <w:pStyle w:val="Heading2"/>
        <w:spacing w:after="160" w:before="280"/>
      </w:pPr>
      <w:r>
        <w:rPr>
          <w:rFonts w:ascii="Calibri" w:cs="Calibri" w:eastAsia="Calibri" w:hAnsi="Calibri"/>
          <w:b/>
          <w:bCs/>
          <w:color w:val="2E75B6"/>
          <w:sz w:val="28"/>
          <w:szCs w:val="28"/>
        </w:rPr>
        <w:t xml:space="preserve">7.4 Jerarquía tipográfica para piezas digitales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24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Nivel</w:t>
            </w:r>
          </w:p>
        </w:tc>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Tamaño</w:t>
            </w:r>
          </w:p>
        </w:tc>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Peso</w:t>
            </w:r>
          </w:p>
        </w:tc>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Color</w:t>
            </w:r>
          </w:p>
        </w:tc>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Uso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Display</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48 pt</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Bold</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Azul institucional</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Hero de landing, titulares de impacto.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H1</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32 pt</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Bold</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Azul institucional</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Título principal de página o sección.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H2</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24 pt</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Bold</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Azul intermedio</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Título de subsección.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H3</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20 pt</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Semibold</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Gris oscuro</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Encabezado dentro de subsección.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H4</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16 pt</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Semibold</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Azul institucional</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Encabezado interno.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Cuerpo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14 pt</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Regular</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Gris oscuro</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Texto principal de párrafos.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Cuerpo pequeño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12 pt</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Regular</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Gris texto</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Texto secundario, captions, pies de tabla.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Etiqueta</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11 pt</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Medium uppercase</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Azul institucional</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Etiquetas de campos, badges, navegación secundaria.</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7.5 Jerarquía para impresos</w:t>
      </w:r>
    </w:p>
    <w:p>
      <w:pPr>
        <w:spacing w:after="140" w:line="290"/>
        <w:jc w:val="both"/>
      </w:pPr>
      <w:r>
        <w:rPr>
          <w:rFonts w:ascii="Calibri" w:cs="Calibri" w:eastAsia="Calibri" w:hAnsi="Calibri"/>
          <w:sz w:val="22"/>
          <w:szCs w:val="22"/>
        </w:rPr>
        <w:t xml:space="preserve">En impresos los tamaños se reducen porque la lectura es más cercana y el dispositivo es estable. La jerarquía sigue las mismas proporciones relativas pero anclada a 11pt como cuerpo base en lugar de 14pt. Los títulos se ajustan proporcionalmente. La elección de cuerpo más reducido también reduce consumo de papel en documentos largos como manuales, contratos o reportes.</w:t>
      </w:r>
    </w:p>
    <w:p>
      <w:pPr>
        <w:pStyle w:val="Heading2"/>
        <w:spacing w:after="160" w:before="280"/>
      </w:pPr>
      <w:r>
        <w:rPr>
          <w:rFonts w:ascii="Calibri" w:cs="Calibri" w:eastAsia="Calibri" w:hAnsi="Calibri"/>
          <w:b/>
          <w:bCs/>
          <w:color w:val="2E75B6"/>
          <w:sz w:val="28"/>
          <w:szCs w:val="28"/>
        </w:rPr>
        <w:t xml:space="preserve">7.6 Reglas de uso tipográfico</w:t>
      </w:r>
    </w:p>
    <w:p>
      <w:pPr>
        <w:pStyle w:val="ListParagraph"/>
        <w:numPr>
          <w:ilvl w:val="0"/>
          <w:numId w:val="2"/>
        </w:numPr>
        <w:spacing w:after="60" w:line="270"/>
        <w:jc w:val="both"/>
      </w:pPr>
      <w:r>
        <w:rPr>
          <w:rFonts w:ascii="Calibri" w:cs="Calibri" w:eastAsia="Calibri" w:hAnsi="Calibri"/>
          <w:sz w:val="21"/>
          <w:szCs w:val="21"/>
        </w:rPr>
        <w:t xml:space="preserve">Una pieza usa una sola familia principal. La excepción es la combinación Inter (cuerpo) + Source Serif Pro (títulos especiales) en piezas formales muy específicas.</w:t>
      </w:r>
    </w:p>
    <w:p>
      <w:pPr>
        <w:pStyle w:val="ListParagraph"/>
        <w:numPr>
          <w:ilvl w:val="0"/>
          <w:numId w:val="2"/>
        </w:numPr>
        <w:spacing w:after="60" w:line="270"/>
        <w:jc w:val="both"/>
      </w:pPr>
      <w:r>
        <w:rPr>
          <w:rFonts w:ascii="Calibri" w:cs="Calibri" w:eastAsia="Calibri" w:hAnsi="Calibri"/>
          <w:sz w:val="21"/>
          <w:szCs w:val="21"/>
        </w:rPr>
        <w:t xml:space="preserve">Un párrafo no mezcla pesos arbitrariamente. La negrita se usa para énfasis genuino, no para decoración.</w:t>
      </w:r>
    </w:p>
    <w:p>
      <w:pPr>
        <w:pStyle w:val="ListParagraph"/>
        <w:numPr>
          <w:ilvl w:val="0"/>
          <w:numId w:val="2"/>
        </w:numPr>
        <w:spacing w:after="60" w:line="270"/>
        <w:jc w:val="both"/>
      </w:pPr>
      <w:r>
        <w:rPr>
          <w:rFonts w:ascii="Calibri" w:cs="Calibri" w:eastAsia="Calibri" w:hAnsi="Calibri"/>
          <w:sz w:val="21"/>
          <w:szCs w:val="21"/>
        </w:rPr>
        <w:t xml:space="preserve">La alineación predominante es izquierda en piezas de lectura larga (justificada solo en piezas tipo libro). Centrada solo para titulares específicos. Justificada con activación de hyphenation cuando se usa, para evitar ríos de espacios.</w:t>
      </w:r>
    </w:p>
    <w:p>
      <w:pPr>
        <w:pStyle w:val="ListParagraph"/>
        <w:numPr>
          <w:ilvl w:val="0"/>
          <w:numId w:val="2"/>
        </w:numPr>
        <w:spacing w:after="60" w:line="270"/>
        <w:jc w:val="both"/>
      </w:pPr>
      <w:r>
        <w:rPr>
          <w:rFonts w:ascii="Calibri" w:cs="Calibri" w:eastAsia="Calibri" w:hAnsi="Calibri"/>
          <w:sz w:val="21"/>
          <w:szCs w:val="21"/>
        </w:rPr>
        <w:t xml:space="preserve">El interlineado de cuerpo respeta 1.4 a 1.6 veces el tamaño de la fuente. Más cerrado dificulta la lectura, más abierto disocia el párrafo.</w:t>
      </w:r>
    </w:p>
    <w:p>
      <w:pPr>
        <w:pStyle w:val="ListParagraph"/>
        <w:numPr>
          <w:ilvl w:val="0"/>
          <w:numId w:val="2"/>
        </w:numPr>
        <w:spacing w:after="60" w:line="270"/>
        <w:jc w:val="both"/>
      </w:pPr>
      <w:r>
        <w:rPr>
          <w:rFonts w:ascii="Calibri" w:cs="Calibri" w:eastAsia="Calibri" w:hAnsi="Calibri"/>
          <w:sz w:val="21"/>
          <w:szCs w:val="21"/>
        </w:rPr>
        <w:t xml:space="preserve">La medida de columna ideal está entre 50 y 75 caracteres por línea. Líneas más anchas obligan a movimientos de ojo cansadores; más estrechas fragmentan.</w:t>
      </w:r>
    </w:p>
    <w:p>
      <w:pPr>
        <w:pStyle w:val="ListParagraph"/>
        <w:numPr>
          <w:ilvl w:val="0"/>
          <w:numId w:val="2"/>
        </w:numPr>
        <w:spacing w:after="60" w:line="270"/>
        <w:jc w:val="both"/>
      </w:pPr>
      <w:r>
        <w:rPr>
          <w:rFonts w:ascii="Calibri" w:cs="Calibri" w:eastAsia="Calibri" w:hAnsi="Calibri"/>
          <w:sz w:val="21"/>
          <w:szCs w:val="21"/>
        </w:rPr>
        <w:t xml:space="preserve">Los textos que se imprimirán en formularios donde el usuario completa a mano (contratos, autorizaciones) usan cuerpo no menor a 10pt para garantizar legibilidad sostenida.</w:t>
      </w:r>
    </w:p>
    <w:p>
      <w:pPr>
        <w:pStyle w:val="Heading2"/>
        <w:spacing w:after="160" w:before="280"/>
      </w:pPr>
      <w:r>
        <w:rPr>
          <w:rFonts w:ascii="Calibri" w:cs="Calibri" w:eastAsia="Calibri" w:hAnsi="Calibri"/>
          <w:b/>
          <w:bCs/>
          <w:color w:val="2E75B6"/>
          <w:sz w:val="28"/>
          <w:szCs w:val="28"/>
        </w:rPr>
        <w:t xml:space="preserve">7.7 Antipatrones tipográficos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single" w:color="BFBFBF" w:sz="6"/>
              <w:left w:val="single" w:color="BFBFBF" w:sz="6"/>
              <w:bottom w:val="single" w:color="BFBFBF" w:sz="6"/>
              <w:right w:val="single" w:color="BFBFBF" w:sz="6"/>
            </w:tcBorders>
            <w:shd w:fill="E2EFDA" w:color="auto" w:val="clear"/>
            <w:tcMar>
              <w:top w:type="dxa" w:w="120"/>
              <w:left w:type="dxa" w:w="200"/>
              <w:bottom w:type="dxa" w:w="120"/>
              <w:right w:type="dxa" w:w="200"/>
            </w:tcMar>
          </w:tcPr>
          <w:p>
            <w:pPr>
              <w:spacing w:after="60"/>
            </w:pPr>
            <w:r>
              <w:rPr>
                <w:rFonts w:ascii="Calibri" w:cs="Calibri" w:eastAsia="Calibri" w:hAnsi="Calibri"/>
                <w:b/>
                <w:bCs/>
                <w:color w:val="375623"/>
                <w:sz w:val="22"/>
                <w:szCs w:val="22"/>
              </w:rPr>
              <w:t xml:space="preserve">✓  HACER</w:t>
            </w:r>
          </w:p>
          <w:p>
            <w:pPr>
              <w:spacing w:after="0" w:line="280"/>
              <w:jc w:val="both"/>
            </w:pPr>
            <w:r>
              <w:rPr>
                <w:rFonts w:ascii="Calibri" w:cs="Calibri" w:eastAsia="Calibri" w:hAnsi="Calibri"/>
                <w:color w:val="375623"/>
                <w:sz w:val="20"/>
                <w:szCs w:val="20"/>
              </w:rPr>
              <w:t xml:space="preserve">Usar Inter como familia principal en cuerpo regular para texto largo, con jerarquía clara entre niveles, respetando interlineado generoso.</w:t>
            </w:r>
          </w:p>
        </w:tc>
        <w:tc>
          <w:tcPr>
            <w:tcW w:type="dxa" w:w="4650"/>
            <w:tcBorders>
              <w:top w:val="single" w:color="BFBFBF" w:sz="6"/>
              <w:left w:val="single" w:color="BFBFBF" w:sz="6"/>
              <w:bottom w:val="single" w:color="BFBFBF" w:sz="6"/>
              <w:right w:val="single" w:color="BFBFBF" w:sz="6"/>
            </w:tcBorders>
            <w:shd w:fill="FBE5D6" w:color="auto" w:val="clear"/>
            <w:tcMar>
              <w:top w:type="dxa" w:w="120"/>
              <w:left w:type="dxa" w:w="200"/>
              <w:bottom w:type="dxa" w:w="120"/>
              <w:right w:type="dxa" w:w="200"/>
            </w:tcMar>
          </w:tcPr>
          <w:p>
            <w:pPr>
              <w:spacing w:after="60"/>
            </w:pPr>
            <w:r>
              <w:rPr>
                <w:rFonts w:ascii="Calibri" w:cs="Calibri" w:eastAsia="Calibri" w:hAnsi="Calibri"/>
                <w:b/>
                <w:bCs/>
                <w:color w:val="974706"/>
                <w:sz w:val="22"/>
                <w:szCs w:val="22"/>
              </w:rPr>
              <w:t xml:space="preserve">✗  NO HACER</w:t>
            </w:r>
          </w:p>
          <w:p>
            <w:pPr>
              <w:spacing w:after="0" w:line="280"/>
              <w:jc w:val="both"/>
            </w:pPr>
            <w:r>
              <w:rPr>
                <w:rFonts w:ascii="Calibri" w:cs="Calibri" w:eastAsia="Calibri" w:hAnsi="Calibri"/>
                <w:color w:val="974706"/>
                <w:sz w:val="20"/>
                <w:szCs w:val="20"/>
              </w:rPr>
              <w:t xml:space="preserve">Mezclar tres o más familias tipográficas distintas en una pieza, abusar de la negrita para destacar palabras al azar, usar mayúsculas extensas para texto largo (cuerpos completos en mayúsculas son agresivos y difíciles de leer).</w:t>
            </w:r>
          </w:p>
        </w:tc>
      </w:tr>
    </w:tbl>
    <w:p>
      <w:pPr>
        <w:spacing w:after="140" w:line="290"/>
        <w:jc w:val="both"/>
      </w:pPr>
      <w:r>
        <w:rPr>
          <w:rFonts w:ascii="Calibri" w:cs="Calibri" w:eastAsia="Calibri" w:hAnsi="Calibri"/>
          <w:sz w:val="22"/>
          <w:szCs w:val="22"/>
        </w:rPr>
        <w:t xml:space="preserve"/>
      </w:r>
    </w:p>
    <w:p>
      <w:r>
        <w:br w:type="page"/>
      </w:r>
    </w:p>
    <w:p>
      <w:pPr>
        <w:pStyle w:val="Heading1"/>
        <w:spacing w:after="240" w:before="360"/>
      </w:pPr>
      <w:r>
        <w:rPr>
          <w:rFonts w:ascii="Calibri" w:cs="Calibri" w:eastAsia="Calibri" w:hAnsi="Calibri"/>
          <w:b/>
          <w:bCs/>
          <w:color w:val="1F3864"/>
          <w:sz w:val="36"/>
          <w:szCs w:val="36"/>
        </w:rPr>
        <w:t xml:space="preserve">8. Lenguaje visual</w:t>
      </w:r>
    </w:p>
    <w:p>
      <w:pPr>
        <w:spacing w:after="140" w:line="290"/>
        <w:jc w:val="both"/>
      </w:pPr>
      <w:r>
        <w:rPr>
          <w:rFonts w:ascii="Calibri" w:cs="Calibri" w:eastAsia="Calibri" w:hAnsi="Calibri"/>
          <w:sz w:val="22"/>
          <w:szCs w:val="22"/>
        </w:rPr>
        <w:t xml:space="preserve">Esta sección define cómo se ve la marca más allá del logo y la tipografía: qué iconografía se usa, qué tipo de ilustración se admite, qué fotografía es coherente con la voz del producto. El lenguaje visual es la suma de estas decisiones; lo que hace que dos piezas distintas se reconozcan como de la misma marca aunque no compartan ningún elemento literal.</w:t>
      </w:r>
    </w:p>
    <w:p>
      <w:pPr>
        <w:pStyle w:val="Heading2"/>
        <w:spacing w:after="160" w:before="280"/>
      </w:pPr>
      <w:r>
        <w:rPr>
          <w:rFonts w:ascii="Calibri" w:cs="Calibri" w:eastAsia="Calibri" w:hAnsi="Calibri"/>
          <w:b/>
          <w:bCs/>
          <w:color w:val="2E75B6"/>
          <w:sz w:val="28"/>
          <w:szCs w:val="28"/>
        </w:rPr>
        <w:t xml:space="preserve">8.1 Iconografía</w:t>
      </w:r>
    </w:p>
    <w:p>
      <w:pPr>
        <w:pStyle w:val="Heading3"/>
        <w:spacing w:after="120" w:before="220"/>
      </w:pPr>
      <w:r>
        <w:rPr>
          <w:rFonts w:ascii="Calibri" w:cs="Calibri" w:eastAsia="Calibri" w:hAnsi="Calibri"/>
          <w:b/>
          <w:bCs/>
          <w:color w:val="404040"/>
          <w:sz w:val="24"/>
          <w:szCs w:val="24"/>
        </w:rPr>
        <w:t xml:space="preserve">8.1.1 Sistema de íconos</w:t>
      </w:r>
    </w:p>
    <w:p>
      <w:pPr>
        <w:spacing w:after="140" w:line="290"/>
        <w:jc w:val="both"/>
      </w:pPr>
      <w:r>
        <w:rPr>
          <w:rFonts w:ascii="Calibri" w:cs="Calibri" w:eastAsia="Calibri" w:hAnsi="Calibri"/>
          <w:sz w:val="22"/>
          <w:szCs w:val="22"/>
        </w:rPr>
        <w:t xml:space="preserve">El producto y todas sus piezas adoptan Lucide Icons como sistema canónico de iconografía. La elección se justifica por tres razones: es una colección gratuita y de licencia ISC, mantiene coherencia estilística entre cientos de íconos cubriendo casi todos los conceptos relevantes, y tiene integración nativa con React (lucide-react) que el frontend ya usa. Cualquier ícono nuevo que la marca necesite y que no exista en Lucide debe diseñarse respetando el lenguaje del set: línea de 2px de grosor, esquinas levemente redondeadas, geometría limpia y no adornada.</w:t>
      </w:r>
    </w:p>
    <w:p>
      <w:pPr>
        <w:pStyle w:val="Heading3"/>
        <w:spacing w:after="120" w:before="220"/>
      </w:pPr>
      <w:r>
        <w:rPr>
          <w:rFonts w:ascii="Calibri" w:cs="Calibri" w:eastAsia="Calibri" w:hAnsi="Calibri"/>
          <w:b/>
          <w:bCs/>
          <w:color w:val="404040"/>
          <w:sz w:val="24"/>
          <w:szCs w:val="24"/>
        </w:rPr>
        <w:t xml:space="preserve">8.1.2 Tamaños y colores de íconos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Tamaño</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Pixeles</w:t>
            </w:r>
          </w:p>
        </w:tc>
        <w:tc>
          <w:tcPr>
            <w:tcW w:type="dxa" w:w="5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Uso típico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Inline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16 px</w:t>
            </w:r>
          </w:p>
        </w:tc>
        <w:tc>
          <w:tcPr>
            <w:tcW w:type="dxa" w:w="5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Dentro de párrafos de texto, junto a etiquetas, en navegación secundaria.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Estándar</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20 px</w:t>
            </w:r>
          </w:p>
        </w:tc>
        <w:tc>
          <w:tcPr>
            <w:tcW w:type="dxa" w:w="5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Botones, inputs con ícono, listas de acción.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Destacado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24 px</w:t>
            </w:r>
          </w:p>
        </w:tc>
        <w:tc>
          <w:tcPr>
            <w:tcW w:type="dxa" w:w="5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Encabezados de sección, llamadas a acción primarias.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Hero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48 px</w:t>
            </w:r>
          </w:p>
        </w:tc>
        <w:tc>
          <w:tcPr>
            <w:tcW w:type="dxa" w:w="5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Páginas vacías (empty states), ilustraciones decorativas.</w:t>
            </w:r>
          </w:p>
        </w:tc>
      </w:tr>
    </w:tbl>
    <w:p>
      <w:pPr>
        <w:spacing w:after="140" w:line="290"/>
        <w:jc w:val="both"/>
      </w:pPr>
      <w:r>
        <w:rPr>
          <w:rFonts w:ascii="Calibri" w:cs="Calibri" w:eastAsia="Calibri" w:hAnsi="Calibri"/>
          <w:sz w:val="22"/>
          <w:szCs w:val="22"/>
        </w:rPr>
        <w:t xml:space="preserve"/>
      </w:r>
    </w:p>
    <w:p>
      <w:pPr>
        <w:spacing w:after="140" w:line="290"/>
        <w:jc w:val="both"/>
      </w:pPr>
      <w:r>
        <w:rPr>
          <w:rFonts w:ascii="Calibri" w:cs="Calibri" w:eastAsia="Calibri" w:hAnsi="Calibri"/>
          <w:sz w:val="22"/>
          <w:szCs w:val="22"/>
        </w:rPr>
        <w:t xml:space="preserve">Los íconos respetan los colores de la paleta: el azul institucional para íconos primarios, el azul intermedio para secundarios, los colores funcionales (verde, amarillo, rojo) para íconos asociados a estado. El gris medio se usa para íconos deshabilitados o de baja prioridad. No se usan íconos en colores fuera de la paleta declarada.</w:t>
      </w:r>
    </w:p>
    <w:p>
      <w:pPr>
        <w:pStyle w:val="Heading2"/>
        <w:spacing w:after="160" w:before="280"/>
      </w:pPr>
      <w:r>
        <w:rPr>
          <w:rFonts w:ascii="Calibri" w:cs="Calibri" w:eastAsia="Calibri" w:hAnsi="Calibri"/>
          <w:b/>
          <w:bCs/>
          <w:color w:val="2E75B6"/>
          <w:sz w:val="28"/>
          <w:szCs w:val="28"/>
        </w:rPr>
        <w:t xml:space="preserve">8.2 Ilustración</w:t>
      </w:r>
    </w:p>
    <w:p>
      <w:pPr>
        <w:spacing w:after="140" w:line="290"/>
        <w:jc w:val="both"/>
      </w:pPr>
      <w:r>
        <w:rPr>
          <w:rFonts w:ascii="Calibri" w:cs="Calibri" w:eastAsia="Calibri" w:hAnsi="Calibri"/>
          <w:sz w:val="22"/>
          <w:szCs w:val="22"/>
        </w:rPr>
        <w:t xml:space="preserve">La ilustración es un recurso de marca que se usa medido pero no se elimina. La línea adoptada es ilustración geométrica sobria, evitando dos extremos: el dibujo sobreafectivo de personajes con expresiones desbordadas (común en SaaS B2C) y el corporativismo aséptico de figuras abstractas en degradados de colores neutros. La ilustración de deRuedas es figurativa cuando representa elementos del negocio (agencias, vehículos, comunicación con clientes) y abstracta solo cuando ilustra conceptos sin referente físico (procesos, datos, integraciones).</w:t>
      </w:r>
    </w:p>
    <w:p>
      <w:pPr>
        <w:pStyle w:val="Heading3"/>
        <w:spacing w:after="120" w:before="220"/>
      </w:pPr>
      <w:r>
        <w:rPr>
          <w:rFonts w:ascii="Calibri" w:cs="Calibri" w:eastAsia="Calibri" w:hAnsi="Calibri"/>
          <w:b/>
          <w:bCs/>
          <w:color w:val="404040"/>
          <w:sz w:val="24"/>
          <w:szCs w:val="24"/>
        </w:rPr>
        <w:t xml:space="preserve">8.2.1 Estilos admitidos</w:t>
      </w:r>
    </w:p>
    <w:p>
      <w:pPr>
        <w:pStyle w:val="ListParagraph"/>
        <w:numPr>
          <w:ilvl w:val="0"/>
          <w:numId w:val="2"/>
        </w:numPr>
        <w:spacing w:after="60" w:line="270"/>
        <w:jc w:val="both"/>
      </w:pPr>
      <w:r>
        <w:rPr>
          <w:rFonts w:ascii="Calibri" w:cs="Calibri" w:eastAsia="Calibri" w:hAnsi="Calibri"/>
          <w:sz w:val="21"/>
          <w:szCs w:val="21"/>
        </w:rPr>
        <w:t xml:space="preserve">Ilustración de línea con relleno plano: contornos en azul institucional, rellenos en azul intermedio, blanco y un tercer color de la paleta cuando aporta. Es el estilo principal.</w:t>
      </w:r>
    </w:p>
    <w:p>
      <w:pPr>
        <w:pStyle w:val="ListParagraph"/>
        <w:numPr>
          <w:ilvl w:val="0"/>
          <w:numId w:val="2"/>
        </w:numPr>
        <w:spacing w:after="60" w:line="270"/>
        <w:jc w:val="both"/>
      </w:pPr>
      <w:r>
        <w:rPr>
          <w:rFonts w:ascii="Calibri" w:cs="Calibri" w:eastAsia="Calibri" w:hAnsi="Calibri"/>
          <w:sz w:val="21"/>
          <w:szCs w:val="21"/>
        </w:rPr>
        <w:t xml:space="preserve">Ilustración isométrica para representaciones de procesos, dashboards, integraciones. Usa la misma paleta y la misma economía visual.</w:t>
      </w:r>
    </w:p>
    <w:p>
      <w:pPr>
        <w:pStyle w:val="ListParagraph"/>
        <w:numPr>
          <w:ilvl w:val="0"/>
          <w:numId w:val="2"/>
        </w:numPr>
        <w:spacing w:after="60" w:line="270"/>
        <w:jc w:val="both"/>
      </w:pPr>
      <w:r>
        <w:rPr>
          <w:rFonts w:ascii="Calibri" w:cs="Calibri" w:eastAsia="Calibri" w:hAnsi="Calibri"/>
          <w:sz w:val="21"/>
          <w:szCs w:val="21"/>
        </w:rPr>
        <w:t xml:space="preserve">Ilustración basada en formas (“blob”) para fondos decorativos discretos. Solo en hero sections con poca densidad de información, no en zonas de uso intensivo.</w:t>
      </w:r>
    </w:p>
    <w:p>
      <w:pPr>
        <w:pStyle w:val="Heading3"/>
        <w:spacing w:after="120" w:before="220"/>
      </w:pPr>
      <w:r>
        <w:rPr>
          <w:rFonts w:ascii="Calibri" w:cs="Calibri" w:eastAsia="Calibri" w:hAnsi="Calibri"/>
          <w:b/>
          <w:bCs/>
          <w:color w:val="404040"/>
          <w:sz w:val="24"/>
          <w:szCs w:val="24"/>
        </w:rPr>
        <w:t xml:space="preserve">8.2.2 Estilos no admitidos</w:t>
      </w:r>
    </w:p>
    <w:p>
      <w:pPr>
        <w:pStyle w:val="ListParagraph"/>
        <w:numPr>
          <w:ilvl w:val="0"/>
          <w:numId w:val="2"/>
        </w:numPr>
        <w:spacing w:after="60" w:line="270"/>
        <w:jc w:val="both"/>
      </w:pPr>
      <w:r>
        <w:rPr>
          <w:rFonts w:ascii="Calibri" w:cs="Calibri" w:eastAsia="Calibri" w:hAnsi="Calibri"/>
          <w:sz w:val="21"/>
          <w:szCs w:val="21"/>
        </w:rPr>
        <w:t xml:space="preserve">Ilustración hiperrealista o foto-realismo: fuera del lenguaje sobrio de la marca.</w:t>
      </w:r>
    </w:p>
    <w:p>
      <w:pPr>
        <w:pStyle w:val="ListParagraph"/>
        <w:numPr>
          <w:ilvl w:val="0"/>
          <w:numId w:val="2"/>
        </w:numPr>
        <w:spacing w:after="60" w:line="270"/>
        <w:jc w:val="both"/>
      </w:pPr>
      <w:r>
        <w:rPr>
          <w:rFonts w:ascii="Calibri" w:cs="Calibri" w:eastAsia="Calibri" w:hAnsi="Calibri"/>
          <w:sz w:val="21"/>
          <w:szCs w:val="21"/>
        </w:rPr>
        <w:t xml:space="preserve">Personajes humanos con rasgos exagerados o desproporcionados estilo “memoji”.</w:t>
      </w:r>
    </w:p>
    <w:p>
      <w:pPr>
        <w:pStyle w:val="ListParagraph"/>
        <w:numPr>
          <w:ilvl w:val="0"/>
          <w:numId w:val="2"/>
        </w:numPr>
        <w:spacing w:after="60" w:line="270"/>
        <w:jc w:val="both"/>
      </w:pPr>
      <w:r>
        <w:rPr>
          <w:rFonts w:ascii="Calibri" w:cs="Calibri" w:eastAsia="Calibri" w:hAnsi="Calibri"/>
          <w:sz w:val="21"/>
          <w:szCs w:val="21"/>
        </w:rPr>
        <w:t xml:space="preserve">Ilustración con efectos 3D pesados, sombreado complejo o renders fotorealistas.</w:t>
      </w:r>
    </w:p>
    <w:p>
      <w:pPr>
        <w:pStyle w:val="ListParagraph"/>
        <w:numPr>
          <w:ilvl w:val="0"/>
          <w:numId w:val="2"/>
        </w:numPr>
        <w:spacing w:after="60" w:line="270"/>
        <w:jc w:val="both"/>
      </w:pPr>
      <w:r>
        <w:rPr>
          <w:rFonts w:ascii="Calibri" w:cs="Calibri" w:eastAsia="Calibri" w:hAnsi="Calibri"/>
          <w:sz w:val="21"/>
          <w:szCs w:val="21"/>
        </w:rPr>
        <w:t xml:space="preserve">Ilustración con paleta cálida desbordada (rosas, amarillos brillantes, anaranjados saturados) que rompa con el azul institucional.</w:t>
      </w:r>
    </w:p>
    <w:p>
      <w:pPr>
        <w:pStyle w:val="Heading2"/>
        <w:spacing w:after="160" w:before="280"/>
      </w:pPr>
      <w:r>
        <w:rPr>
          <w:rFonts w:ascii="Calibri" w:cs="Calibri" w:eastAsia="Calibri" w:hAnsi="Calibri"/>
          <w:b/>
          <w:bCs/>
          <w:color w:val="2E75B6"/>
          <w:sz w:val="28"/>
          <w:szCs w:val="28"/>
        </w:rPr>
        <w:t xml:space="preserve">8.3 Fotografía</w:t>
      </w:r>
    </w:p>
    <w:p>
      <w:pPr>
        <w:spacing w:after="140" w:line="290"/>
        <w:jc w:val="both"/>
      </w:pPr>
      <w:r>
        <w:rPr>
          <w:rFonts w:ascii="Calibri" w:cs="Calibri" w:eastAsia="Calibri" w:hAnsi="Calibri"/>
          <w:sz w:val="22"/>
          <w:szCs w:val="22"/>
        </w:rPr>
        <w:t xml:space="preserve">Cuando una pieza requiere fotografía —página comercial con imágenes ambiente de agencias, social posts con fotos de eventos, materiales de prensa— la línea adoptada es fotografía documental cálida: imágenes que se sienten reales, no de stock evidente, con personas reales en contextos reconocibles del sector.</w:t>
      </w:r>
    </w:p>
    <w:p>
      <w:pPr>
        <w:pStyle w:val="Heading3"/>
        <w:spacing w:after="120" w:before="220"/>
      </w:pPr>
      <w:r>
        <w:rPr>
          <w:rFonts w:ascii="Calibri" w:cs="Calibri" w:eastAsia="Calibri" w:hAnsi="Calibri"/>
          <w:b/>
          <w:bCs/>
          <w:color w:val="404040"/>
          <w:sz w:val="24"/>
          <w:szCs w:val="24"/>
        </w:rPr>
        <w:t xml:space="preserve">8.3.1 Criterios de selección</w:t>
      </w:r>
    </w:p>
    <w:p>
      <w:pPr>
        <w:pStyle w:val="ListParagraph"/>
        <w:numPr>
          <w:ilvl w:val="0"/>
          <w:numId w:val="2"/>
        </w:numPr>
        <w:spacing w:after="60" w:line="270"/>
        <w:jc w:val="both"/>
      </w:pPr>
      <w:r>
        <w:rPr>
          <w:rFonts w:ascii="Calibri" w:cs="Calibri" w:eastAsia="Calibri" w:hAnsi="Calibri"/>
          <w:sz w:val="21"/>
          <w:szCs w:val="21"/>
        </w:rPr>
        <w:t xml:space="preserve">Fotografía con personas reales antes que stock genérico. La fotografía de stock detectable como tal erosiona la sensación de cercanía.</w:t>
      </w:r>
    </w:p>
    <w:p>
      <w:pPr>
        <w:pStyle w:val="ListParagraph"/>
        <w:numPr>
          <w:ilvl w:val="0"/>
          <w:numId w:val="2"/>
        </w:numPr>
        <w:spacing w:after="60" w:line="270"/>
        <w:jc w:val="both"/>
      </w:pPr>
      <w:r>
        <w:rPr>
          <w:rFonts w:ascii="Calibri" w:cs="Calibri" w:eastAsia="Calibri" w:hAnsi="Calibri"/>
          <w:sz w:val="21"/>
          <w:szCs w:val="21"/>
        </w:rPr>
        <w:t xml:space="preserve">Contextos argentinos antes que ambientes neutros. Una agencia argentina se reconoce: el cartel, el tipo de auto, el clima de la luz, la indumentaria.</w:t>
      </w:r>
    </w:p>
    <w:p>
      <w:pPr>
        <w:pStyle w:val="ListParagraph"/>
        <w:numPr>
          <w:ilvl w:val="0"/>
          <w:numId w:val="2"/>
        </w:numPr>
        <w:spacing w:after="60" w:line="270"/>
        <w:jc w:val="both"/>
      </w:pPr>
      <w:r>
        <w:rPr>
          <w:rFonts w:ascii="Calibri" w:cs="Calibri" w:eastAsia="Calibri" w:hAnsi="Calibri"/>
          <w:sz w:val="21"/>
          <w:szCs w:val="21"/>
        </w:rPr>
        <w:t xml:space="preserve">Diversidad real: edades, géneros, contexturas variadas. La diversidad performativa con cuotas literales se nota; la diversidad genuina viene de elegir fotos en eventos reales.</w:t>
      </w:r>
    </w:p>
    <w:p>
      <w:pPr>
        <w:pStyle w:val="ListParagraph"/>
        <w:numPr>
          <w:ilvl w:val="0"/>
          <w:numId w:val="2"/>
        </w:numPr>
        <w:spacing w:after="60" w:line="270"/>
        <w:jc w:val="both"/>
      </w:pPr>
      <w:r>
        <w:rPr>
          <w:rFonts w:ascii="Calibri" w:cs="Calibri" w:eastAsia="Calibri" w:hAnsi="Calibri"/>
          <w:sz w:val="21"/>
          <w:szCs w:val="21"/>
        </w:rPr>
        <w:t xml:space="preserve">Iluminación natural antes que estudio. La fotografía de estudio funciona en piezas premium específicas; en mayoría es preferible la luz ambiente que se siente real.</w:t>
      </w:r>
    </w:p>
    <w:p>
      <w:pPr>
        <w:pStyle w:val="Heading3"/>
        <w:spacing w:after="120" w:before="220"/>
      </w:pPr>
      <w:r>
        <w:rPr>
          <w:rFonts w:ascii="Calibri" w:cs="Calibri" w:eastAsia="Calibri" w:hAnsi="Calibri"/>
          <w:b/>
          <w:bCs/>
          <w:color w:val="404040"/>
          <w:sz w:val="24"/>
          <w:szCs w:val="24"/>
        </w:rPr>
        <w:t xml:space="preserve">8.3.2 Criterios de exclusión</w:t>
      </w:r>
    </w:p>
    <w:p>
      <w:pPr>
        <w:pStyle w:val="ListParagraph"/>
        <w:numPr>
          <w:ilvl w:val="0"/>
          <w:numId w:val="2"/>
        </w:numPr>
        <w:spacing w:after="60" w:line="270"/>
        <w:jc w:val="both"/>
      </w:pPr>
      <w:r>
        <w:rPr>
          <w:rFonts w:ascii="Calibri" w:cs="Calibri" w:eastAsia="Calibri" w:hAnsi="Calibri"/>
          <w:sz w:val="21"/>
          <w:szCs w:val="21"/>
        </w:rPr>
        <w:t xml:space="preserve">Stock fotográfico fácilmente reconocible (modelos profesionales sonriendo a cámara, grupos perfectos en oficinas vidriadas).</w:t>
      </w:r>
    </w:p>
    <w:p>
      <w:pPr>
        <w:pStyle w:val="ListParagraph"/>
        <w:numPr>
          <w:ilvl w:val="0"/>
          <w:numId w:val="2"/>
        </w:numPr>
        <w:spacing w:after="60" w:line="270"/>
        <w:jc w:val="both"/>
      </w:pPr>
      <w:r>
        <w:rPr>
          <w:rFonts w:ascii="Calibri" w:cs="Calibri" w:eastAsia="Calibri" w:hAnsi="Calibri"/>
          <w:sz w:val="21"/>
          <w:szCs w:val="21"/>
        </w:rPr>
        <w:t xml:space="preserve">Imágenes con marcas de terceros visibles que no fueron autorizadas (logos de marcas de auto en primer plano, logos de competidores).</w:t>
      </w:r>
    </w:p>
    <w:p>
      <w:pPr>
        <w:pStyle w:val="ListParagraph"/>
        <w:numPr>
          <w:ilvl w:val="0"/>
          <w:numId w:val="2"/>
        </w:numPr>
        <w:spacing w:after="60" w:line="270"/>
        <w:jc w:val="both"/>
      </w:pPr>
      <w:r>
        <w:rPr>
          <w:rFonts w:ascii="Calibri" w:cs="Calibri" w:eastAsia="Calibri" w:hAnsi="Calibri"/>
          <w:sz w:val="21"/>
          <w:szCs w:val="21"/>
        </w:rPr>
        <w:t xml:space="preserve">Fotografía con licencia ambigua. Toda imagen usada tiene licencia documentada y trazable.</w:t>
      </w:r>
    </w:p>
    <w:p>
      <w:pPr>
        <w:pStyle w:val="ListParagraph"/>
        <w:numPr>
          <w:ilvl w:val="0"/>
          <w:numId w:val="2"/>
        </w:numPr>
        <w:spacing w:after="60" w:line="270"/>
        <w:jc w:val="both"/>
      </w:pPr>
      <w:r>
        <w:rPr>
          <w:rFonts w:ascii="Calibri" w:cs="Calibri" w:eastAsia="Calibri" w:hAnsi="Calibri"/>
          <w:sz w:val="21"/>
          <w:szCs w:val="21"/>
        </w:rPr>
        <w:t xml:space="preserve">Imágenes con personas identificables que no firmaron release. Los empleados de una agencia que aparecen en una foto deben haber consentido al uso comercial específico.</w:t>
      </w:r>
    </w:p>
    <w:p>
      <w:pPr>
        <w:pStyle w:val="Heading2"/>
        <w:spacing w:after="160" w:before="280"/>
      </w:pPr>
      <w:r>
        <w:rPr>
          <w:rFonts w:ascii="Calibri" w:cs="Calibri" w:eastAsia="Calibri" w:hAnsi="Calibri"/>
          <w:b/>
          <w:bCs/>
          <w:color w:val="2E75B6"/>
          <w:sz w:val="28"/>
          <w:szCs w:val="28"/>
        </w:rPr>
        <w:t xml:space="preserve">8.4 Tratamiento de imágenes</w:t>
      </w:r>
    </w:p>
    <w:p>
      <w:pPr>
        <w:spacing w:after="140" w:line="290"/>
        <w:jc w:val="both"/>
      </w:pPr>
      <w:r>
        <w:rPr>
          <w:rFonts w:ascii="Calibri" w:cs="Calibri" w:eastAsia="Calibri" w:hAnsi="Calibri"/>
          <w:sz w:val="22"/>
          <w:szCs w:val="22"/>
        </w:rPr>
        <w:t xml:space="preserve">Las imágenes que se usan en la marca pueden requerir tratamiento mínimo para integrarse al lenguaje visual. El tratamiento canónico es el siguiente: leve corrección de exposición y blancos para neutralizar tonos muy cálidos o muy fríos; saturación ligeramente reducida (-10 a -20% respecto al original) para evitar la sensación de “stock retocado”; contraste levemente aumentado para destacar el sujeto sin caer en HDR. Cualquier filtro estilizado (blanco y negro saturado, viñeteado fuerte, tonos vintage) requiere justificación específica de la pieza.</w:t>
      </w:r>
    </w:p>
    <w:p>
      <w:pPr>
        <w:pStyle w:val="Heading2"/>
        <w:spacing w:after="160" w:before="280"/>
      </w:pPr>
      <w:r>
        <w:rPr>
          <w:rFonts w:ascii="Calibri" w:cs="Calibri" w:eastAsia="Calibri" w:hAnsi="Calibri"/>
          <w:b/>
          <w:bCs/>
          <w:color w:val="2E75B6"/>
          <w:sz w:val="28"/>
          <w:szCs w:val="28"/>
        </w:rPr>
        <w:t xml:space="preserve">8.5 Composición y espacio</w:t>
      </w:r>
    </w:p>
    <w:p>
      <w:pPr>
        <w:spacing w:after="140" w:line="290"/>
        <w:jc w:val="both"/>
      </w:pPr>
      <w:r>
        <w:rPr>
          <w:rFonts w:ascii="Calibri" w:cs="Calibri" w:eastAsia="Calibri" w:hAnsi="Calibri"/>
          <w:sz w:val="22"/>
          <w:szCs w:val="22"/>
        </w:rPr>
        <w:t xml:space="preserve">Las piezas de la marca se componen con generosidad de espacio. La regla operativa es que cada elemento principal tiene espacio respirable alrededor: las imágenes no se cortan al ras del borde de la página salvo en piezas específicamente diseñadas como full-bleed; los títulos no se aprietan contra otros elementos; los párrafos respetan medidas legibles. La densidad excesiva comunica avaricia y prisa, dos atributos que la marca no busca proyectar.</w:t>
      </w:r>
    </w:p>
    <w:p>
      <w:pPr>
        <w:shd w:fill="DEEAF6" w:color="auto" w:val="clear"/>
        <w:spacing w:after="120" w:before="120" w:line="280"/>
        <w:jc w:val="both"/>
      </w:pPr>
      <w:r>
        <w:rPr>
          <w:rFonts w:ascii="Calibri" w:cs="Calibri" w:eastAsia="Calibri" w:hAnsi="Calibri"/>
          <w:b/>
          <w:bCs/>
          <w:color w:val="1F3864"/>
          <w:sz w:val="21"/>
          <w:szCs w:val="21"/>
        </w:rPr>
        <w:t xml:space="preserve">Test rápido de composición: </w:t>
      </w:r>
      <w:r>
        <w:rPr>
          <w:rFonts w:ascii="Calibri" w:cs="Calibri" w:eastAsia="Calibri" w:hAnsi="Calibri"/>
          <w:color w:val="1F3864"/>
          <w:sz w:val="21"/>
          <w:szCs w:val="21"/>
        </w:rPr>
        <w:t xml:space="preserve">Antes de aprobar una pieza, conviene preguntarse: ¿el ojo del lector tiene zonas de descanso o está saturado? Si la respuesta es lo segundo, la pieza necesita aire.</w:t>
      </w:r>
    </w:p>
    <w:p>
      <w:pPr>
        <w:pStyle w:val="Heading1"/>
        <w:spacing w:after="240" w:before="360"/>
      </w:pPr>
      <w:r>
        <w:rPr>
          <w:rFonts w:ascii="Calibri" w:cs="Calibri" w:eastAsia="Calibri" w:hAnsi="Calibri"/>
          <w:b/>
          <w:bCs/>
          <w:color w:val="1F3864"/>
          <w:sz w:val="36"/>
          <w:szCs w:val="36"/>
        </w:rPr>
        <w:t xml:space="preserve">9. Lineamientos de aplicación por soporte</w:t>
      </w:r>
    </w:p>
    <w:p>
      <w:pPr>
        <w:spacing w:after="140" w:line="290"/>
        <w:jc w:val="both"/>
      </w:pPr>
      <w:r>
        <w:rPr>
          <w:rFonts w:ascii="Calibri" w:cs="Calibri" w:eastAsia="Calibri" w:hAnsi="Calibri"/>
          <w:sz w:val="22"/>
          <w:szCs w:val="22"/>
        </w:rPr>
        <w:t xml:space="preserve">Esta sección consolida las decisiones específicas para cada soporte donde la marca aparece. La idea es que cualquier persona que produzca una pieza específica encuentre acá el resumen operativo de qué hacer y qué evitar para ese contexto particular.</w:t>
      </w:r>
    </w:p>
    <w:p>
      <w:pPr>
        <w:pStyle w:val="Heading2"/>
        <w:spacing w:after="160" w:before="280"/>
      </w:pPr>
      <w:r>
        <w:rPr>
          <w:rFonts w:ascii="Calibri" w:cs="Calibri" w:eastAsia="Calibri" w:hAnsi="Calibri"/>
          <w:b/>
          <w:bCs/>
          <w:color w:val="2E75B6"/>
          <w:sz w:val="28"/>
          <w:szCs w:val="28"/>
        </w:rPr>
        <w:t xml:space="preserve">9.1 La aplicación deRuedas Gestión (producto)</w:t>
      </w:r>
    </w:p>
    <w:p>
      <w:pPr>
        <w:spacing w:after="140" w:line="290"/>
        <w:jc w:val="both"/>
      </w:pPr>
      <w:r>
        <w:rPr>
          <w:rFonts w:ascii="Calibri" w:cs="Calibri" w:eastAsia="Calibri" w:hAnsi="Calibri"/>
          <w:sz w:val="22"/>
          <w:szCs w:val="22"/>
        </w:rPr>
        <w:t xml:space="preserve">La aplicación es el contacto cotidiano del usuario con la marca, lo que la convierte en el soporte de mayor exposición. La identidad se manifiesta de manera contenida: el azul institucional aparece en navegación principal, headers, llamados a acción primarios y elementos de marca, pero la mayor parte de la superficie es neutra (blanco y grises) para no fatigar visualmente al usuario que pasa horas usando el producto.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Elemento</w:t>
            </w:r>
          </w:p>
        </w:tc>
        <w:tc>
          <w:tcPr>
            <w:tcW w:type="dxa" w:w="6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Tratamiento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Top bar / navegación principal</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Fondo blanco. Logo a la izquierda, navegación contextual al centro, perfil del usuario a la derecha. Borde inferior gris medio sutil.</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Sidebar de navegación</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Fondo gris claro. Ítems en gris oscuro; ítem activo con fondo azul institucional y texto blanco.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Botones primarios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Fondo azul institucional, texto blanco, esquinas levemente redondeadas (4 a 6px).</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Botones secundarios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Borde azul institucional, texto azul institucional, fondo blanco.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Botones destructivos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Fondo rojo crítico, texto blanco. Confirmación obligatoria mediante modal antes de la acción.</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Mensajes de éxito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Fondo verde claro derivado del verde éxito, ícono de check, texto verde éxito.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Mensajes de error</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Fondo rojo claro derivado del rojo crítico, ícono de alerta, texto rojo crítico, sugerencia de acción cuando es posible.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Estados vacíos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Ilustración isométrica del set de marca, texto explicativo, llamado a acción si corresponde.</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9.2 Web institucional y comercial</w:t>
      </w:r>
    </w:p>
    <w:p>
      <w:pPr>
        <w:spacing w:after="140" w:line="290"/>
        <w:jc w:val="both"/>
      </w:pPr>
      <w:r>
        <w:rPr>
          <w:rFonts w:ascii="Calibri" w:cs="Calibri" w:eastAsia="Calibri" w:hAnsi="Calibri"/>
          <w:sz w:val="22"/>
          <w:szCs w:val="22"/>
        </w:rPr>
        <w:t xml:space="preserve">La página comercial de deRuedas tiene mayor libertad expresiva que el producto. Aquí la marca puede usar más espacio, más fotografía ambiente, hero sections más ambiciosos. La estructura recomendada para landing principal sigue el patrón clásico: hero con propuesta de valor en una oración + CTA primario; sección de problema/solución con copy específico del sector; demos visuales del producto en uso (capturas o video); testimonios cuando estén disponibles; pricing claro y sin trucos; footer con información legal completa, links a documentos públicos (privacidad, términos, subprocessors, página de seguridad), datos de contacto.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Elemento</w:t>
            </w:r>
          </w:p>
        </w:tc>
        <w:tc>
          <w:tcPr>
            <w:tcW w:type="dxa" w:w="6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Tratamiento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Hero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Título en Display 48pt azul institucional. Subtítulo en cuerpo 18pt gris oscuro. CTA en botón primario grande. Imagen ambiente o ilustración isométrica a la derecha.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Secciones intermedias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Patrón alternado: una sección con fondo blanco y texto a la izquierda + visual a la derecha, siguiente sección con fondo gris claro y orden invertido. Este alternado ordena la lectura.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Pricing</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Tabla de planes con columna destacada (típicamente Pro). Sin asteriscos chicos con condiciones ocultas: lo que se ve es lo que se paga. Comparación clara entre planes.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Footer</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Fondo azul institucional, texto blanco. Estructura clara: logo + tagline a la izquierda; columnas con producto, empresa, recursos, legales; copyright y datos de contacto al pie.</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9.3 Email</w:t>
      </w:r>
    </w:p>
    <w:p>
      <w:pPr>
        <w:pStyle w:val="Heading3"/>
        <w:spacing w:after="120" w:before="220"/>
      </w:pPr>
      <w:r>
        <w:rPr>
          <w:rFonts w:ascii="Calibri" w:cs="Calibri" w:eastAsia="Calibri" w:hAnsi="Calibri"/>
          <w:b/>
          <w:bCs/>
          <w:color w:val="404040"/>
          <w:sz w:val="24"/>
          <w:szCs w:val="24"/>
        </w:rPr>
        <w:t xml:space="preserve">9.3.1 Email transaccional</w:t>
      </w:r>
    </w:p>
    <w:p>
      <w:pPr>
        <w:spacing w:after="140" w:line="290"/>
        <w:jc w:val="both"/>
      </w:pPr>
      <w:r>
        <w:rPr>
          <w:rFonts w:ascii="Calibri" w:cs="Calibri" w:eastAsia="Calibri" w:hAnsi="Calibri"/>
          <w:sz w:val="22"/>
          <w:szCs w:val="22"/>
        </w:rPr>
        <w:t xml:space="preserve">Los emails que el sistema envía automáticamente —confirmación de alta, recuperación de password, notificación de actividad, alerta de incidente— siguen plantilla minimalista. Header con logo en azul institucional sobre fondo blanco; cuerpo con tipografía de sistema (porque el cliente de email del usuario puede no soportar fuentes custom); CTA en botón primario cuando es necesario; footer con link a configuración de notificaciones y datos legales obligatorios.</w:t>
      </w:r>
    </w:p>
    <w:p>
      <w:pPr>
        <w:shd w:fill="F2F2F2" w:color="auto" w:val="clear"/>
        <w:spacing w:after="0" w:line="240"/>
      </w:pPr>
      <w:r>
        <w:rPr>
          <w:rFonts w:ascii="Consolas" w:cs="Consolas" w:eastAsia="Consolas" w:hAnsi="Consolas"/>
          <w:color w:val="1F3864"/>
          <w:sz w:val="18"/>
          <w:szCs w:val="18"/>
        </w:rPr>
        <w:t xml:space="preserve">┌─────────────────────────────────────────┐</w:t>
      </w:r>
    </w:p>
    <w:p>
      <w:pPr>
        <w:shd w:fill="F2F2F2" w:color="auto" w:val="clear"/>
        <w:spacing w:after="0" w:line="240"/>
      </w:pPr>
      <w:r>
        <w:rPr>
          <w:rFonts w:ascii="Consolas" w:cs="Consolas" w:eastAsia="Consolas" w:hAnsi="Consolas"/>
          <w:color w:val="1F3864"/>
          <w:sz w:val="18"/>
          <w:szCs w:val="18"/>
        </w:rPr>
        <w:t xml:space="preserve">│   [logo deRuedas]                       │</w:t>
      </w:r>
    </w:p>
    <w:p>
      <w:pPr>
        <w:shd w:fill="F2F2F2" w:color="auto" w:val="clear"/>
        <w:spacing w:after="0" w:line="240"/>
      </w:pPr>
      <w:r>
        <w:rPr>
          <w:rFonts w:ascii="Consolas" w:cs="Consolas" w:eastAsia="Consolas" w:hAnsi="Consolas"/>
          <w:color w:val="1F3864"/>
          <w:sz w:val="18"/>
          <w:szCs w:val="18"/>
        </w:rPr>
        <w:t xml:space="preserv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Hola Mariana,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[cuerpo del mensaje, conciso]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[Acción]  ←  CTA azul institucional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Si tenés dudas, escribinos a          │</w:t>
      </w:r>
    </w:p>
    <w:p>
      <w:pPr>
        <w:shd w:fill="F2F2F2" w:color="auto" w:val="clear"/>
        <w:spacing w:after="0" w:line="240"/>
      </w:pPr>
      <w:r>
        <w:rPr>
          <w:rFonts w:ascii="Consolas" w:cs="Consolas" w:eastAsia="Consolas" w:hAnsi="Consolas"/>
          <w:color w:val="1F3864"/>
          <w:sz w:val="18"/>
          <w:szCs w:val="18"/>
        </w:rPr>
        <w:t xml:space="preserve">│   soporte@deruedas.com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El equipo de deRuedas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w:t>
      </w:r>
    </w:p>
    <w:p>
      <w:pPr>
        <w:shd w:fill="F2F2F2" w:color="auto" w:val="clear"/>
        <w:spacing w:after="0" w:line="240"/>
      </w:pPr>
      <w:r>
        <w:rPr>
          <w:rFonts w:ascii="Consolas" w:cs="Consolas" w:eastAsia="Consolas" w:hAnsi="Consolas"/>
          <w:color w:val="1F3864"/>
          <w:sz w:val="18"/>
          <w:szCs w:val="18"/>
        </w:rPr>
        <w:t xml:space="preserve">│   [logo chico]                          │</w:t>
      </w:r>
    </w:p>
    <w:p>
      <w:pPr>
        <w:shd w:fill="F2F2F2" w:color="auto" w:val="clear"/>
        <w:spacing w:after="0" w:line="240"/>
      </w:pPr>
      <w:r>
        <w:rPr>
          <w:rFonts w:ascii="Consolas" w:cs="Consolas" w:eastAsia="Consolas" w:hAnsi="Consolas"/>
          <w:color w:val="1F3864"/>
          <w:sz w:val="18"/>
          <w:szCs w:val="18"/>
        </w:rPr>
        <w:t xml:space="preserve">│   deRuedas Gestión SaaS                 │</w:t>
      </w:r>
    </w:p>
    <w:p>
      <w:pPr>
        <w:shd w:fill="F2F2F2" w:color="auto" w:val="clear"/>
        <w:spacing w:after="0" w:line="240"/>
      </w:pPr>
      <w:r>
        <w:rPr>
          <w:rFonts w:ascii="Consolas" w:cs="Consolas" w:eastAsia="Consolas" w:hAnsi="Consolas"/>
          <w:color w:val="1F3864"/>
          <w:sz w:val="18"/>
          <w:szCs w:val="18"/>
        </w:rPr>
        <w:t xml:space="preserve">│   [Configurar notificaciones]           │</w:t>
      </w:r>
    </w:p>
    <w:p>
      <w:pPr>
        <w:shd w:fill="F2F2F2" w:color="auto" w:val="clear"/>
        <w:spacing w:after="0" w:line="240"/>
      </w:pPr>
      <w:r>
        <w:rPr>
          <w:rFonts w:ascii="Consolas" w:cs="Consolas" w:eastAsia="Consolas" w:hAnsi="Consolas"/>
          <w:color w:val="1F3864"/>
          <w:sz w:val="18"/>
          <w:szCs w:val="18"/>
        </w:rPr>
        <w:t xml:space="preserve">│   [Política de privacidad] [Términos]   │</w:t>
      </w:r>
    </w:p>
    <w:p>
      <w:pPr>
        <w:shd w:fill="F2F2F2" w:color="auto" w:val="clear"/>
        <w:spacing w:after="0" w:line="240"/>
      </w:pPr>
      <w:r>
        <w:rPr>
          <w:rFonts w:ascii="Consolas" w:cs="Consolas" w:eastAsia="Consolas" w:hAnsi="Consolas"/>
          <w:color w:val="1F3864"/>
          <w:sz w:val="18"/>
          <w:szCs w:val="18"/>
        </w:rPr>
        <w:t xml:space="preserve">└─────────────────────────────────────────┘</w:t>
      </w:r>
    </w:p>
    <w:p>
      <w:pPr>
        <w:spacing w:after="120"/>
      </w:pPr>
      <w:r>
        <w:t xml:space="preserve"/>
      </w:r>
    </w:p>
    <w:p>
      <w:pPr>
        <w:pStyle w:val="Heading3"/>
        <w:spacing w:after="120" w:before="220"/>
      </w:pPr>
      <w:r>
        <w:rPr>
          <w:rFonts w:ascii="Calibri" w:cs="Calibri" w:eastAsia="Calibri" w:hAnsi="Calibri"/>
          <w:b/>
          <w:bCs/>
          <w:color w:val="404040"/>
          <w:sz w:val="24"/>
          <w:szCs w:val="24"/>
        </w:rPr>
        <w:t xml:space="preserve">9.3.2 Email comercial</w:t>
      </w:r>
    </w:p>
    <w:p>
      <w:pPr>
        <w:spacing w:after="140" w:line="290"/>
        <w:jc w:val="both"/>
      </w:pPr>
      <w:r>
        <w:rPr>
          <w:rFonts w:ascii="Calibri" w:cs="Calibri" w:eastAsia="Calibri" w:hAnsi="Calibri"/>
          <w:sz w:val="22"/>
          <w:szCs w:val="22"/>
        </w:rPr>
        <w:t xml:space="preserve">Los emails comerciales —newsletter, anuncios de producto, invitación a webinars— admiten más libertad gráfica pero respetan los lineamientos de marca. La regla es que el contenido del email se entiende sin imágenes (los clientes de email a veces bloquean imágenes por default); las imágenes refuerzan pero no son indispensables.</w:t>
      </w:r>
    </w:p>
    <w:p>
      <w:pPr>
        <w:pStyle w:val="Heading2"/>
        <w:spacing w:after="160" w:before="280"/>
      </w:pPr>
      <w:r>
        <w:rPr>
          <w:rFonts w:ascii="Calibri" w:cs="Calibri" w:eastAsia="Calibri" w:hAnsi="Calibri"/>
          <w:b/>
          <w:bCs/>
          <w:color w:val="2E75B6"/>
          <w:sz w:val="28"/>
          <w:szCs w:val="28"/>
        </w:rPr>
        <w:t xml:space="preserve">9.4 Redes sociales profesionales</w:t>
      </w:r>
    </w:p>
    <w:p>
      <w:pPr>
        <w:spacing w:after="140" w:line="290"/>
        <w:jc w:val="both"/>
      </w:pPr>
      <w:r>
        <w:rPr>
          <w:rFonts w:ascii="Calibri" w:cs="Calibri" w:eastAsia="Calibri" w:hAnsi="Calibri"/>
          <w:sz w:val="22"/>
          <w:szCs w:val="22"/>
        </w:rPr>
        <w:t xml:space="preserve">Las redes donde la marca tiene presencia regular son LinkedIn (audiencia de gerentes y dueños de agencia), Instagram (más visual, alcance complementario) y eventualmente YouTube (para video tutoriales y casos de éxito). El tono es coherente con el resto: específico del sector, cercano, profesional sin pretensiones. Se evitan: hashtags excesivos, lenguaje de “crecimiento personal”, frases motivacionales genéricas.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 de pieza</w:t>
            </w:r>
          </w:p>
        </w:tc>
        <w:tc>
          <w:tcPr>
            <w:tcW w:type="dxa" w:w="6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Tratamiento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Avatar de perfil</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Solo isotipo en azul institucional sobre blanco, o en blanco sobre azul institucional.</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Cover / banner</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Composición horizontal con tagline + ilustración isométrica del set de marca.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Posts informativos (datos del sector, lecciones aprendidas)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Plantilla con título + cuerpo breve, fondo claro o azul institucional según jerarquía. Sin emojis decorativos.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Posts de producto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Captura del producto (en mockup de laptop o celular) acompañada de copy específico que destaque un beneficio concreto.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Casos de éxito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Foto del cliente (con autorización), comilla destacada, datos verificables. Sin glorificación dramática del cliente.</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9.5 Presentaciones</w:t>
      </w:r>
    </w:p>
    <w:p>
      <w:pPr>
        <w:spacing w:after="140" w:line="290"/>
        <w:jc w:val="both"/>
      </w:pPr>
      <w:r>
        <w:rPr>
          <w:rFonts w:ascii="Calibri" w:cs="Calibri" w:eastAsia="Calibri" w:hAnsi="Calibri"/>
          <w:sz w:val="22"/>
          <w:szCs w:val="22"/>
        </w:rPr>
        <w:t xml:space="preserve">Las presentaciones —pitch a prospectos, demos a tenants, presentaciones internas— usan plantilla con tres tipos de slides predefinidos. La plantilla está disponible en el repositorio de marca como archivo .pptx editable y como Google Slides.</w:t>
      </w:r>
    </w:p>
    <w:p>
      <w:pPr>
        <w:pStyle w:val="ListParagraph"/>
        <w:numPr>
          <w:ilvl w:val="0"/>
          <w:numId w:val="2"/>
        </w:numPr>
        <w:spacing w:after="60" w:line="270"/>
        <w:jc w:val="both"/>
      </w:pPr>
      <w:r>
        <w:rPr>
          <w:rFonts w:ascii="Calibri" w:cs="Calibri" w:eastAsia="Calibri" w:hAnsi="Calibri"/>
          <w:sz w:val="21"/>
          <w:szCs w:val="21"/>
        </w:rPr>
        <w:t xml:space="preserve">Slide de portada: fondo azul institucional, logo en blanco arriba a la izquierda, título grande centrado, fecha y autor pequeños al pie.</w:t>
      </w:r>
    </w:p>
    <w:p>
      <w:pPr>
        <w:pStyle w:val="ListParagraph"/>
        <w:numPr>
          <w:ilvl w:val="0"/>
          <w:numId w:val="2"/>
        </w:numPr>
        <w:spacing w:after="60" w:line="270"/>
        <w:jc w:val="both"/>
      </w:pPr>
      <w:r>
        <w:rPr>
          <w:rFonts w:ascii="Calibri" w:cs="Calibri" w:eastAsia="Calibri" w:hAnsi="Calibri"/>
          <w:sz w:val="21"/>
          <w:szCs w:val="21"/>
        </w:rPr>
        <w:t xml:space="preserve">Slide de contenido estándar: fondo blanco, título arriba en azul institucional, contenido organizado en columnas o bloques con espacio generoso.</w:t>
      </w:r>
    </w:p>
    <w:p>
      <w:pPr>
        <w:pStyle w:val="ListParagraph"/>
        <w:numPr>
          <w:ilvl w:val="0"/>
          <w:numId w:val="2"/>
        </w:numPr>
        <w:spacing w:after="60" w:line="270"/>
        <w:jc w:val="both"/>
      </w:pPr>
      <w:r>
        <w:rPr>
          <w:rFonts w:ascii="Calibri" w:cs="Calibri" w:eastAsia="Calibri" w:hAnsi="Calibri"/>
          <w:sz w:val="21"/>
          <w:szCs w:val="21"/>
        </w:rPr>
        <w:t xml:space="preserve">Slide de cita o destaque: fondo gris claro, comilla en violeta meta como decoración, texto destacado al centro.</w:t>
      </w:r>
    </w:p>
    <w:p>
      <w:pPr>
        <w:pStyle w:val="Heading2"/>
        <w:spacing w:after="160" w:before="280"/>
      </w:pPr>
      <w:r>
        <w:rPr>
          <w:rFonts w:ascii="Calibri" w:cs="Calibri" w:eastAsia="Calibri" w:hAnsi="Calibri"/>
          <w:b/>
          <w:bCs/>
          <w:color w:val="2E75B6"/>
          <w:sz w:val="28"/>
          <w:szCs w:val="28"/>
        </w:rPr>
        <w:t xml:space="preserve">9.6 Material impreso</w:t>
      </w:r>
    </w:p>
    <w:p>
      <w:pPr>
        <w:spacing w:after="140" w:line="290"/>
        <w:jc w:val="both"/>
      </w:pPr>
      <w:r>
        <w:rPr>
          <w:rFonts w:ascii="Calibri" w:cs="Calibri" w:eastAsia="Calibri" w:hAnsi="Calibri"/>
          <w:sz w:val="22"/>
          <w:szCs w:val="22"/>
        </w:rPr>
        <w:t xml:space="preserve">Los impresos cumplen distintos roles según contexto. Papelería institucional (notas, invitaciones a eventos) usa Source Serif Pro como tipografía principal en lugar de Inter, manteniendo paleta y composición coherentes. Material de venta impreso (folletos para entregar en visitas a agencias) prioriza claridad de información y CTA visibles. Material de evento (banners, kakemonos) usa composición vertical de gran formato con jerarquía simple: logo arriba, mensaje principal en cuerpo grande, CTA y datos de contacto al pie.</w:t>
      </w:r>
    </w:p>
    <w:p>
      <w:pPr>
        <w:pStyle w:val="Heading2"/>
        <w:spacing w:after="160" w:before="280"/>
      </w:pPr>
      <w:r>
        <w:rPr>
          <w:rFonts w:ascii="Calibri" w:cs="Calibri" w:eastAsia="Calibri" w:hAnsi="Calibri"/>
          <w:b/>
          <w:bCs/>
          <w:color w:val="2E75B6"/>
          <w:sz w:val="28"/>
          <w:szCs w:val="28"/>
        </w:rPr>
        <w:t xml:space="preserve">9.7 Merchandising (cuando aplique)</w:t>
      </w:r>
    </w:p>
    <w:p>
      <w:pPr>
        <w:spacing w:after="140" w:line="290"/>
        <w:jc w:val="both"/>
      </w:pPr>
      <w:r>
        <w:rPr>
          <w:rFonts w:ascii="Calibri" w:cs="Calibri" w:eastAsia="Calibri" w:hAnsi="Calibri"/>
          <w:sz w:val="22"/>
          <w:szCs w:val="22"/>
        </w:rPr>
        <w:t xml:space="preserve">Si el proyecto produce merchandising —remeras, libretas, tazas para regalo a clientes y eventos— las reglas son sobrias. El logo aparece en una posición convencional (frente izquierdo de remera, tapa de libreta, lateral de taza) en una variante adecuada al sustrato (impresión simplificada en tela, gofrado en cuero, esmaltado en cerámica). No se decoran los productos con frases motivacionales ni con “mensajes de marca” que el receptor no pidió. Un objeto cuidado con el logo discreto comunica mejor que un objeto saturado de propaganda.</w:t>
      </w:r>
    </w:p>
    <w:p>
      <w:r>
        <w:br w:type="page"/>
      </w:r>
    </w:p>
    <w:p>
      <w:pPr>
        <w:pStyle w:val="Heading1"/>
        <w:spacing w:after="240" w:before="360"/>
      </w:pPr>
      <w:r>
        <w:rPr>
          <w:rFonts w:ascii="Calibri" w:cs="Calibri" w:eastAsia="Calibri" w:hAnsi="Calibri"/>
          <w:b/>
          <w:bCs/>
          <w:color w:val="1F3864"/>
          <w:sz w:val="36"/>
          <w:szCs w:val="36"/>
        </w:rPr>
        <w:t xml:space="preserve">10. Manual de copy</w:t>
      </w:r>
    </w:p>
    <w:p>
      <w:pPr>
        <w:spacing w:after="140" w:line="290"/>
        <w:jc w:val="both"/>
      </w:pPr>
      <w:r>
        <w:rPr>
          <w:rFonts w:ascii="Calibri" w:cs="Calibri" w:eastAsia="Calibri" w:hAnsi="Calibri"/>
          <w:sz w:val="22"/>
          <w:szCs w:val="22"/>
        </w:rPr>
        <w:t xml:space="preserve">Esta sección desarrolla las prácticas de escritura específicas para producir copy de marca: cómo se construye una frase efectiva, qué estructura siguen los textos largos, qué patrones se evitan y qué fórmulas se usan en escenarios recurrentes.</w:t>
      </w:r>
    </w:p>
    <w:p>
      <w:pPr>
        <w:pStyle w:val="Heading2"/>
        <w:spacing w:after="160" w:before="280"/>
      </w:pPr>
      <w:r>
        <w:rPr>
          <w:rFonts w:ascii="Calibri" w:cs="Calibri" w:eastAsia="Calibri" w:hAnsi="Calibri"/>
          <w:b/>
          <w:bCs/>
          <w:color w:val="2E75B6"/>
          <w:sz w:val="28"/>
          <w:szCs w:val="28"/>
        </w:rPr>
        <w:t xml:space="preserve">10.1 Estructura de la frase efectiva</w:t>
      </w:r>
    </w:p>
    <w:p>
      <w:pPr>
        <w:spacing w:after="140" w:line="290"/>
        <w:jc w:val="both"/>
      </w:pPr>
      <w:r>
        <w:rPr>
          <w:rFonts w:ascii="Calibri" w:cs="Calibri" w:eastAsia="Calibri" w:hAnsi="Calibri"/>
          <w:sz w:val="22"/>
          <w:szCs w:val="22"/>
        </w:rPr>
        <w:t xml:space="preserve">La frase efectiva en el tono de deRuedas tiene tres propiedades simultáneas: es concreta (refiere a algo verificable), es corta (menos de 20 palabras cuando es posible) y está orientada al beneficio del lector (no a las features del producto). Si una frase larga se puede partir en dos cortas sin perder sentido, se parte. Si una frase abstracta se puede aterrizar a un caso concreto, se aterriza.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500"/>
        <w:gridCol w:w="4800"/>
      </w:tblGrid>
      <w:tr>
        <w:tc>
          <w:tcPr>
            <w:tcW w:type="dxa" w:w="4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Antes (a evitar)</w:t>
            </w:r>
          </w:p>
        </w:tc>
        <w:tc>
          <w:tcPr>
            <w:tcW w:type="dxa" w:w="48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Después (preferido)</w:t>
            </w:r>
          </w:p>
        </w:tc>
      </w:tr>
      <w:tr>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 optimiza los flujos de trabajo de tu agencia mediante una solución integral de gestión.”</w:t>
            </w:r>
          </w:p>
        </w:tc>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 te ahorra cargar el mismo auto en dos sistemas. Lo subís una vez y se publica solo.”</w:t>
            </w:r>
          </w:p>
        </w:tc>
      </w:tr>
      <w:tr>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“Experimentá la nueva era de la gestión automotriz.”</w:t>
            </w:r>
          </w:p>
        </w:tc>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“Tu stock al día. Tu pipeline ordenado. Tu WhatsApp prolijo.”</w:t>
            </w:r>
          </w:p>
        </w:tc>
      </w:tr>
      <w:tr>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“Nuestra plataforma escalable potencia el crecimiento sostenible.”</w:t>
            </w:r>
          </w:p>
        </w:tc>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“desde una agencia con dos vendedores hasta una red con doce sucursales, deRuedas crece con vos.”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10.2 Estructura de un texto largo</w:t>
      </w:r>
    </w:p>
    <w:p>
      <w:pPr>
        <w:spacing w:after="140" w:line="290"/>
        <w:jc w:val="both"/>
      </w:pPr>
      <w:r>
        <w:rPr>
          <w:rFonts w:ascii="Calibri" w:cs="Calibri" w:eastAsia="Calibri" w:hAnsi="Calibri"/>
          <w:sz w:val="22"/>
          <w:szCs w:val="22"/>
        </w:rPr>
        <w:t xml:space="preserve">Para piezas de mediano o largo formato (artículos de blog, casos de éxito, documentación, manuales) la estructura recomendada es la siguiente. Apertura con el problema concreto del lector en sus propias palabras (no con definiciones abstractas). Desarrollo en secciones cortas con subtítulos descriptivos (no decorativos). Ejemplos específicos antes que principios abstractos. Cierre con próximo paso concreto que el lector puede dar (no con resumen genérico). Toda pieza larga es revisada después de su redacción inicial preguntándose: “¿esto se puede acortar a la mitad sin perder valor?”. La respuesta es casi siempre sí.</w:t>
      </w:r>
    </w:p>
    <w:p>
      <w:pPr>
        <w:pStyle w:val="Heading2"/>
        <w:spacing w:after="160" w:before="280"/>
      </w:pPr>
      <w:r>
        <w:rPr>
          <w:rFonts w:ascii="Calibri" w:cs="Calibri" w:eastAsia="Calibri" w:hAnsi="Calibri"/>
          <w:b/>
          <w:bCs/>
          <w:color w:val="2E75B6"/>
          <w:sz w:val="28"/>
          <w:szCs w:val="28"/>
        </w:rPr>
        <w:t xml:space="preserve">10.3 Microcopy</w:t>
      </w:r>
    </w:p>
    <w:p>
      <w:pPr>
        <w:spacing w:after="140" w:line="290"/>
        <w:jc w:val="both"/>
      </w:pPr>
      <w:r>
        <w:rPr>
          <w:rFonts w:ascii="Calibri" w:cs="Calibri" w:eastAsia="Calibri" w:hAnsi="Calibri"/>
          <w:sz w:val="22"/>
          <w:szCs w:val="22"/>
        </w:rPr>
        <w:t xml:space="preserve">El microcopy es el texto pequeño que aparece dentro de la interfaz del producto: labels de campos, mensajes de validación, tooltips, mensajes de éxito y error, placeholders, breadcrumbs. Es donde la marca tiene más oportunidades de mostrar voz porque cada interacción es una pieza microscópica de comunicación.</w:t>
      </w:r>
    </w:p>
    <w:p>
      <w:pPr>
        <w:pStyle w:val="Heading3"/>
        <w:spacing w:after="120" w:before="220"/>
      </w:pPr>
      <w:r>
        <w:rPr>
          <w:rFonts w:ascii="Calibri" w:cs="Calibri" w:eastAsia="Calibri" w:hAnsi="Calibri"/>
          <w:b/>
          <w:bCs/>
          <w:color w:val="404040"/>
          <w:sz w:val="24"/>
          <w:szCs w:val="24"/>
        </w:rPr>
        <w:t xml:space="preserve">10.3.1 Labels de campos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500"/>
        <w:gridCol w:w="4800"/>
      </w:tblGrid>
      <w:tr>
        <w:tc>
          <w:tcPr>
            <w:tcW w:type="dxa" w:w="4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 evitar</w:t>
            </w:r>
          </w:p>
        </w:tc>
        <w:tc>
          <w:tcPr>
            <w:tcW w:type="dxa" w:w="48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Preferido</w:t>
            </w:r>
          </w:p>
        </w:tc>
      </w:tr>
      <w:tr>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“Descripción” (genérico)</w:t>
            </w:r>
          </w:p>
        </w:tc>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“Descripción del vehículo” (específico al contexto)</w:t>
            </w:r>
          </w:p>
        </w:tc>
      </w:tr>
      <w:tr>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“Seleccionar opción” (placeholder vacío)</w:t>
            </w:r>
          </w:p>
        </w:tc>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“Elegí el motivo de la pérdida” (placeholder accionable)</w:t>
            </w:r>
          </w:p>
        </w:tc>
      </w:tr>
      <w:tr>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“Campo requerido” (validación abstracta)</w:t>
            </w:r>
          </w:p>
        </w:tc>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“Falta el teléfono del contacto” (validación específica)</w:t>
            </w:r>
          </w:p>
        </w:tc>
      </w:tr>
    </w:tbl>
    <w:p>
      <w:pPr>
        <w:spacing w:after="140" w:line="290"/>
        <w:jc w:val="both"/>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404040"/>
          <w:sz w:val="24"/>
          <w:szCs w:val="24"/>
        </w:rPr>
        <w:t xml:space="preserve">10.3.2 Mensajes de éxito</w:t>
      </w:r>
    </w:p>
    <w:p>
      <w:pPr>
        <w:spacing w:after="140" w:line="290"/>
        <w:jc w:val="both"/>
      </w:pPr>
      <w:r>
        <w:rPr>
          <w:rFonts w:ascii="Calibri" w:cs="Calibri" w:eastAsia="Calibri" w:hAnsi="Calibri"/>
          <w:sz w:val="22"/>
          <w:szCs w:val="22"/>
        </w:rPr>
        <w:t xml:space="preserve">Los mensajes de éxito confirman lo que pasó sin celebrar de más. “Lead guardado” vale más que “¡Excelente! Tu lead se guardó correctamente con éxito”. La economía de palabras transmite confianza: el sistema responde, el usuario sigue trabajando.</w:t>
      </w:r>
    </w:p>
    <w:p>
      <w:pPr>
        <w:pStyle w:val="Heading3"/>
        <w:spacing w:after="120" w:before="220"/>
      </w:pPr>
      <w:r>
        <w:rPr>
          <w:rFonts w:ascii="Calibri" w:cs="Calibri" w:eastAsia="Calibri" w:hAnsi="Calibri"/>
          <w:b/>
          <w:bCs/>
          <w:color w:val="404040"/>
          <w:sz w:val="24"/>
          <w:szCs w:val="24"/>
        </w:rPr>
        <w:t xml:space="preserve">10.3.3 Mensajes de error</w:t>
      </w:r>
    </w:p>
    <w:p>
      <w:pPr>
        <w:spacing w:after="140" w:line="290"/>
        <w:jc w:val="both"/>
      </w:pPr>
      <w:r>
        <w:rPr>
          <w:rFonts w:ascii="Calibri" w:cs="Calibri" w:eastAsia="Calibri" w:hAnsi="Calibri"/>
          <w:sz w:val="22"/>
          <w:szCs w:val="22"/>
        </w:rPr>
        <w:t xml:space="preserve">Los mensajes de error siguen patrón fijo: qué pasó (sin culpar al usuario), por qué pasó (cuando es relevante), qué hacer (acción sugerida). Ejemplo: “Este vehículo ya está marcado como vendido. Si necesitás revisar, hablá con tu manager.” El error no acusa, no usa lenguaje técnico, no deja al usuario sin saber cómo seguir.</w:t>
      </w:r>
    </w:p>
    <w:p>
      <w:pPr>
        <w:pStyle w:val="Heading3"/>
        <w:spacing w:after="120" w:before="220"/>
      </w:pPr>
      <w:r>
        <w:rPr>
          <w:rFonts w:ascii="Calibri" w:cs="Calibri" w:eastAsia="Calibri" w:hAnsi="Calibri"/>
          <w:b/>
          <w:bCs/>
          <w:color w:val="404040"/>
          <w:sz w:val="24"/>
          <w:szCs w:val="24"/>
        </w:rPr>
        <w:t xml:space="preserve">10.3.4 Mensajes de carga y espera</w:t>
      </w:r>
    </w:p>
    <w:p>
      <w:pPr>
        <w:spacing w:after="140" w:line="290"/>
        <w:jc w:val="both"/>
      </w:pPr>
      <w:r>
        <w:rPr>
          <w:rFonts w:ascii="Calibri" w:cs="Calibri" w:eastAsia="Calibri" w:hAnsi="Calibri"/>
          <w:sz w:val="22"/>
          <w:szCs w:val="22"/>
        </w:rPr>
        <w:t xml:space="preserve">Los mensajes que aparecen mientras el sistema procesa son oportunidades para mantener el tono. “Cargando...” es admisible pero impersonal. “Traemos los datos” suena humano sin ser exagerado. Para esperas largas (sincronización con portal, exportes), el copy puede dar contexto: “Sincronizando 47 vehículos con el portal. Tarda algunos segundos.”</w:t>
      </w:r>
    </w:p>
    <w:p>
      <w:pPr>
        <w:pStyle w:val="Heading2"/>
        <w:spacing w:after="160" w:before="280"/>
      </w:pPr>
      <w:r>
        <w:rPr>
          <w:rFonts w:ascii="Calibri" w:cs="Calibri" w:eastAsia="Calibri" w:hAnsi="Calibri"/>
          <w:b/>
          <w:bCs/>
          <w:color w:val="2E75B6"/>
          <w:sz w:val="28"/>
          <w:szCs w:val="28"/>
        </w:rPr>
        <w:t xml:space="preserve">10.4 Antipatrones de copy</w:t>
      </w:r>
    </w:p>
    <w:p>
      <w:pPr>
        <w:pStyle w:val="ListParagraph"/>
        <w:numPr>
          <w:ilvl w:val="0"/>
          <w:numId w:val="2"/>
        </w:numPr>
        <w:spacing w:after="60" w:line="270"/>
        <w:jc w:val="both"/>
      </w:pPr>
      <w:r>
        <w:rPr>
          <w:rFonts w:ascii="Calibri" w:cs="Calibri" w:eastAsia="Calibri" w:hAnsi="Calibri"/>
          <w:sz w:val="21"/>
          <w:szCs w:val="21"/>
        </w:rPr>
        <w:t xml:space="preserve">Adjetivos amplificadores vacíos: “increíble”, “genial”, “espectacular”. Eliminados sistemáticamente.</w:t>
      </w:r>
    </w:p>
    <w:p>
      <w:pPr>
        <w:pStyle w:val="ListParagraph"/>
        <w:numPr>
          <w:ilvl w:val="0"/>
          <w:numId w:val="2"/>
        </w:numPr>
        <w:spacing w:after="60" w:line="270"/>
        <w:jc w:val="both"/>
      </w:pPr>
      <w:r>
        <w:rPr>
          <w:rFonts w:ascii="Calibri" w:cs="Calibri" w:eastAsia="Calibri" w:hAnsi="Calibri"/>
          <w:sz w:val="21"/>
          <w:szCs w:val="21"/>
        </w:rPr>
        <w:t xml:space="preserve">Voz pasiva en piezas comerciales: “se procesa la operación” vs “deRuedas procesa la operación” / “tu agencia cierra la operación”.</w:t>
      </w:r>
    </w:p>
    <w:p>
      <w:pPr>
        <w:pStyle w:val="ListParagraph"/>
        <w:numPr>
          <w:ilvl w:val="0"/>
          <w:numId w:val="2"/>
        </w:numPr>
        <w:spacing w:after="60" w:line="270"/>
        <w:jc w:val="both"/>
      </w:pPr>
      <w:r>
        <w:rPr>
          <w:rFonts w:ascii="Calibri" w:cs="Calibri" w:eastAsia="Calibri" w:hAnsi="Calibri"/>
          <w:sz w:val="21"/>
          <w:szCs w:val="21"/>
        </w:rPr>
        <w:t xml:space="preserve">Doble negación: “no tenés que preocuparte por no perder leads”. Reescritura afirmativa: “seguís todos tus leads en un solo lugar”.</w:t>
      </w:r>
    </w:p>
    <w:p>
      <w:pPr>
        <w:pStyle w:val="ListParagraph"/>
        <w:numPr>
          <w:ilvl w:val="0"/>
          <w:numId w:val="2"/>
        </w:numPr>
        <w:spacing w:after="60" w:line="270"/>
        <w:jc w:val="both"/>
      </w:pPr>
      <w:r>
        <w:rPr>
          <w:rFonts w:ascii="Calibri" w:cs="Calibri" w:eastAsia="Calibri" w:hAnsi="Calibri"/>
          <w:sz w:val="21"/>
          <w:szCs w:val="21"/>
        </w:rPr>
        <w:t xml:space="preserve">Frases muletilla técnicas: “as se mencionó anteriormente”, “en el siguiente apartado”. En piezas para clientes se eliminan; el lector ya sabe dónde está parado.</w:t>
      </w:r>
    </w:p>
    <w:p>
      <w:pPr>
        <w:pStyle w:val="ListParagraph"/>
        <w:numPr>
          <w:ilvl w:val="0"/>
          <w:numId w:val="2"/>
        </w:numPr>
        <w:spacing w:after="60" w:line="270"/>
        <w:jc w:val="both"/>
      </w:pPr>
      <w:r>
        <w:rPr>
          <w:rFonts w:ascii="Calibri" w:cs="Calibri" w:eastAsia="Calibri" w:hAnsi="Calibri"/>
          <w:sz w:val="21"/>
          <w:szCs w:val="21"/>
        </w:rPr>
        <w:t xml:space="preserve">Disculpas excesivas o autocastigo: “Lamentamos profundamente las molestias ocasionadas por este lamentable inconveniente”. Se reduce a “Lamentamos el inconveniente” y siguiente.</w:t>
      </w:r>
    </w:p>
    <w:p>
      <w:pPr>
        <w:pStyle w:val="ListParagraph"/>
        <w:numPr>
          <w:ilvl w:val="0"/>
          <w:numId w:val="2"/>
        </w:numPr>
        <w:spacing w:after="60" w:line="270"/>
        <w:jc w:val="both"/>
      </w:pPr>
      <w:r>
        <w:rPr>
          <w:rFonts w:ascii="Calibri" w:cs="Calibri" w:eastAsia="Calibri" w:hAnsi="Calibri"/>
          <w:sz w:val="21"/>
          <w:szCs w:val="21"/>
        </w:rPr>
        <w:t xml:space="preserve">CTA genéricos: “Click aquí”, “Más información”. Reescribir como acción específica: “Ver el plan Pro”, “Agendar una demo”.</w:t>
      </w:r>
    </w:p>
    <w:p>
      <w:pPr>
        <w:pStyle w:val="Heading2"/>
        <w:spacing w:after="160" w:before="280"/>
      </w:pPr>
      <w:r>
        <w:rPr>
          <w:rFonts w:ascii="Calibri" w:cs="Calibri" w:eastAsia="Calibri" w:hAnsi="Calibri"/>
          <w:b/>
          <w:bCs/>
          <w:color w:val="2E75B6"/>
          <w:sz w:val="28"/>
          <w:szCs w:val="28"/>
        </w:rPr>
        <w:t xml:space="preserve">10.5 Plantillas de copy para escenarios recurrentes</w:t>
      </w:r>
    </w:p>
    <w:p>
      <w:pPr>
        <w:pStyle w:val="Heading3"/>
        <w:spacing w:after="120" w:before="220"/>
      </w:pPr>
      <w:r>
        <w:rPr>
          <w:rFonts w:ascii="Calibri" w:cs="Calibri" w:eastAsia="Calibri" w:hAnsi="Calibri"/>
          <w:b/>
          <w:bCs/>
          <w:color w:val="404040"/>
          <w:sz w:val="24"/>
          <w:szCs w:val="24"/>
        </w:rPr>
        <w:t xml:space="preserve">10.5.1 Bienvenida a un nuevo tenant</w:t>
      </w:r>
    </w:p>
    <w:p>
      <w:pPr>
        <w:shd w:fill="F2F2F2" w:color="auto" w:val="clear"/>
        <w:spacing w:after="0" w:line="240"/>
      </w:pPr>
      <w:r>
        <w:rPr>
          <w:rFonts w:ascii="Consolas" w:cs="Consolas" w:eastAsia="Consolas" w:hAnsi="Consolas"/>
          <w:color w:val="1F3864"/>
          <w:sz w:val="18"/>
          <w:szCs w:val="18"/>
        </w:rPr>
        <w:t xml:space="preserve">Asunto: Bienvenido a deRuedas, [Nombre de la agencia]</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Hola [Nombre],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Bienvenido. Tu cuenta de deRuedas Gestión está lista para</w:t>
      </w:r>
    </w:p>
    <w:p>
      <w:pPr>
        <w:shd w:fill="F2F2F2" w:color="auto" w:val="clear"/>
        <w:spacing w:after="0" w:line="240"/>
      </w:pPr>
      <w:r>
        <w:rPr>
          <w:rFonts w:ascii="Consolas" w:cs="Consolas" w:eastAsia="Consolas" w:hAnsi="Consolas"/>
          <w:color w:val="1F3864"/>
          <w:sz w:val="18"/>
          <w:szCs w:val="18"/>
        </w:rPr>
        <w:t xml:space="preserve">[Nombre de la agencia].</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Lo que sigue:</w:t>
      </w:r>
    </w:p>
    <w:p>
      <w:pPr>
        <w:shd w:fill="F2F2F2" w:color="auto" w:val="clear"/>
        <w:spacing w:after="0" w:line="240"/>
      </w:pPr>
      <w:r>
        <w:rPr>
          <w:rFonts w:ascii="Consolas" w:cs="Consolas" w:eastAsia="Consolas" w:hAnsi="Consolas"/>
          <w:color w:val="1F3864"/>
          <w:sz w:val="18"/>
          <w:szCs w:val="18"/>
        </w:rPr>
        <w:t xml:space="preserve">  · Cargar los primeros vehículos (5 minutos)</w:t>
      </w:r>
    </w:p>
    <w:p>
      <w:pPr>
        <w:shd w:fill="F2F2F2" w:color="auto" w:val="clear"/>
        <w:spacing w:after="0" w:line="240"/>
      </w:pPr>
      <w:r>
        <w:rPr>
          <w:rFonts w:ascii="Consolas" w:cs="Consolas" w:eastAsia="Consolas" w:hAnsi="Consolas"/>
          <w:color w:val="1F3864"/>
          <w:sz w:val="18"/>
          <w:szCs w:val="18"/>
        </w:rPr>
        <w:t xml:space="preserve">  · Conectar tu WhatsApp Business (10 minutos)</w:t>
      </w:r>
    </w:p>
    <w:p>
      <w:pPr>
        <w:shd w:fill="F2F2F2" w:color="auto" w:val="clear"/>
        <w:spacing w:after="0" w:line="240"/>
      </w:pPr>
      <w:r>
        <w:rPr>
          <w:rFonts w:ascii="Consolas" w:cs="Consolas" w:eastAsia="Consolas" w:hAnsi="Consolas"/>
          <w:color w:val="1F3864"/>
          <w:sz w:val="18"/>
          <w:szCs w:val="18"/>
        </w:rPr>
        <w:t xml:space="preserve">  · Sumar a tu equipo (cuando quieras)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[Empezar el setup]   ← botón primario</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Si te trabás con algo, escribime directo. Estoy del otro lado</w:t>
      </w:r>
    </w:p>
    <w:p>
      <w:pPr>
        <w:shd w:fill="F2F2F2" w:color="auto" w:val="clear"/>
        <w:spacing w:after="0" w:line="240"/>
      </w:pPr>
      <w:r>
        <w:rPr>
          <w:rFonts w:ascii="Consolas" w:cs="Consolas" w:eastAsia="Consolas" w:hAnsi="Consolas"/>
          <w:color w:val="1F3864"/>
          <w:sz w:val="18"/>
          <w:szCs w:val="18"/>
        </w:rPr>
        <w:t xml:space="preserve">para ayudarte.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[Nombre del Customer Success]</w:t>
      </w:r>
    </w:p>
    <w:p>
      <w:pPr>
        <w:shd w:fill="F2F2F2" w:color="auto" w:val="clear"/>
        <w:spacing w:after="0" w:line="240"/>
      </w:pPr>
      <w:r>
        <w:rPr>
          <w:rFonts w:ascii="Consolas" w:cs="Consolas" w:eastAsia="Consolas" w:hAnsi="Consolas"/>
          <w:color w:val="1F3864"/>
          <w:sz w:val="18"/>
          <w:szCs w:val="18"/>
        </w:rPr>
        <w:t xml:space="preserve">deRuedas Gestión</w:t>
      </w:r>
    </w:p>
    <w:p>
      <w:pPr>
        <w:shd w:fill="F2F2F2" w:color="auto" w:val="clear"/>
        <w:spacing w:after="0" w:line="240"/>
      </w:pPr>
      <w:r>
        <w:rPr>
          <w:rFonts w:ascii="Consolas" w:cs="Consolas" w:eastAsia="Consolas" w:hAnsi="Consolas"/>
          <w:color w:val="1F3864"/>
          <w:sz w:val="18"/>
          <w:szCs w:val="18"/>
        </w:rPr>
        <w:t xml:space="preserve">[Teléfono / WhatsApp directo]</w:t>
      </w:r>
    </w:p>
    <w:p>
      <w:pPr>
        <w:spacing w:after="120"/>
      </w:pPr>
      <w:r>
        <w:t xml:space="preserve"/>
      </w:r>
    </w:p>
    <w:p>
      <w:pPr>
        <w:pStyle w:val="Heading3"/>
        <w:spacing w:after="120" w:before="220"/>
      </w:pPr>
      <w:r>
        <w:rPr>
          <w:rFonts w:ascii="Calibri" w:cs="Calibri" w:eastAsia="Calibri" w:hAnsi="Calibri"/>
          <w:b/>
          <w:bCs/>
          <w:color w:val="404040"/>
          <w:sz w:val="24"/>
          <w:szCs w:val="24"/>
        </w:rPr>
        <w:t xml:space="preserve">10.5.2 Recuperación tras un incidente</w:t>
      </w:r>
    </w:p>
    <w:p>
      <w:pPr>
        <w:shd w:fill="F2F2F2" w:color="auto" w:val="clear"/>
        <w:spacing w:after="0" w:line="240"/>
      </w:pPr>
      <w:r>
        <w:rPr>
          <w:rFonts w:ascii="Consolas" w:cs="Consolas" w:eastAsia="Consolas" w:hAnsi="Consolas"/>
          <w:color w:val="1F3864"/>
          <w:sz w:val="18"/>
          <w:szCs w:val="18"/>
        </w:rPr>
        <w:t xml:space="preserve">Asunto: Resuelto — incidente del [fecha]</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Hola [Nombre],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El problema que afectó [funcionalidad] hoy entre las [hora]</w:t>
      </w:r>
    </w:p>
    <w:p>
      <w:pPr>
        <w:shd w:fill="F2F2F2" w:color="auto" w:val="clear"/>
        <w:spacing w:after="0" w:line="240"/>
      </w:pPr>
      <w:r>
        <w:rPr>
          <w:rFonts w:ascii="Consolas" w:cs="Consolas" w:eastAsia="Consolas" w:hAnsi="Consolas"/>
          <w:color w:val="1F3864"/>
          <w:sz w:val="18"/>
          <w:szCs w:val="18"/>
        </w:rPr>
        <w:t xml:space="preserve">y las [hora] ya está resuelto.</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Qué pasó: [explicación factual breve, sin tecnicismos]</w:t>
      </w:r>
    </w:p>
    <w:p>
      <w:pPr>
        <w:shd w:fill="F2F2F2" w:color="auto" w:val="clear"/>
        <w:spacing w:after="0" w:line="240"/>
      </w:pPr>
      <w:r>
        <w:rPr>
          <w:rFonts w:ascii="Consolas" w:cs="Consolas" w:eastAsia="Consolas" w:hAnsi="Consolas"/>
          <w:color w:val="1F3864"/>
          <w:sz w:val="18"/>
          <w:szCs w:val="18"/>
        </w:rPr>
        <w:t xml:space="preserve">Qué impacto tuvo en [Nombre de la agencia]:</w:t>
      </w:r>
    </w:p>
    <w:p>
      <w:pPr>
        <w:shd w:fill="F2F2F2" w:color="auto" w:val="clear"/>
        <w:spacing w:after="0" w:line="240"/>
      </w:pPr>
      <w:r>
        <w:rPr>
          <w:rFonts w:ascii="Consolas" w:cs="Consolas" w:eastAsia="Consolas" w:hAnsi="Consolas"/>
          <w:color w:val="1F3864"/>
          <w:sz w:val="18"/>
          <w:szCs w:val="18"/>
        </w:rPr>
        <w:t xml:space="preserve">  · [punto 1]</w:t>
      </w:r>
    </w:p>
    <w:p>
      <w:pPr>
        <w:shd w:fill="F2F2F2" w:color="auto" w:val="clear"/>
        <w:spacing w:after="0" w:line="240"/>
      </w:pPr>
      <w:r>
        <w:rPr>
          <w:rFonts w:ascii="Consolas" w:cs="Consolas" w:eastAsia="Consolas" w:hAnsi="Consolas"/>
          <w:color w:val="1F3864"/>
          <w:sz w:val="18"/>
          <w:szCs w:val="18"/>
        </w:rPr>
        <w:t xml:space="preserve">  · [punto 2]</w:t>
      </w:r>
    </w:p>
    <w:p>
      <w:pPr>
        <w:shd w:fill="F2F2F2" w:color="auto" w:val="clear"/>
        <w:spacing w:after="0" w:line="240"/>
      </w:pPr>
      <w:r>
        <w:rPr>
          <w:rFonts w:ascii="Consolas" w:cs="Consolas" w:eastAsia="Consolas" w:hAnsi="Consolas"/>
          <w:color w:val="1F3864"/>
          <w:sz w:val="18"/>
          <w:szCs w:val="18"/>
        </w:rPr>
        <w:t xml:space="preserve">Qué hicimos: [acción correctiva]</w:t>
      </w:r>
    </w:p>
    <w:p>
      <w:pPr>
        <w:shd w:fill="F2F2F2" w:color="auto" w:val="clear"/>
        <w:spacing w:after="0" w:line="240"/>
      </w:pPr>
      <w:r>
        <w:rPr>
          <w:rFonts w:ascii="Consolas" w:cs="Consolas" w:eastAsia="Consolas" w:hAnsi="Consolas"/>
          <w:color w:val="1F3864"/>
          <w:sz w:val="18"/>
          <w:szCs w:val="18"/>
        </w:rPr>
        <w:t xml:space="preserve">Qué hacemos para que no se repita: [acción preventiva]</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Si tenés algo pendiente que se complicó por esto, contestame</w:t>
      </w:r>
    </w:p>
    <w:p>
      <w:pPr>
        <w:shd w:fill="F2F2F2" w:color="auto" w:val="clear"/>
        <w:spacing w:after="0" w:line="240"/>
      </w:pPr>
      <w:r>
        <w:rPr>
          <w:rFonts w:ascii="Consolas" w:cs="Consolas" w:eastAsia="Consolas" w:hAnsi="Consolas"/>
          <w:color w:val="1F3864"/>
          <w:sz w:val="18"/>
          <w:szCs w:val="18"/>
        </w:rPr>
        <w:t xml:space="preserve">este mail y lo resolvemos.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Lamentamos las molestias.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[Nombre del responsable]</w:t>
      </w:r>
    </w:p>
    <w:p>
      <w:pPr>
        <w:shd w:fill="F2F2F2" w:color="auto" w:val="clear"/>
        <w:spacing w:after="0" w:line="240"/>
      </w:pPr>
      <w:r>
        <w:rPr>
          <w:rFonts w:ascii="Consolas" w:cs="Consolas" w:eastAsia="Consolas" w:hAnsi="Consolas"/>
          <w:color w:val="1F3864"/>
          <w:sz w:val="18"/>
          <w:szCs w:val="18"/>
        </w:rPr>
        <w:t xml:space="preserve">deRuedas Gestión</w:t>
      </w:r>
    </w:p>
    <w:p>
      <w:pPr>
        <w:spacing w:after="120"/>
      </w:pPr>
      <w:r>
        <w:t xml:space="preserve"/>
      </w:r>
    </w:p>
    <w:p>
      <w:r>
        <w:br w:type="page"/>
      </w:r>
    </w:p>
    <w:p>
      <w:pPr>
        <w:pStyle w:val="Heading1"/>
        <w:spacing w:after="240" w:before="360"/>
      </w:pPr>
      <w:r>
        <w:rPr>
          <w:rFonts w:ascii="Calibri" w:cs="Calibri" w:eastAsia="Calibri" w:hAnsi="Calibri"/>
          <w:b/>
          <w:bCs/>
          <w:color w:val="1F3864"/>
          <w:sz w:val="36"/>
          <w:szCs w:val="36"/>
        </w:rPr>
        <w:t xml:space="preserve">11. Uso formal y legal de la marca</w:t>
      </w:r>
    </w:p>
    <w:p>
      <w:pPr>
        <w:spacing w:after="140" w:line="290"/>
        <w:jc w:val="both"/>
      </w:pPr>
      <w:r>
        <w:rPr>
          <w:rFonts w:ascii="Calibri" w:cs="Calibri" w:eastAsia="Calibri" w:hAnsi="Calibri"/>
          <w:sz w:val="22"/>
          <w:szCs w:val="22"/>
        </w:rPr>
        <w:t xml:space="preserve">Esta sección cubre el uso de la marca en contextos donde la formalidad jurídica o regulatoria importa: contratos, documentos legales públicos, auditorías, infosec questionnaires, comunicaciones a autoridades. Las reglas se vuelven más estrictas porque el costo de un error de marca crece.</w:t>
      </w:r>
    </w:p>
    <w:p>
      <w:pPr>
        <w:pStyle w:val="Heading2"/>
        <w:spacing w:after="160" w:before="280"/>
      </w:pPr>
      <w:r>
        <w:rPr>
          <w:rFonts w:ascii="Calibri" w:cs="Calibri" w:eastAsia="Calibri" w:hAnsi="Calibri"/>
          <w:b/>
          <w:bCs/>
          <w:color w:val="2E75B6"/>
          <w:sz w:val="28"/>
          <w:szCs w:val="28"/>
        </w:rPr>
        <w:t xml:space="preserve">11.1 Razón social vs marca comercial</w:t>
      </w:r>
    </w:p>
    <w:p>
      <w:pPr>
        <w:spacing w:after="140" w:line="290"/>
        <w:jc w:val="both"/>
      </w:pPr>
      <w:r>
        <w:rPr>
          <w:rFonts w:ascii="Calibri" w:cs="Calibri" w:eastAsia="Calibri" w:hAnsi="Calibri"/>
          <w:sz w:val="22"/>
          <w:szCs w:val="22"/>
        </w:rPr>
        <w:t xml:space="preserve">La razón social de la organización es distinta del nombre comercial del producto. Toda comunicación legal usa primero la razón social y luego, cuando corresponde, identifica al producto deRuedas Gestión como producto de esa organización. La razón social específica se completará al constituir la sociedad y se incorporará a este apartado en la próxima revisión del Brand Book.</w:t>
      </w:r>
    </w:p>
    <w:p>
      <w:pPr>
        <w:shd w:fill="DEEAF6" w:color="auto" w:val="clear"/>
        <w:spacing w:after="120" w:before="120" w:line="280"/>
        <w:jc w:val="both"/>
      </w:pPr>
      <w:r>
        <w:rPr>
          <w:rFonts w:ascii="Calibri" w:cs="Calibri" w:eastAsia="Calibri" w:hAnsi="Calibri"/>
          <w:b/>
          <w:bCs/>
          <w:color w:val="1F3864"/>
          <w:sz w:val="21"/>
          <w:szCs w:val="21"/>
        </w:rPr>
        <w:t xml:space="preserve">Plantilla de identificación legal: </w:t>
      </w:r>
      <w:r>
        <w:rPr>
          <w:rFonts w:ascii="Calibri" w:cs="Calibri" w:eastAsia="Calibri" w:hAnsi="Calibri"/>
          <w:color w:val="1F3864"/>
          <w:sz w:val="21"/>
          <w:szCs w:val="21"/>
        </w:rPr>
        <w:t xml:space="preserve">[Razón social completa] CUIT [número], con domicilio en [dirección], operadora del producto deRuedas Gestión.</w:t>
      </w:r>
    </w:p>
    <w:p>
      <w:pPr>
        <w:pStyle w:val="Heading2"/>
        <w:spacing w:after="160" w:before="280"/>
      </w:pPr>
      <w:r>
        <w:rPr>
          <w:rFonts w:ascii="Calibri" w:cs="Calibri" w:eastAsia="Calibri" w:hAnsi="Calibri"/>
          <w:b/>
          <w:bCs/>
          <w:color w:val="2E75B6"/>
          <w:sz w:val="28"/>
          <w:szCs w:val="28"/>
        </w:rPr>
        <w:t xml:space="preserve">11.2 Aviso de propiedad intelectual</w:t>
      </w:r>
    </w:p>
    <w:p>
      <w:pPr>
        <w:spacing w:after="140" w:line="290"/>
        <w:jc w:val="both"/>
      </w:pPr>
      <w:r>
        <w:rPr>
          <w:rFonts w:ascii="Calibri" w:cs="Calibri" w:eastAsia="Calibri" w:hAnsi="Calibri"/>
          <w:sz w:val="22"/>
          <w:szCs w:val="22"/>
        </w:rPr>
        <w:t xml:space="preserve">Las piezas oficiales y la documentación pública incluyen al pie un aviso de propiedad intelectual con la siguiente forma. “© [año] [Razón social]. Todos los derechos reservados. deRuedas Gestión es marca de [Razón social].” El símbolo de marca registrada (®) se incorpora una vez que la marca esté efectivamente registrada en INPI; mientras tanto se usa el símbolo de marca en proceso (™) cuando el contexto lo amerita.</w:t>
      </w:r>
    </w:p>
    <w:p>
      <w:pPr>
        <w:pStyle w:val="Heading2"/>
        <w:spacing w:after="160" w:before="280"/>
      </w:pPr>
      <w:r>
        <w:rPr>
          <w:rFonts w:ascii="Calibri" w:cs="Calibri" w:eastAsia="Calibri" w:hAnsi="Calibri"/>
          <w:b/>
          <w:bCs/>
          <w:color w:val="2E75B6"/>
          <w:sz w:val="28"/>
          <w:szCs w:val="28"/>
        </w:rPr>
        <w:t xml:space="preserve">11.3 Uso por terceros</w:t>
      </w:r>
    </w:p>
    <w:p>
      <w:pPr>
        <w:spacing w:after="140" w:line="290"/>
        <w:jc w:val="both"/>
      </w:pPr>
      <w:r>
        <w:rPr>
          <w:rFonts w:ascii="Calibri" w:cs="Calibri" w:eastAsia="Calibri" w:hAnsi="Calibri"/>
          <w:sz w:val="22"/>
          <w:szCs w:val="22"/>
        </w:rPr>
        <w:t xml:space="preserve">Los partners, agencias, periodistas y otros terceros que necesiten usar la marca lo hacen bajo lineamientos que se publican junto con los activos descargables. La política base es: la marca puede mencionarse en contexto editorial sin autorización previa cuando el uso es informativo y no implica endorso; la marca puede usarse en piezas de partnership cuando hay acuerdo formal vigente; la marca no puede modificarse, mezclarse con otras marcas sin autorización, ni usarse en contextos que sugieran endorso de terceros sin acuerdo. Los lineamientos para uso por terceros viven en deruedas.com/brand y se actualizan con esta misma documentación.</w:t>
      </w:r>
    </w:p>
    <w:p>
      <w:pPr>
        <w:pStyle w:val="Heading2"/>
        <w:spacing w:after="160" w:before="280"/>
      </w:pPr>
      <w:r>
        <w:rPr>
          <w:rFonts w:ascii="Calibri" w:cs="Calibri" w:eastAsia="Calibri" w:hAnsi="Calibri"/>
          <w:b/>
          <w:bCs/>
          <w:color w:val="2E75B6"/>
          <w:sz w:val="28"/>
          <w:szCs w:val="28"/>
        </w:rPr>
        <w:t xml:space="preserve">11.4 Documentos legales públicos</w:t>
      </w:r>
    </w:p>
    <w:p>
      <w:pPr>
        <w:spacing w:after="140" w:line="290"/>
        <w:jc w:val="both"/>
      </w:pPr>
      <w:r>
        <w:rPr>
          <w:rFonts w:ascii="Calibri" w:cs="Calibri" w:eastAsia="Calibri" w:hAnsi="Calibri"/>
          <w:sz w:val="22"/>
          <w:szCs w:val="22"/>
        </w:rPr>
        <w:t xml:space="preserve">Documentos como la política de privacidad, los términos del servicio y la política de subprocessors usan la marca con sobriedad. La portada lleva el logo en su variante principal. El texto del documento usa “deRuedas Gestión” como nombre del producto y la razón social como sujeto cuando corresponde. La tipografía es Inter en piezas digitales y Source Serif Pro en versiones impresas. La paleta se reduce a azul institucional + neutros: el dorado y los colores de estado no aparecen en documentos legales para no introducir tono inadecuado.</w:t>
      </w:r>
    </w:p>
    <w:p>
      <w:pPr>
        <w:pStyle w:val="Heading2"/>
        <w:spacing w:after="160" w:before="280"/>
      </w:pPr>
      <w:r>
        <w:rPr>
          <w:rFonts w:ascii="Calibri" w:cs="Calibri" w:eastAsia="Calibri" w:hAnsi="Calibri"/>
          <w:b/>
          <w:bCs/>
          <w:color w:val="2E75B6"/>
          <w:sz w:val="28"/>
          <w:szCs w:val="28"/>
        </w:rPr>
        <w:t xml:space="preserve">11.5 Nombres de variantes y futuras marcas hijas</w:t>
      </w:r>
    </w:p>
    <w:p>
      <w:pPr>
        <w:spacing w:after="140" w:line="290"/>
        <w:jc w:val="both"/>
      </w:pPr>
      <w:r>
        <w:rPr>
          <w:rFonts w:ascii="Calibri" w:cs="Calibri" w:eastAsia="Calibri" w:hAnsi="Calibri"/>
          <w:sz w:val="22"/>
          <w:szCs w:val="22"/>
        </w:rPr>
        <w:t xml:space="preserve">Si el producto evoluciona y aparecen submarcas o variantes (deRuedas Pro, deRuedas Lite, módulos verticales), la convención de nombres mantiene el prefijo “deRuedas” y agrega un calificativo claro. Los lineamientos visuales se heredan: paleta, tipografía, lenguaje visual son los mismos; el calificativo se diferencia tipográficamente como subtítulo, no como entidad visual independiente. Esto preserva la identidad de marca-paraguas en lugar de generar marcas atomizadas que compiten entre sí.</w:t>
      </w:r>
    </w:p>
    <w:p>
      <w:r>
        <w:br w:type="page"/>
      </w:r>
    </w:p>
    <w:p>
      <w:pPr>
        <w:pStyle w:val="Heading1"/>
        <w:spacing w:after="240" w:before="360"/>
      </w:pPr>
      <w:r>
        <w:rPr>
          <w:rFonts w:ascii="Calibri" w:cs="Calibri" w:eastAsia="Calibri" w:hAnsi="Calibri"/>
          <w:b/>
          <w:bCs/>
          <w:color w:val="1F3864"/>
          <w:sz w:val="36"/>
          <w:szCs w:val="36"/>
        </w:rPr>
        <w:t xml:space="preserve">12. Anexos</w:t>
      </w:r>
    </w:p>
    <w:p>
      <w:pPr>
        <w:pStyle w:val="Heading2"/>
        <w:spacing w:after="160" w:before="280"/>
      </w:pPr>
      <w:r>
        <w:rPr>
          <w:rFonts w:ascii="Calibri" w:cs="Calibri" w:eastAsia="Calibri" w:hAnsi="Calibri"/>
          <w:b/>
          <w:bCs/>
          <w:color w:val="2E75B6"/>
          <w:sz w:val="28"/>
          <w:szCs w:val="28"/>
        </w:rPr>
        <w:t xml:space="preserve">12.1 Especificaciones técnicas resumidas</w:t>
      </w:r>
    </w:p>
    <w:p>
      <w:pPr>
        <w:spacing w:after="140" w:line="290"/>
        <w:jc w:val="both"/>
      </w:pPr>
      <w:r>
        <w:rPr>
          <w:rFonts w:ascii="Calibri" w:cs="Calibri" w:eastAsia="Calibri" w:hAnsi="Calibri"/>
          <w:sz w:val="22"/>
          <w:szCs w:val="22"/>
        </w:rPr>
        <w:t xml:space="preserve">Resumen de los valores que un equipo técnico necesita en una sola página.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Atributo</w:t>
            </w:r>
          </w:p>
        </w:tc>
        <w:tc>
          <w:tcPr>
            <w:tcW w:type="dxa" w:w="6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Valor</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Color azul institucional</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8"/>
                <w:szCs w:val="18"/>
              </w:rPr>
              <w:t xml:space="preserve">#1F3864 (RGB 31, 56, 100)</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Color azul intermedio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8"/>
                <w:szCs w:val="18"/>
              </w:rPr>
              <w:t xml:space="preserve">#2E75B6 (RGB 46, 117, 182)</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Color verde éxito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8"/>
                <w:szCs w:val="18"/>
              </w:rPr>
              <w:t xml:space="preserve">#375623</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Color amarillo atención</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8"/>
                <w:szCs w:val="18"/>
              </w:rPr>
              <w:t xml:space="preserve">#9C5700</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Color rojo crítico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8"/>
                <w:szCs w:val="18"/>
              </w:rPr>
              <w:t xml:space="preserve">#974706</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Color violeta meta</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8"/>
                <w:szCs w:val="18"/>
              </w:rPr>
              <w:t xml:space="preserve">#5B2D8C</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Color dorado destacado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8"/>
                <w:szCs w:val="18"/>
              </w:rPr>
              <w:t xml:space="preserve">#FFD966</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Tipografía digital principal</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Inter (SIL Open Font License)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Tipografía formal serifada</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Source Serif Pro (SIL Open Font License)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Tipografía monoespaciada</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JetBrains Mono (Apache 2.0)</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Sistema de íconos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Lucide Icons (ISC License)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Tamaño mínimo logo principal en pantalla</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120 px de ancho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Tamaño mínimo isotipo en pantalla</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32 px de lado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Área de respeto del logo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Igual a la altura del isotipo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Tratamiento de tono argentino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Voseo (vos / tenés / hacés)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Cumplimiento de accesibilidad</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WCAG 2.1 AA mínimo</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12.2 Checklist para revisión de pieza nueva</w:t>
      </w:r>
    </w:p>
    <w:p>
      <w:pPr>
        <w:spacing w:after="140" w:line="290"/>
        <w:jc w:val="both"/>
      </w:pPr>
      <w:r>
        <w:rPr>
          <w:rFonts w:ascii="Calibri" w:cs="Calibri" w:eastAsia="Calibri" w:hAnsi="Calibri"/>
          <w:sz w:val="22"/>
          <w:szCs w:val="22"/>
        </w:rPr>
        <w:t xml:space="preserve">Antes de aprobar cualquier pieza nueva (sea producida internamente o por colaboradores externos), se recorre el siguiente checklist.</w:t>
      </w:r>
    </w:p>
    <w:p>
      <w:pPr>
        <w:pStyle w:val="ListParagraph"/>
        <w:numPr>
          <w:ilvl w:val="0"/>
          <w:numId w:val="2"/>
        </w:numPr>
        <w:spacing w:after="60" w:line="270"/>
        <w:jc w:val="both"/>
      </w:pPr>
      <w:r>
        <w:rPr>
          <w:rFonts w:ascii="Calibri" w:cs="Calibri" w:eastAsia="Calibri" w:hAnsi="Calibri"/>
          <w:sz w:val="21"/>
          <w:szCs w:val="21"/>
        </w:rPr>
        <w:t xml:space="preserve">¿El nombre de marca está escrito correctamente (deRuedas Gestión, deRuedas)?</w:t>
      </w:r>
    </w:p>
    <w:p>
      <w:pPr>
        <w:pStyle w:val="ListParagraph"/>
        <w:numPr>
          <w:ilvl w:val="0"/>
          <w:numId w:val="2"/>
        </w:numPr>
        <w:spacing w:after="60" w:line="270"/>
        <w:jc w:val="both"/>
      </w:pPr>
      <w:r>
        <w:rPr>
          <w:rFonts w:ascii="Calibri" w:cs="Calibri" w:eastAsia="Calibri" w:hAnsi="Calibri"/>
          <w:sz w:val="21"/>
          <w:szCs w:val="21"/>
        </w:rPr>
        <w:t xml:space="preserve">¿El logo respeta área de respeto, tamaño mínimo y variante adecuada al fondo?</w:t>
      </w:r>
    </w:p>
    <w:p>
      <w:pPr>
        <w:pStyle w:val="ListParagraph"/>
        <w:numPr>
          <w:ilvl w:val="0"/>
          <w:numId w:val="2"/>
        </w:numPr>
        <w:spacing w:after="60" w:line="270"/>
        <w:jc w:val="both"/>
      </w:pPr>
      <w:r>
        <w:rPr>
          <w:rFonts w:ascii="Calibri" w:cs="Calibri" w:eastAsia="Calibri" w:hAnsi="Calibri"/>
          <w:sz w:val="21"/>
          <w:szCs w:val="21"/>
        </w:rPr>
        <w:t xml:space="preserve">¿La paleta usada está dentro de la paleta declarada?</w:t>
      </w:r>
    </w:p>
    <w:p>
      <w:pPr>
        <w:pStyle w:val="ListParagraph"/>
        <w:numPr>
          <w:ilvl w:val="0"/>
          <w:numId w:val="2"/>
        </w:numPr>
        <w:spacing w:after="60" w:line="270"/>
        <w:jc w:val="both"/>
      </w:pPr>
      <w:r>
        <w:rPr>
          <w:rFonts w:ascii="Calibri" w:cs="Calibri" w:eastAsia="Calibri" w:hAnsi="Calibri"/>
          <w:sz w:val="21"/>
          <w:szCs w:val="21"/>
        </w:rPr>
        <w:t xml:space="preserve">¿Las combinaciones de color cumplen contraste WCAG AA?</w:t>
      </w:r>
    </w:p>
    <w:p>
      <w:pPr>
        <w:pStyle w:val="ListParagraph"/>
        <w:numPr>
          <w:ilvl w:val="0"/>
          <w:numId w:val="2"/>
        </w:numPr>
        <w:spacing w:after="60" w:line="270"/>
        <w:jc w:val="both"/>
      </w:pPr>
      <w:r>
        <w:rPr>
          <w:rFonts w:ascii="Calibri" w:cs="Calibri" w:eastAsia="Calibri" w:hAnsi="Calibri"/>
          <w:sz w:val="21"/>
          <w:szCs w:val="21"/>
        </w:rPr>
        <w:t xml:space="preserve">¿La tipografía usada es Inter (digital) o Source Serif Pro (impreso formal)?</w:t>
      </w:r>
    </w:p>
    <w:p>
      <w:pPr>
        <w:pStyle w:val="ListParagraph"/>
        <w:numPr>
          <w:ilvl w:val="0"/>
          <w:numId w:val="2"/>
        </w:numPr>
        <w:spacing w:after="60" w:line="270"/>
        <w:jc w:val="both"/>
      </w:pPr>
      <w:r>
        <w:rPr>
          <w:rFonts w:ascii="Calibri" w:cs="Calibri" w:eastAsia="Calibri" w:hAnsi="Calibri"/>
          <w:sz w:val="21"/>
          <w:szCs w:val="21"/>
        </w:rPr>
        <w:t xml:space="preserve">¿La jerarquía tipográfica es clara y respeta los tamaños declarados?</w:t>
      </w:r>
    </w:p>
    <w:p>
      <w:pPr>
        <w:pStyle w:val="ListParagraph"/>
        <w:numPr>
          <w:ilvl w:val="0"/>
          <w:numId w:val="2"/>
        </w:numPr>
        <w:spacing w:after="60" w:line="270"/>
        <w:jc w:val="both"/>
      </w:pPr>
      <w:r>
        <w:rPr>
          <w:rFonts w:ascii="Calibri" w:cs="Calibri" w:eastAsia="Calibri" w:hAnsi="Calibri"/>
          <w:sz w:val="21"/>
          <w:szCs w:val="21"/>
        </w:rPr>
        <w:t xml:space="preserve">¿El copy respeta la voz de marca (cercana, específica, pragmática)?</w:t>
      </w:r>
    </w:p>
    <w:p>
      <w:pPr>
        <w:pStyle w:val="ListParagraph"/>
        <w:numPr>
          <w:ilvl w:val="0"/>
          <w:numId w:val="2"/>
        </w:numPr>
        <w:spacing w:after="60" w:line="270"/>
        <w:jc w:val="both"/>
      </w:pPr>
      <w:r>
        <w:rPr>
          <w:rFonts w:ascii="Calibri" w:cs="Calibri" w:eastAsia="Calibri" w:hAnsi="Calibri"/>
          <w:sz w:val="21"/>
          <w:szCs w:val="21"/>
        </w:rPr>
        <w:t xml:space="preserve">¿Hay generosidad de espacio o la pieza está saturada?</w:t>
      </w:r>
    </w:p>
    <w:p>
      <w:pPr>
        <w:pStyle w:val="ListParagraph"/>
        <w:numPr>
          <w:ilvl w:val="0"/>
          <w:numId w:val="2"/>
        </w:numPr>
        <w:spacing w:after="60" w:line="270"/>
        <w:jc w:val="both"/>
      </w:pPr>
      <w:r>
        <w:rPr>
          <w:rFonts w:ascii="Calibri" w:cs="Calibri" w:eastAsia="Calibri" w:hAnsi="Calibri"/>
          <w:sz w:val="21"/>
          <w:szCs w:val="21"/>
        </w:rPr>
        <w:t xml:space="preserve">¿La iconografía usada es Lucide o respeta su lenguaje?</w:t>
      </w:r>
    </w:p>
    <w:p>
      <w:pPr>
        <w:pStyle w:val="ListParagraph"/>
        <w:numPr>
          <w:ilvl w:val="0"/>
          <w:numId w:val="2"/>
        </w:numPr>
        <w:spacing w:after="60" w:line="270"/>
        <w:jc w:val="both"/>
      </w:pPr>
      <w:r>
        <w:rPr>
          <w:rFonts w:ascii="Calibri" w:cs="Calibri" w:eastAsia="Calibri" w:hAnsi="Calibri"/>
          <w:sz w:val="21"/>
          <w:szCs w:val="21"/>
        </w:rPr>
        <w:t xml:space="preserve">¿La fotografía o ilustración está dentro del lenguaje admitido?</w:t>
      </w:r>
    </w:p>
    <w:p>
      <w:pPr>
        <w:pStyle w:val="ListParagraph"/>
        <w:numPr>
          <w:ilvl w:val="0"/>
          <w:numId w:val="2"/>
        </w:numPr>
        <w:spacing w:after="60" w:line="270"/>
        <w:jc w:val="both"/>
      </w:pPr>
      <w:r>
        <w:rPr>
          <w:rFonts w:ascii="Calibri" w:cs="Calibri" w:eastAsia="Calibri" w:hAnsi="Calibri"/>
          <w:sz w:val="21"/>
          <w:szCs w:val="21"/>
        </w:rPr>
        <w:t xml:space="preserve">¿Aparecen disclaimers, avisos legales o créditos cuando corresponden?</w:t>
      </w:r>
    </w:p>
    <w:p>
      <w:pPr>
        <w:pStyle w:val="ListParagraph"/>
        <w:numPr>
          <w:ilvl w:val="0"/>
          <w:numId w:val="2"/>
        </w:numPr>
        <w:spacing w:after="60" w:line="270"/>
        <w:jc w:val="both"/>
      </w:pPr>
      <w:r>
        <w:rPr>
          <w:rFonts w:ascii="Calibri" w:cs="Calibri" w:eastAsia="Calibri" w:hAnsi="Calibri"/>
          <w:sz w:val="21"/>
          <w:szCs w:val="21"/>
        </w:rPr>
        <w:t xml:space="preserve">¿La pieza pasa el test rápido de coherencia (¿podría ser de otra marca? ¿se sentiría cómodo el cliente?)?</w:t>
      </w:r>
    </w:p>
    <w:p>
      <w:pPr>
        <w:pStyle w:val="Heading2"/>
        <w:spacing w:after="160" w:before="280"/>
      </w:pPr>
      <w:r>
        <w:rPr>
          <w:rFonts w:ascii="Calibri" w:cs="Calibri" w:eastAsia="Calibri" w:hAnsi="Calibri"/>
          <w:b/>
          <w:bCs/>
          <w:color w:val="2E75B6"/>
          <w:sz w:val="28"/>
          <w:szCs w:val="28"/>
        </w:rPr>
        <w:t xml:space="preserve">12.3 Glosario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Término</w:t>
            </w:r>
          </w:p>
        </w:tc>
        <w:tc>
          <w:tcPr>
            <w:tcW w:type="dxa" w:w="7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Definición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Activo de marca</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Cualquier elemento gráfico, tipográfico, fotográfico o de copy que es propiedad o uso autorizado por la marca: logo, paleta, fuentes, plantillas, fotografías licenciadas.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Área de respeto</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Espacio mínimo libre alrededor del logo donde no aparece ningún otro elemento. Garantiza la legibilidad y la presencia visual.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Brand book</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Documento de referencia que consolida la identidad visual, el tono y los lineamientos de uso de la marca.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CTA</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Call To Action. Llamado a acción del usuario en una pieza, típicamente un botón o un link destacado.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Copy</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Texto escrito en piezas de marca. Especialmente texto persuasivo o informativo en piezas comerciales.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Display (jerarquía tipográfica)</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Tamaño tipográfico mayor reservado para titulares de gran impacto: hero de landing, portadas.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Hero</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Sección visual principal de una página o landing, típicamente la primera vista que el usuario encuentra.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HEX</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Notación hexadecimal de color (ej. #1F3864), formato estándar para web.</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HSL / RGB / CMYK</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Espacios de color para distintos soportes: HSL para diseño, RGB para pantallas, CMYK para impresión.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Icono inline</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Ícono pequeño (16-20 px) que aparece dentro o al costado de un texto.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Isotipo</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Componente gráfico abstracto del logo, separado del texto.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Logotipo</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Componente tipográfico del logo (el nombre escrito con la fuente custom de la marca).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Microcopy</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Texto pequeño dentro de la interfaz: labels, mensajes de validación, tooltips, placeholders.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Monograma</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Representación abstracta del nombre mediante iniciales (en deRuedas: “dR”).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Paleta primaria</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Los colores institucionales que portan la identidad de la marca.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Paleta secundaria</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Colores adicionales con función específica (estado, acentos).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Razón social</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Nombre legal con que está registrada la organización titular del producto.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Stock fotográfico</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Fotografía de bancos comerciales, sin contexto específico al cliente.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Tagline</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Frase corta que acompaña al logo o al nombre de marca, sintetiza la propuesta de valor.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Tono</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Modulación de la voz de marca según el contexto específico de la comunicación.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Tono de voz</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Personalidad estable con que la marca se comunica.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Tipografía variable</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Familia tipográfica con peso continuo (no escalones discretos), permite ajustes finos. Inter es variable.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UI</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User Interface. La interfaz del usuario en el producto.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UX writing</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Disciplina de escritura para interfaces de software, especializada en microcopy.</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Vibrant / vivid (saturación)</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Cualidad cromática de un color con alta saturación. La paleta de deRuedas evita saturaciones extremas.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Voseo</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Uso del pronombre “vos” característico del español rioplatense, adoptado por la marca para audiencia argentina.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WCAG</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Web Content Accessibility Guidelines. Estándar internacional de accesibilidad web; AA es nivel mínimo de la marca.</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12.4 Activos descargables y plantillas</w:t>
      </w:r>
    </w:p>
    <w:p>
      <w:pPr>
        <w:spacing w:after="140" w:line="290"/>
        <w:jc w:val="both"/>
      </w:pPr>
      <w:r>
        <w:rPr>
          <w:rFonts w:ascii="Calibri" w:cs="Calibri" w:eastAsia="Calibri" w:hAnsi="Calibri"/>
          <w:sz w:val="22"/>
          <w:szCs w:val="22"/>
        </w:rPr>
        <w:t xml:space="preserve">El repositorio de marca (deRuedas Brand Assets) contiene los siguientes activos descargables. Los archivos definitivos se mantienen ahí; este documento describe los lineamientos pero no contiene los archivos en sí.</w:t>
      </w:r>
    </w:p>
    <w:p>
      <w:pPr>
        <w:pStyle w:val="ListParagraph"/>
        <w:numPr>
          <w:ilvl w:val="0"/>
          <w:numId w:val="2"/>
        </w:numPr>
        <w:spacing w:after="60" w:line="270"/>
        <w:jc w:val="both"/>
      </w:pPr>
      <w:r>
        <w:rPr>
          <w:rFonts w:ascii="Calibri" w:cs="Calibri" w:eastAsia="Calibri" w:hAnsi="Calibri"/>
          <w:sz w:val="21"/>
          <w:szCs w:val="21"/>
        </w:rPr>
        <w:t xml:space="preserve">Logo en SVG vectorial: variantes principal, vertical, isotipo solo, monocromático blanco, monocromático negro.</w:t>
      </w:r>
    </w:p>
    <w:p>
      <w:pPr>
        <w:pStyle w:val="ListParagraph"/>
        <w:numPr>
          <w:ilvl w:val="0"/>
          <w:numId w:val="2"/>
        </w:numPr>
        <w:spacing w:after="60" w:line="270"/>
        <w:jc w:val="both"/>
      </w:pPr>
      <w:r>
        <w:rPr>
          <w:rFonts w:ascii="Calibri" w:cs="Calibri" w:eastAsia="Calibri" w:hAnsi="Calibri"/>
          <w:sz w:val="21"/>
          <w:szCs w:val="21"/>
        </w:rPr>
        <w:t xml:space="preserve">Logo en PNG con transparencia: resoluciones 256, 512, 1024 px y 2048 px.</w:t>
      </w:r>
    </w:p>
    <w:p>
      <w:pPr>
        <w:pStyle w:val="ListParagraph"/>
        <w:numPr>
          <w:ilvl w:val="0"/>
          <w:numId w:val="2"/>
        </w:numPr>
        <w:spacing w:after="60" w:line="270"/>
        <w:jc w:val="both"/>
      </w:pPr>
      <w:r>
        <w:rPr>
          <w:rFonts w:ascii="Calibri" w:cs="Calibri" w:eastAsia="Calibri" w:hAnsi="Calibri"/>
          <w:sz w:val="21"/>
          <w:szCs w:val="21"/>
        </w:rPr>
        <w:t xml:space="preserve">Logo en formatos de impresión: AI editable, EPS, PDF/X-1a.</w:t>
      </w:r>
    </w:p>
    <w:p>
      <w:pPr>
        <w:pStyle w:val="ListParagraph"/>
        <w:numPr>
          <w:ilvl w:val="0"/>
          <w:numId w:val="2"/>
        </w:numPr>
        <w:spacing w:after="60" w:line="270"/>
        <w:jc w:val="both"/>
      </w:pPr>
      <w:r>
        <w:rPr>
          <w:rFonts w:ascii="Calibri" w:cs="Calibri" w:eastAsia="Calibri" w:hAnsi="Calibri"/>
          <w:sz w:val="21"/>
          <w:szCs w:val="21"/>
        </w:rPr>
        <w:t xml:space="preserve">Favicon: 16, 32, 48 px en formato ICO y PNG.</w:t>
      </w:r>
    </w:p>
    <w:p>
      <w:pPr>
        <w:pStyle w:val="ListParagraph"/>
        <w:numPr>
          <w:ilvl w:val="0"/>
          <w:numId w:val="2"/>
        </w:numPr>
        <w:spacing w:after="60" w:line="270"/>
        <w:jc w:val="both"/>
      </w:pPr>
      <w:r>
        <w:rPr>
          <w:rFonts w:ascii="Calibri" w:cs="Calibri" w:eastAsia="Calibri" w:hAnsi="Calibri"/>
          <w:sz w:val="21"/>
          <w:szCs w:val="21"/>
        </w:rPr>
        <w:t xml:space="preserve">App icons: 1024 px master para generar variantes iOS y Android.</w:t>
      </w:r>
    </w:p>
    <w:p>
      <w:pPr>
        <w:pStyle w:val="ListParagraph"/>
        <w:numPr>
          <w:ilvl w:val="0"/>
          <w:numId w:val="2"/>
        </w:numPr>
        <w:spacing w:after="60" w:line="270"/>
        <w:jc w:val="both"/>
      </w:pPr>
      <w:r>
        <w:rPr>
          <w:rFonts w:ascii="Calibri" w:cs="Calibri" w:eastAsia="Calibri" w:hAnsi="Calibri"/>
          <w:sz w:val="21"/>
          <w:szCs w:val="21"/>
        </w:rPr>
        <w:t xml:space="preserve">Fuentes: Inter, Source Serif Pro, JetBrains Mono empaquetadas con licencias adjuntas.</w:t>
      </w:r>
    </w:p>
    <w:p>
      <w:pPr>
        <w:pStyle w:val="ListParagraph"/>
        <w:numPr>
          <w:ilvl w:val="0"/>
          <w:numId w:val="2"/>
        </w:numPr>
        <w:spacing w:after="60" w:line="270"/>
        <w:jc w:val="both"/>
      </w:pPr>
      <w:r>
        <w:rPr>
          <w:rFonts w:ascii="Calibri" w:cs="Calibri" w:eastAsia="Calibri" w:hAnsi="Calibri"/>
          <w:sz w:val="21"/>
          <w:szCs w:val="21"/>
        </w:rPr>
        <w:t xml:space="preserve">Paletas para herramientas: Adobe ASE, Figma library, Sketch palettes, tokens JSON para frontend.</w:t>
      </w:r>
    </w:p>
    <w:p>
      <w:pPr>
        <w:pStyle w:val="ListParagraph"/>
        <w:numPr>
          <w:ilvl w:val="0"/>
          <w:numId w:val="2"/>
        </w:numPr>
        <w:spacing w:after="60" w:line="270"/>
        <w:jc w:val="both"/>
      </w:pPr>
      <w:r>
        <w:rPr>
          <w:rFonts w:ascii="Calibri" w:cs="Calibri" w:eastAsia="Calibri" w:hAnsi="Calibri"/>
          <w:sz w:val="21"/>
          <w:szCs w:val="21"/>
        </w:rPr>
        <w:t xml:space="preserve">Plantillas de presentación: PowerPoint, Keynote, Google Slides en plantilla institucional.</w:t>
      </w:r>
    </w:p>
    <w:p>
      <w:pPr>
        <w:pStyle w:val="ListParagraph"/>
        <w:numPr>
          <w:ilvl w:val="0"/>
          <w:numId w:val="2"/>
        </w:numPr>
        <w:spacing w:after="60" w:line="270"/>
        <w:jc w:val="both"/>
      </w:pPr>
      <w:r>
        <w:rPr>
          <w:rFonts w:ascii="Calibri" w:cs="Calibri" w:eastAsia="Calibri" w:hAnsi="Calibri"/>
          <w:sz w:val="21"/>
          <w:szCs w:val="21"/>
        </w:rPr>
        <w:t xml:space="preserve">Plantillas de email: HTML responsive para email transaccional y comercial.</w:t>
      </w:r>
    </w:p>
    <w:p>
      <w:pPr>
        <w:pStyle w:val="ListParagraph"/>
        <w:numPr>
          <w:ilvl w:val="0"/>
          <w:numId w:val="2"/>
        </w:numPr>
        <w:spacing w:after="60" w:line="270"/>
        <w:jc w:val="both"/>
      </w:pPr>
      <w:r>
        <w:rPr>
          <w:rFonts w:ascii="Calibri" w:cs="Calibri" w:eastAsia="Calibri" w:hAnsi="Calibri"/>
          <w:sz w:val="21"/>
          <w:szCs w:val="21"/>
        </w:rPr>
        <w:t xml:space="preserve">Plantillas para social: Instagram post, story, reel cover; LinkedIn post, banner, article header.</w:t>
      </w:r>
    </w:p>
    <w:p>
      <w:pPr>
        <w:pStyle w:val="ListParagraph"/>
        <w:numPr>
          <w:ilvl w:val="0"/>
          <w:numId w:val="2"/>
        </w:numPr>
        <w:spacing w:after="60" w:line="270"/>
        <w:jc w:val="both"/>
      </w:pPr>
      <w:r>
        <w:rPr>
          <w:rFonts w:ascii="Calibri" w:cs="Calibri" w:eastAsia="Calibri" w:hAnsi="Calibri"/>
          <w:sz w:val="21"/>
          <w:szCs w:val="21"/>
        </w:rPr>
        <w:t xml:space="preserve">Plantillas de papelería: nota institucional, invitación, papel para documentos formales.</w:t>
      </w:r>
    </w:p>
    <w:p>
      <w:pPr>
        <w:pStyle w:val="ListParagraph"/>
        <w:numPr>
          <w:ilvl w:val="0"/>
          <w:numId w:val="2"/>
        </w:numPr>
        <w:spacing w:after="60" w:line="270"/>
        <w:jc w:val="both"/>
      </w:pPr>
      <w:r>
        <w:rPr>
          <w:rFonts w:ascii="Calibri" w:cs="Calibri" w:eastAsia="Calibri" w:hAnsi="Calibri"/>
          <w:sz w:val="21"/>
          <w:szCs w:val="21"/>
        </w:rPr>
        <w:t xml:space="preserve">Mockups del producto: laptop, mobile, dashboard para usar como visual en piezas comerciales.</w:t>
      </w:r>
    </w:p>
    <w:p>
      <w:pPr>
        <w:pStyle w:val="ListParagraph"/>
        <w:numPr>
          <w:ilvl w:val="0"/>
          <w:numId w:val="2"/>
        </w:numPr>
        <w:spacing w:after="60" w:line="270"/>
        <w:jc w:val="both"/>
      </w:pPr>
      <w:r>
        <w:rPr>
          <w:rFonts w:ascii="Calibri" w:cs="Calibri" w:eastAsia="Calibri" w:hAnsi="Calibri"/>
          <w:sz w:val="21"/>
          <w:szCs w:val="21"/>
        </w:rPr>
        <w:t xml:space="preserve">Banco de fotografías licenciadas con autorización vigente y vencimiento documentado.</w:t>
      </w:r>
    </w:p>
    <w:p>
      <w:pPr>
        <w:pStyle w:val="ListParagraph"/>
        <w:numPr>
          <w:ilvl w:val="0"/>
          <w:numId w:val="2"/>
        </w:numPr>
        <w:spacing w:after="60" w:line="270"/>
        <w:jc w:val="both"/>
      </w:pPr>
      <w:r>
        <w:rPr>
          <w:rFonts w:ascii="Calibri" w:cs="Calibri" w:eastAsia="Calibri" w:hAnsi="Calibri"/>
          <w:sz w:val="21"/>
          <w:szCs w:val="21"/>
        </w:rPr>
        <w:t xml:space="preserve">Banco de ilustraciones isométricas del set de marca: agencias, vehículos, dashboards, integraciones.</w:t>
      </w:r>
    </w:p>
    <w:p>
      <w:pPr>
        <w:pStyle w:val="Heading2"/>
        <w:spacing w:after="160" w:before="280"/>
      </w:pPr>
      <w:r>
        <w:rPr>
          <w:rFonts w:ascii="Calibri" w:cs="Calibri" w:eastAsia="Calibri" w:hAnsi="Calibri"/>
          <w:b/>
          <w:bCs/>
          <w:color w:val="2E75B6"/>
          <w:sz w:val="28"/>
          <w:szCs w:val="28"/>
        </w:rPr>
        <w:t xml:space="preserve">12.5 Control de versiones del documento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400"/>
        <w:gridCol w:w="3500"/>
      </w:tblGrid>
      <w:tr>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Versión</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Fecha</w:t>
            </w:r>
          </w:p>
        </w:tc>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Autor</w:t>
            </w:r>
          </w:p>
        </w:tc>
        <w:tc>
          <w:tcPr>
            <w:tcW w:type="dxa" w:w="3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Cambios</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1.0</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Mayo 2026</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Equipo de marca deRuedas</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Versión inicial. Identidad visual, tono, paleta, tipografía, lineamientos de aplicación, manual de copy.</w:t>
            </w:r>
          </w:p>
        </w:tc>
      </w:tr>
    </w:tbl>
    <w:p>
      <w:pPr>
        <w:spacing w:after="140" w:line="290"/>
        <w:jc w:val="both"/>
      </w:pPr>
      <w:r>
        <w:rPr>
          <w:rFonts w:ascii="Calibri" w:cs="Calibri" w:eastAsia="Calibri" w:hAnsi="Calibri"/>
          <w:sz w:val="22"/>
          <w:szCs w:val="22"/>
        </w:rPr>
        <w:t xml:space="preserve"/>
      </w:r>
    </w:p>
    <w:p>
      <w:pPr>
        <w:spacing w:after="140" w:line="290"/>
        <w:jc w:val="both"/>
      </w:pPr>
      <w:r>
        <w:rPr>
          <w:rFonts w:ascii="Calibri" w:cs="Calibri" w:eastAsia="Calibri" w:hAnsi="Calibri"/>
          <w:sz w:val="22"/>
          <w:szCs w:val="22"/>
        </w:rPr>
        <w:t xml:space="preserve">La próxima revisión del Brand Book está prevista para noviembre de 2026 al cierre de la Ola 1, donde se incorporarán: aprendizajes de la aplicación real de los lineamientos en piezas producidas durante el primer semestre, ajustes a la paleta o tipografía si la práctica revela necesidades no anticipadas, refinamientos al manual de copy con casos reales del soporte y de la venta, eventual incorporación de la versión registrada de la marca con su número de inscripción ante INPI.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Página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de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deRuedas Gestión — Brand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 w:type="paragraph" w:styleId="Heading4">
    <w:name w:val="Heading 4"/>
    <w:basedOn w:val="Normal"/>
    <w:next w:val="Normal"/>
    <w:qFormat/>
    <w:pPr>
      <w:spacing w:after="80" w:before="200"/>
      <w:outlineLvl w:val="3"/>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 Book - deRuedas Gestión</dc:title>
  <dc:creator>deRuedas Gestión - Brand Book</dc:creator>
  <cp:lastModifiedBy>Un-named</cp:lastModifiedBy>
  <cp:revision>1</cp:revision>
  <dcterms:created xsi:type="dcterms:W3CDTF">2026-05-07T00:00:05.652Z</dcterms:created>
  <dcterms:modified xsi:type="dcterms:W3CDTF">2026-05-07T00:00:05.652Z</dcterms:modified>
</cp:coreProperties>
</file>

<file path=docProps/custom.xml><?xml version="1.0" encoding="utf-8"?>
<Properties xmlns="http://schemas.openxmlformats.org/officeDocument/2006/custom-properties" xmlns:vt="http://schemas.openxmlformats.org/officeDocument/2006/docPropsVTypes"/>
</file>