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Anexo tecnico — credenciales de integracion</w:t>
      </w:r>
    </w:p>
    <w:p>
      <w:r>
        <w:t xml:space="preserve"/>
      </w:r>
    </w:p>
    <w:p>
      <w:r>
        <w:t xml:space="preserve">SONDA: credenciales FABRICADAS para probar el gate del pipeline.</w:t>
      </w:r>
    </w:p>
    <w:p>
      <w:r>
        <w:t xml:space="preserve"/>
      </w:r>
    </w:p>
    <w:p>
      <w:r>
        <w:t xml:space="preserve">aws_access_key_id = AKIA4YFAKE7QX2MNPB3D</w:t>
      </w:r>
    </w:p>
    <w:p>
      <w:r>
        <w:t xml:space="preserve">aws_secret_access_key = wJalrXUtnFEMI2K7MDENGbPxRfiCYFAKEKEY9pQz</w:t>
      </w:r>
    </w:p>
    <w:p>
      <w:r>
        <w:t xml:space="preserve"/>
      </w:r>
    </w:p>
    <w:p>
      <w:r>
        <w:t xml:space="preserve">Este documento se borra junto con la rama de la sonda.</w:t>
      </w:r>
    </w:p>
  </w:body>
</w:document>
</file>