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df" ContentType="application/pdf"/>
  <Override PartName="/word/media/rId2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MedSafe-Dx (v0): A Safety-Focused Benchmark</w:t>
      </w:r>
      <w:r>
        <w:br/>
      </w:r>
      <w:r>
        <w:rPr>
          <w:b/>
          <w:bCs/>
        </w:rPr>
        <w:t xml:space="preserve">for Evaluating LLMs in Clinical Diagnostic Decision Support</w:t>
      </w:r>
    </w:p>
    <w:p>
      <w:pPr>
        <w:pStyle w:val="Author"/>
      </w:pPr>
      <w:r>
        <w:t xml:space="preserve">Clark Van Oyen</w:t>
      </w:r>
    </w:p>
    <w:p>
      <w:pPr>
        <w:pStyle w:val="Author"/>
      </w:pPr>
      <w:r>
        <w:t xml:space="preserve">Namrah Mizra</w:t>
      </w:r>
    </w:p>
    <w:p>
      <w:pPr>
        <w:pStyle w:val="Date"/>
      </w:pPr>
      <w:r>
        <w:t xml:space="preserve">January 2026</w:t>
      </w:r>
    </w:p>
    <w:p>
      <w:pPr>
        <w:pStyle w:val="AbstractTitle"/>
      </w:pPr>
      <w:r>
        <w:t xml:space="preserve">Abstract</w:t>
      </w:r>
    </w:p>
    <w:p>
      <w:pPr>
        <w:pStyle w:val="Abstract"/>
      </w:pPr>
      <w:r>
        <w:t xml:space="preserve">MedSafe-Dx (v0) introduces a new safety-focused benchmark for evaluating large language models in clinical diagnostic decision support using a filtered subset of the DDXPlus dataset (</w:t>
      </w:r>
      <m:oMath>
        <m:r>
          <m:t>N</m:t>
        </m:r>
        <m:r>
          <m:rPr>
            <m:sty m:val="p"/>
          </m:rPr>
          <m:t>=</m:t>
        </m:r>
        <m:r>
          <m:t>500</m:t>
        </m:r>
      </m:oMath>
      <w:r>
        <w:t xml:space="preserve">). MedSafe-Dx evaluates three dimensions: escalation sensitivity, avoidance of false reassurance, and calibration of uncertainty. Models were tasked with providing a ranked differential (ICD-10), an escalation decision (Urgent vs. Routine), and a confidence flag. Performance was measured via a</w:t>
      </w:r>
      <w:r>
        <w:t xml:space="preserve"> </w:t>
      </w:r>
      <w:r>
        <w:t xml:space="preserve">“Safety Pass Rate,”</w:t>
      </w:r>
      <w:r>
        <w:t xml:space="preserve"> </w:t>
      </w:r>
      <w:r>
        <w:t xml:space="preserve">a composite metric penalizing three hard failure modes: missed escalations of life-threatening conditions, overconfident incorrect diagnoses, and unsafe reassurance in ambiguous cases. Seven models were evaluated and revealed a significant disconnect between diagnostic recall and safety. GPT-4o achieved the highest Safety Pass Rate (95.4%), followed closely by Claude Haiku 4.5 (94.6%), while several models exhibited high rates of missed escalations or unsafe reassurance. Notably, over-escalation rates ranged from 14.0% to 24.4% across all models, indicating that even the safest models by SPR unnecessarily escalate roughly one in five non-urgent cases—a trade-off with implications for alarm fatigue in clinical deployment. MedSafe-Dx provides a robust stress test for identifying high-risk failure modes in diagnostic decision support and shows that high diagnostic accuracy does not guarantee clinical safety. While the benchmark is currently limited by synthetic data and proxy labels, it provides a reproducible, auditable framework for testing AI behavior before clinical deployment. Our findings suggest that interventions such as safety-focused prompting could be essential components for the safe deployment of LLMs in clinical workflows.</w:t>
      </w:r>
    </w:p>
    <w:bookmarkStart w:id="9" w:name="introduction"/>
    <w:p>
      <w:pPr>
        <w:pStyle w:val="Heading1"/>
      </w:pPr>
      <w:r>
        <w:t xml:space="preserve">Introduction</w:t>
      </w:r>
    </w:p>
    <w:p>
      <w:pPr>
        <w:pStyle w:val="FirstParagraph"/>
      </w:pPr>
      <w:r>
        <w:t xml:space="preserve">The integration of Large Language Models (LLMs) into clinical workflows has transitioned from theoretical exploration to active implementation in clinical decision support (CDS) systems</w:t>
      </w:r>
      <w:r>
        <w:t xml:space="preserve"> </w:t>
      </w:r>
      <w:r>
        <w:t xml:space="preserve">(Castonguay and Lovis 2023; Beltramin et al. 2025)</w:t>
      </w:r>
      <w:r>
        <w:t xml:space="preserve">. Physicians face ever-increasing workloads as healthcare worker shortages persist</w:t>
      </w:r>
      <w:r>
        <w:t xml:space="preserve"> </w:t>
      </w:r>
      <w:r>
        <w:t xml:space="preserve">(Health Resources and Services Administration 2026)</w:t>
      </w:r>
      <w:r>
        <w:t xml:space="preserve">. In addition to many hospitals being understaffed, physicians report high levels of burnout due to administrative burden</w:t>
      </w:r>
      <w:r>
        <w:t xml:space="preserve"> </w:t>
      </w:r>
      <w:r>
        <w:t xml:space="preserve">(</w:t>
      </w:r>
      <w:r>
        <w:t xml:space="preserve">Dave et al.</w:t>
      </w:r>
      <w:r>
        <w:t xml:space="preserve"> </w:t>
      </w:r>
      <w:r>
        <w:t xml:space="preserve">2026)</w:t>
      </w:r>
      <w:r>
        <w:t xml:space="preserve">. There is great need for tools to streamline processes and magnify the capabilities of physicians to address unmet need in the healthcare space. The promise of LLMs to enhance healthcare delivery is contingent upon their ability to provide reliable diagnostic assistance and triage automation, effectively serving as a</w:t>
      </w:r>
      <w:r>
        <w:t xml:space="preserve"> </w:t>
      </w:r>
      <w:r>
        <w:t xml:space="preserve">“force multiplier”</w:t>
      </w:r>
      <w:r>
        <w:t xml:space="preserve"> </w:t>
      </w:r>
      <w:r>
        <w:t xml:space="preserve">that mitigates the risks associated with physician fatigue and systemic understaffing.</w:t>
      </w:r>
    </w:p>
    <w:p>
      <w:pPr>
        <w:pStyle w:val="BodyText"/>
      </w:pPr>
      <w:r>
        <w:t xml:space="preserve">However, the rapid adoption of these technologies has outpaced the development of clinically meaningful safety benchmarks. Some existing benchmarks evaluate LLM safety based upon diagnostic recall and medical knowledge accuracy such as MedQA. Others have a clinical reasoning focus such as MedAlign or HealthBench. Clinical reasoning benchmarks are an integral part of evaluating LLM safety in healthcare settings as they simulate real conversations between patients and providers and help evaluate the use-cases of LLMs in real-world settings. Our benchmark goes further along this vein and measures the</w:t>
      </w:r>
      <w:r>
        <w:t xml:space="preserve"> </w:t>
      </w:r>
      <w:r>
        <w:t xml:space="preserve">“judgement”</w:t>
      </w:r>
      <w:r>
        <w:t xml:space="preserve"> </w:t>
      </w:r>
      <w:r>
        <w:t xml:space="preserve">capabilities of LLMs. We evaluate whether a model can correctly escalate a case. It is crucial for LLMs not only to be diagnostically accurate, but to also correctly identify and escalate crisis if they are to be integrated into healthcare workflows.</w:t>
      </w:r>
    </w:p>
    <w:p>
      <w:pPr>
        <w:pStyle w:val="BodyText"/>
      </w:pPr>
      <w:r>
        <w:t xml:space="preserve">For instance, studies have shown that while frontier models can achieve over 90% accuracy on static medical questions, they often fail to identify critical</w:t>
      </w:r>
      <w:r>
        <w:t xml:space="preserve"> </w:t>
      </w:r>
      <w:r>
        <w:t xml:space="preserve">“red flag”</w:t>
      </w:r>
      <w:r>
        <w:t xml:space="preserve"> </w:t>
      </w:r>
      <w:r>
        <w:t xml:space="preserve">symptoms in simulated triage, leading to potentially catastrophic delays in care</w:t>
      </w:r>
      <w:r>
        <w:t xml:space="preserve"> </w:t>
      </w:r>
      <w:r>
        <w:t xml:space="preserve">(Wornow et al. 2023;</w:t>
      </w:r>
      <w:r>
        <w:t xml:space="preserve"> </w:t>
      </w:r>
      <w:r>
        <w:t xml:space="preserve">Tu et al.</w:t>
      </w:r>
      <w:r>
        <w:t xml:space="preserve"> </w:t>
      </w:r>
      <w:r>
        <w:t xml:space="preserve">2025)</w:t>
      </w:r>
      <w:r>
        <w:t xml:space="preserve">. Furthermore, research into LLM calibration indicates that models frequently express high verbal confidence even when their underlying diagnostic logic is flawed, a phenomenon known as</w:t>
      </w:r>
      <w:r>
        <w:t xml:space="preserve"> </w:t>
      </w:r>
      <w:r>
        <w:t xml:space="preserve">“unsafe reassurance”</w:t>
      </w:r>
      <w:r>
        <w:t xml:space="preserve"> </w:t>
      </w:r>
      <w:r>
        <w:t xml:space="preserve">(</w:t>
      </w:r>
      <w:r>
        <w:t xml:space="preserve">Oliveira et al.</w:t>
      </w:r>
      <w:r>
        <w:t xml:space="preserve"> </w:t>
      </w:r>
      <w:r>
        <w:t xml:space="preserve">2025)</w:t>
      </w:r>
      <w:r>
        <w:t xml:space="preserve">. These findings suggest that current benchmarks, which aggregate performance into a single accuracy metric, may inadvertently mask high-risk failure modes that render a model unsuitable for real-world clinical deployment</w:t>
      </w:r>
      <w:r>
        <w:t xml:space="preserve"> </w:t>
      </w:r>
      <w:r>
        <w:t xml:space="preserve">(</w:t>
      </w:r>
      <w:r>
        <w:t xml:space="preserve">Asgari et al.</w:t>
      </w:r>
      <w:r>
        <w:t xml:space="preserve"> </w:t>
      </w:r>
      <w:r>
        <w:t xml:space="preserve">2025)</w:t>
      </w:r>
      <w:r>
        <w:t xml:space="preserve">.</w:t>
      </w:r>
    </w:p>
    <w:p>
      <w:pPr>
        <w:pStyle w:val="BodyText"/>
      </w:pPr>
      <w:r>
        <w:t xml:space="preserve">In this study, we introduce MedSafe-Dx, a deterministic safety stress test designed to evaluate these specific failure modes. By utilizing a rules-based evaluation of frontier LLMs, we demonstrate that diagnostic proficiency is not always correlated with clinical safety</w:t>
      </w:r>
      <w:r>
        <w:t xml:space="preserve"> </w:t>
      </w:r>
      <w:r>
        <w:t xml:space="preserve">(</w:t>
      </w:r>
      <w:r>
        <w:t xml:space="preserve">Asgari et al.</w:t>
      </w:r>
      <w:r>
        <w:t xml:space="preserve"> </w:t>
      </w:r>
      <w:r>
        <w:t xml:space="preserve">2025)</w:t>
      </w:r>
      <w:r>
        <w:t xml:space="preserve">. Our findings suggest that without specific architectural safeguards, even high-performing models can provide</w:t>
      </w:r>
      <w:r>
        <w:t xml:space="preserve"> </w:t>
      </w:r>
      <w:r>
        <w:t xml:space="preserve">“unsafe reassurance”</w:t>
      </w:r>
      <w:r>
        <w:t xml:space="preserve"> </w:t>
      </w:r>
      <w:r>
        <w:t xml:space="preserve">or miss critical escalations, potentially exacerbating the very risks that AI-augmented workflows aim to reduce. We designed MedSafe-Dx to act as a safety stress test for diagnostic decision support. Rather than measuring knowledge breadth, we ask three specific safety questions:</w:t>
      </w:r>
    </w:p>
    <w:p>
      <w:pPr>
        <w:numPr>
          <w:ilvl w:val="0"/>
          <w:numId w:val="1001"/>
        </w:numPr>
      </w:pPr>
      <w:r>
        <w:rPr>
          <w:b/>
          <w:bCs/>
        </w:rPr>
        <w:t xml:space="preserve">Escalation sensitivity:</w:t>
      </w:r>
      <w:r>
        <w:t xml:space="preserve"> </w:t>
      </w:r>
      <w:r>
        <w:t xml:space="preserve">Does the model escalate care when a condition could be fatal if missed?</w:t>
      </w:r>
    </w:p>
    <w:p>
      <w:pPr>
        <w:numPr>
          <w:ilvl w:val="0"/>
          <w:numId w:val="1001"/>
        </w:numPr>
      </w:pPr>
      <w:r>
        <w:rPr>
          <w:b/>
          <w:bCs/>
        </w:rPr>
        <w:t xml:space="preserve">False reassurance:</w:t>
      </w:r>
      <w:r>
        <w:t xml:space="preserve"> </w:t>
      </w:r>
      <w:r>
        <w:t xml:space="preserve">Does it avoid telling a patient they are fine when they are actually at risk?</w:t>
      </w:r>
    </w:p>
    <w:p>
      <w:pPr>
        <w:numPr>
          <w:ilvl w:val="0"/>
          <w:numId w:val="1001"/>
        </w:numPr>
      </w:pPr>
      <w:r>
        <w:rPr>
          <w:b/>
          <w:bCs/>
        </w:rPr>
        <w:t xml:space="preserve">Calibration:</w:t>
      </w:r>
      <w:r>
        <w:t xml:space="preserve"> </w:t>
      </w:r>
      <w:r>
        <w:t xml:space="preserve">Does it express appropriate uncertainty when the clinical picture is genuinely ambiguous?</w:t>
      </w:r>
    </w:p>
    <w:p>
      <w:pPr>
        <w:pStyle w:val="FirstParagraph"/>
      </w:pPr>
      <w:r>
        <w:t xml:space="preserve">We operate from the principle that for clinical decision support tools, safety is a prerequisite for utility, not a variable to be traded off against accuracy. A model with perfect diagnostic recall but frequent missed escalations is dangerous.</w:t>
      </w:r>
    </w:p>
    <w:bookmarkEnd w:id="9"/>
    <w:bookmarkStart w:id="10" w:name="materials"/>
    <w:p>
      <w:pPr>
        <w:pStyle w:val="Heading1"/>
      </w:pPr>
      <w:r>
        <w:t xml:space="preserve">Materials</w:t>
      </w:r>
    </w:p>
    <w:p>
      <w:pPr>
        <w:pStyle w:val="FirstParagraph"/>
      </w:pPr>
      <w:r>
        <w:t xml:space="preserve">The MedSafe-Dx (v0) benchmark was constructed using a reproducibly sampled subset (</w:t>
      </w:r>
      <m:oMath>
        <m:r>
          <m:t>N</m:t>
        </m:r>
        <m:r>
          <m:rPr>
            <m:sty m:val="p"/>
          </m:rPr>
          <m:t>=</m:t>
        </m:r>
        <m:r>
          <m:t>500</m:t>
        </m:r>
      </m:oMath>
      <w:r>
        <w:t xml:space="preserve">, Seed 42) of the January 2026 DDXPlus dataset</w:t>
      </w:r>
      <w:r>
        <w:t xml:space="preserve"> </w:t>
      </w:r>
      <w:r>
        <w:t xml:space="preserve">(Tchango et al. 2022)</w:t>
      </w:r>
      <w:r>
        <w:t xml:space="preserve">. DDXPlus is a large-scale synthetic clinical dataset comprising 1.3 million patient profiles generated from a proprietary medical knowledge base and a rules-based diagnostic engine. Each profile includes a ground-truth pathology, a complete differential diagnosis with associated probabilities, and a comprehensive set of symptoms and medical antecedents.</w:t>
      </w:r>
    </w:p>
    <w:p>
      <w:pPr>
        <w:pStyle w:val="BodyText"/>
      </w:pPr>
      <w:r>
        <w:t xml:space="preserve">The architecture of DDXPlus is integral to this benchmark because every pathology is assigned a severity score (1–5), where lower values denote higher clinical acuity. This structured metadata provides an objective, deterministic environment to assess triage safety, mimicking the nuanced data a physician must synthesize during a patient encounter.</w:t>
      </w:r>
    </w:p>
    <w:bookmarkEnd w:id="10"/>
    <w:bookmarkStart w:id="16" w:name="methods"/>
    <w:p>
      <w:pPr>
        <w:pStyle w:val="Heading1"/>
      </w:pPr>
      <w:r>
        <w:t xml:space="preserve">Methods</w:t>
      </w:r>
    </w:p>
    <w:bookmarkStart w:id="11" w:name="gold-label-extraction-and-triage-logic"/>
    <w:p>
      <w:pPr>
        <w:pStyle w:val="Heading2"/>
      </w:pPr>
      <w:r>
        <w:t xml:space="preserve">Gold Label Extraction and Triage Logic</w:t>
      </w:r>
    </w:p>
    <w:p>
      <w:pPr>
        <w:pStyle w:val="FirstParagraph"/>
      </w:pPr>
      <w:r>
        <w:t xml:space="preserve">For each sampled case, we extracted three components to form a</w:t>
      </w:r>
      <w:r>
        <w:t xml:space="preserve"> </w:t>
      </w:r>
      <w:r>
        <w:t xml:space="preserve">“Gold Label”</w:t>
      </w:r>
      <w:r>
        <w:t xml:space="preserve"> </w:t>
      </w:r>
      <w:r>
        <w:t xml:space="preserve">standard:</w:t>
      </w:r>
    </w:p>
    <w:p>
      <w:pPr>
        <w:pStyle w:val="BodyText"/>
      </w:pPr>
      <w:r>
        <w:t xml:space="preserve">The top-3 differential diagnosis codes from DDXPlus were extracted and mapped to their respective severity scores.</w:t>
      </w:r>
    </w:p>
    <w:p>
      <w:pPr>
        <w:pStyle w:val="BodyText"/>
      </w:pPr>
      <w:r>
        <w:t xml:space="preserve">A binary triage label was assigned based on acuity. If any of the top-3 diagnoses featured a severity score</w:t>
      </w:r>
      <w:r>
        <w:t xml:space="preserve"> </w:t>
      </w:r>
      <m:oMath>
        <m:r>
          <m:rPr>
            <m:sty m:val="p"/>
          </m:rPr>
          <m:t>≤</m:t>
        </m:r>
        <m:r>
          <m:t>2</m:t>
        </m:r>
      </m:oMath>
      <w:r>
        <w:t xml:space="preserve">, the case was labeled</w:t>
      </w:r>
      <w:r>
        <w:t xml:space="preserve"> </w:t>
      </w:r>
      <w:r>
        <w:rPr>
          <w:smallCaps/>
        </w:rPr>
        <w:t xml:space="preserve">escalate_now</w:t>
      </w:r>
      <w:r>
        <w:t xml:space="preserve">; otherwise, it was labeled</w:t>
      </w:r>
      <w:r>
        <w:t xml:space="preserve"> </w:t>
      </w:r>
      <w:r>
        <w:rPr>
          <w:smallCaps/>
        </w:rPr>
        <w:t xml:space="preserve">routine_care</w:t>
      </w:r>
      <w:r>
        <w:t xml:space="preserve">. This threshold aligns with established triage frameworks: DDXPlus severity 1 corresponds to life-threatening emergencies (e.g., anaphylaxis, STEMI) mapped to ESI Level 1 / CTAS Level I, while severity 2 corresponds to serious/urgent conditions (e.g., pulmonary embolism, unstable angina) mapped to ESI Level 2 / CTAS Level II. Both levels represent conditions where delayed evaluation poses material risk of morbidity or mortality. This deterministic proxy is not a clinician-adjudicated triage label; it serves as a conservative, reproducible threshold consistent with the principle that conditions at these acuity levels warrant immediate clinical evaluation.</w:t>
      </w:r>
    </w:p>
    <w:p>
      <w:pPr>
        <w:pStyle w:val="BodyText"/>
      </w:pPr>
      <w:r>
        <w:t xml:space="preserve">Cases were flagged as</w:t>
      </w:r>
      <w:r>
        <w:t xml:space="preserve"> </w:t>
      </w:r>
      <w:r>
        <w:t xml:space="preserve">“Ambiguous”</w:t>
      </w:r>
      <w:r>
        <w:t xml:space="preserve"> </w:t>
      </w:r>
      <w:r>
        <w:t xml:space="preserve">(</w:t>
      </w:r>
      <w:r>
        <w:rPr>
          <w:rStyle w:val="VerbatimChar"/>
        </w:rPr>
        <w:t xml:space="preserve">uncertainty_acceptable = True</w:t>
      </w:r>
      <w:r>
        <w:t xml:space="preserve">) if the gold differential contained two or more diagnoses whose DDXPlus severity scores differed by</w:t>
      </w:r>
      <w:r>
        <w:t xml:space="preserve"> </w:t>
      </w:r>
      <m:oMath>
        <m:r>
          <m:rPr>
            <m:sty m:val="p"/>
          </m:rPr>
          <m:t>≤</m:t>
        </m:r>
        <m:r>
          <m:t>1</m:t>
        </m:r>
      </m:oMath>
      <w:r>
        <w:t xml:space="preserve"> </w:t>
      </w:r>
      <w:r>
        <w:t xml:space="preserve">(i.e.,</w:t>
      </w:r>
      <w:r>
        <w:t xml:space="preserve"> </w:t>
      </w:r>
      <m:oMath>
        <m:r>
          <m:rPr>
            <m:nor/>
            <m:sty m:val="p"/>
          </m:rPr>
          <m:t>max_severity</m:t>
        </m:r>
        <m:r>
          <m:rPr>
            <m:sty m:val="p"/>
          </m:rPr>
          <m:t>−</m:t>
        </m:r>
        <m:r>
          <m:rPr>
            <m:nor/>
            <m:sty m:val="p"/>
          </m:rPr>
          <m:t>min_severity</m:t>
        </m:r>
        <m:r>
          <m:rPr>
            <m:sty m:val="p"/>
          </m:rPr>
          <m:t>≤</m:t>
        </m:r>
        <m:r>
          <m:t>1</m:t>
        </m:r>
      </m:oMath>
      <w:r>
        <w:t xml:space="preserve"> </w:t>
      </w:r>
      <w:r>
        <w:t xml:space="preserve">across the gold top-3). This operationalizes</w:t>
      </w:r>
      <w:r>
        <w:t xml:space="preserve"> </w:t>
      </w:r>
      <w:r>
        <w:t xml:space="preserve">“narrow margin”</w:t>
      </w:r>
      <w:r>
        <w:t xml:space="preserve"> </w:t>
      </w:r>
      <w:r>
        <w:t xml:space="preserve">as a severity spread of at most one level and</w:t>
      </w:r>
      <w:r>
        <w:t xml:space="preserve"> </w:t>
      </w:r>
      <w:r>
        <w:t xml:space="preserve">“conflicting severity markers”</w:t>
      </w:r>
      <w:r>
        <w:t xml:space="preserve"> </w:t>
      </w:r>
      <w:r>
        <w:t xml:space="preserve">as multiple diagnoses clustering at similar acuity. In the evaluation set, 217 of 500 cases (43.4%) met this criterion. This is a mechanistic proxy for clinical ambiguity, not a clinician-validated uncertainty target.</w:t>
      </w:r>
    </w:p>
    <w:bookmarkEnd w:id="11"/>
    <w:bookmarkStart w:id="12" w:name="model-inference"/>
    <w:p>
      <w:pPr>
        <w:pStyle w:val="Heading2"/>
      </w:pPr>
      <w:r>
        <w:t xml:space="preserve">Model Inference</w:t>
      </w:r>
    </w:p>
    <w:p>
      <w:pPr>
        <w:pStyle w:val="FirstParagraph"/>
      </w:pPr>
      <w:r>
        <w:t xml:space="preserve">Frontier LLMs were presented with the structured patient symptoms and antecedents (excluding gold labels) using the</w:t>
      </w:r>
      <w:r>
        <w:t xml:space="preserve"> </w:t>
      </w:r>
      <w:r>
        <w:rPr>
          <w:rStyle w:val="VerbatimChar"/>
        </w:rPr>
        <w:t xml:space="preserve">intake</w:t>
      </w:r>
      <w:r>
        <w:t xml:space="preserve"> </w:t>
      </w:r>
      <w:r>
        <w:t xml:space="preserve">workflow with prompt version v4. All inference runs used a temperature of 0.0 to maximize reproducibility. Models were instructed to provide a response in a standardized JSON format including: (1) a differential of 5 ICD-10 codes, (2) a triage decision (</w:t>
      </w:r>
      <w:r>
        <w:rPr>
          <w:smallCaps/>
        </w:rPr>
        <w:t xml:space="preserve">escalate_now</w:t>
      </w:r>
      <w:r>
        <w:t xml:space="preserve"> </w:t>
      </w:r>
      <w:r>
        <w:t xml:space="preserve">or</w:t>
      </w:r>
      <w:r>
        <w:t xml:space="preserve"> </w:t>
      </w:r>
      <w:r>
        <w:rPr>
          <w:smallCaps/>
        </w:rPr>
        <w:t xml:space="preserve">routine_care</w:t>
      </w:r>
      <w:r>
        <w:t xml:space="preserve">), and (3) a confidence self-assessment (</w:t>
      </w:r>
      <w:r>
        <w:rPr>
          <w:smallCaps/>
        </w:rPr>
        <w:t xml:space="preserve">confident</w:t>
      </w:r>
      <w:r>
        <w:t xml:space="preserve"> </w:t>
      </w:r>
      <w:r>
        <w:t xml:space="preserve">or</w:t>
      </w:r>
      <w:r>
        <w:t xml:space="preserve"> </w:t>
      </w:r>
      <w:r>
        <w:rPr>
          <w:smallCaps/>
        </w:rPr>
        <w:t xml:space="preserve">uncertain</w:t>
      </w:r>
      <w:r>
        <w:t xml:space="preserve">). Note that the Safety Pass Rate (SPR) reported in</w:t>
      </w:r>
      <w:r>
        <w:t xml:space="preserve"> </w:t>
      </w:r>
      <w:hyperlink w:anchor="tab:results">
        <w:r>
          <w:rPr>
            <w:rStyle w:val="Hyperlink"/>
          </w:rPr>
          <w:t xml:space="preserve">[tab:results]</w:t>
        </w:r>
      </w:hyperlink>
      <w:r>
        <w:t xml:space="preserve"> </w:t>
      </w:r>
      <w:r>
        <w:t xml:space="preserve">is computed over all</w:t>
      </w:r>
      <w:r>
        <w:t xml:space="preserve"> </w:t>
      </w:r>
      <m:oMath>
        <m:r>
          <m:t>N</m:t>
        </m:r>
        <m:r>
          <m:rPr>
            <m:sty m:val="p"/>
          </m:rPr>
          <m:t>=</m:t>
        </m:r>
        <m:r>
          <m:t>500</m:t>
        </m:r>
      </m:oMath>
      <w:r>
        <w:t xml:space="preserve"> </w:t>
      </w:r>
      <w:r>
        <w:t xml:space="preserve">cases (including coverage failures in the denominator); however, coverage varied across models from 69.8% to 100%. Models with incomplete coverage are penalized in the primary SPR metric, as unparseable outputs are not counted as safe. A secondary metric,</w:t>
      </w:r>
      <w:r>
        <w:t xml:space="preserve"> </w:t>
      </w:r>
      <m:oMath>
        <m:sSub>
          <m:e>
            <m:r>
              <m:rPr>
                <m:nor/>
                <m:sty m:val="p"/>
              </m:rPr>
              <m:t>SPR</m:t>
            </m:r>
          </m:e>
          <m:sub>
            <m:r>
              <m:rPr>
                <m:nor/>
                <m:sty m:val="p"/>
              </m:rPr>
              <m:t>valid</m:t>
            </m:r>
          </m:sub>
        </m:sSub>
      </m:oMath>
      <w:r>
        <w:t xml:space="preserve">, restricts the denominator to valid predictions only and is available in the evaluation artifacts.</w:t>
      </w:r>
    </w:p>
    <w:bookmarkEnd w:id="12"/>
    <w:bookmarkStart w:id="13" w:name="X2a52b2e63714378a05b58e694364d0cb752b836"/>
    <w:p>
      <w:pPr>
        <w:pStyle w:val="Heading2"/>
      </w:pPr>
      <w:r>
        <w:t xml:space="preserve">Deterministic Evaluation and Safety Pass Rate</w:t>
      </w:r>
    </w:p>
    <w:p>
      <w:pPr>
        <w:pStyle w:val="FirstParagraph"/>
      </w:pPr>
      <w:r>
        <w:t xml:space="preserve">Rather than utilizing</w:t>
      </w:r>
      <w:r>
        <w:t xml:space="preserve"> </w:t>
      </w:r>
      <w:r>
        <w:t xml:space="preserve">“LLM-as-a-judge”</w:t>
      </w:r>
      <w:r>
        <w:t xml:space="preserve"> </w:t>
      </w:r>
      <w:r>
        <w:t xml:space="preserve">or subjective rubrics, we utilized a Python-based scoring engine to compare model outputs against the DDXPlus gold labels. Models that failed to adhere to the output schema were marked as Coverage Failures (0% score). The engine assessed cases for three</w:t>
      </w:r>
      <w:r>
        <w:t xml:space="preserve"> </w:t>
      </w:r>
      <w:r>
        <w:t xml:space="preserve">“Hard Fail”</w:t>
      </w:r>
      <w:r>
        <w:t xml:space="preserve"> </w:t>
      </w:r>
      <w:r>
        <w:t xml:space="preserve">safety violations:</w:t>
      </w:r>
    </w:p>
    <w:p>
      <w:pPr>
        <w:pStyle w:val="BodyText"/>
      </w:pPr>
      <w:r>
        <w:t xml:space="preserve">The gold label required urgent care, but the LLM selected routine care.</w:t>
      </w:r>
    </w:p>
    <w:p>
      <w:pPr>
        <w:pStyle w:val="BodyText"/>
      </w:pPr>
      <w:r>
        <w:t xml:space="preserve">The case was marked as ambiguous or high-risk, but the LLM selected</w:t>
      </w:r>
      <w:r>
        <w:t xml:space="preserve"> </w:t>
      </w:r>
      <w:r>
        <w:rPr>
          <w:smallCaps/>
        </w:rPr>
        <w:t xml:space="preserve">routine_care</w:t>
      </w:r>
      <w:r>
        <w:t xml:space="preserve"> </w:t>
      </w:r>
      <w:r>
        <w:t xml:space="preserve">with</w:t>
      </w:r>
      <w:r>
        <w:t xml:space="preserve"> </w:t>
      </w:r>
      <w:r>
        <w:rPr>
          <w:smallCaps/>
        </w:rPr>
        <w:t xml:space="preserve">confident</w:t>
      </w:r>
      <w:r>
        <w:t xml:space="preserve"> </w:t>
      </w:r>
      <w:r>
        <w:t xml:space="preserve">status.</w:t>
      </w:r>
    </w:p>
    <w:p>
      <w:pPr>
        <w:pStyle w:val="BodyText"/>
      </w:pPr>
      <w:r>
        <w:t xml:space="preserve">The LLM expressed</w:t>
      </w:r>
      <w:r>
        <w:t xml:space="preserve"> </w:t>
      </w:r>
      <w:r>
        <w:rPr>
          <w:smallCaps/>
        </w:rPr>
        <w:t xml:space="preserve">confident</w:t>
      </w:r>
      <w:r>
        <w:t xml:space="preserve"> </w:t>
      </w:r>
      <w:r>
        <w:t xml:space="preserve">status but failed to include the ground-truth diagnosis in its top-3 ICD-10 codes.</w:t>
      </w:r>
    </w:p>
    <w:p>
      <w:pPr>
        <w:pStyle w:val="BodyText"/>
      </w:pPr>
      <w:r>
        <w:t xml:space="preserve">A single case may trigger multiple hard failures simultaneously (e.g., both Missed Escalation and Unsafe Reassurance). However, for the Safety Pass Rate, each case is counted only once as either safe or failed (Boolean OR of all failure flags). Individual failure counts are reported separately to allow per-mode analysis, meaning the sum of failure counts across modes may exceed the total number of failed cases.</w:t>
      </w:r>
    </w:p>
    <w:p>
      <w:pPr>
        <w:pStyle w:val="BodyText"/>
      </w:pPr>
      <w:r>
        <w:t xml:space="preserve">Accuracy was treated as a secondary metric: Top-3 Diagnostic Recall was only calculated for cases that first passed all safety checks. The primary metric, the</w:t>
      </w:r>
      <w:r>
        <w:t xml:space="preserve"> </w:t>
      </w:r>
      <w:r>
        <w:rPr>
          <w:b/>
          <w:bCs/>
        </w:rPr>
        <w:t xml:space="preserve">Safety Pass Rate</w:t>
      </w:r>
      <w:r>
        <w:t xml:space="preserve"> </w:t>
      </w:r>
      <w:r>
        <w:t xml:space="preserve">(SPR), is formally defined as:</w:t>
      </w:r>
    </w:p>
    <w:p>
      <w:pPr>
        <w:pStyle w:val="BodyText"/>
      </w:pPr>
      <m:oMathPara>
        <m:oMathParaPr>
          <m:jc m:val="center"/>
        </m:oMathParaPr>
        <m:oMath>
          <m:r>
            <m:rPr>
              <m:nor/>
              <m:sty m:val="p"/>
            </m:rPr>
            <m:t>SPR</m:t>
          </m:r>
          <m:r>
            <m:rPr>
              <m:sty m:val="p"/>
            </m:rPr>
            <m:t>=</m:t>
          </m:r>
          <m:f>
            <m:fPr>
              <m:type m:val="bar"/>
            </m:fPr>
            <m:num>
              <m:sSub>
                <m:e>
                  <m:r>
                    <m:t>C</m:t>
                  </m:r>
                </m:e>
                <m:sub>
                  <m:r>
                    <m:rPr>
                      <m:nor/>
                      <m:sty m:val="p"/>
                    </m:rPr>
                    <m:t>safe</m:t>
                  </m:r>
                </m:sub>
              </m:sSub>
            </m:num>
            <m:den>
              <m:r>
                <m:t>N</m:t>
              </m:r>
            </m:den>
          </m:f>
        </m:oMath>
      </m:oMathPara>
    </w:p>
    <w:p>
      <w:pPr>
        <w:pStyle w:val="FirstParagraph"/>
      </w:pPr>
      <w:r>
        <w:t xml:space="preserve">where</w:t>
      </w:r>
      <w:r>
        <w:t xml:space="preserve"> </w:t>
      </w:r>
      <m:oMath>
        <m:sSub>
          <m:e>
            <m:r>
              <m:t>C</m:t>
            </m:r>
          </m:e>
          <m:sub>
            <m:r>
              <m:rPr>
                <m:nor/>
                <m:sty m:val="p"/>
              </m:rPr>
              <m:t>safe</m:t>
            </m:r>
          </m:sub>
        </m:sSub>
      </m:oMath>
      <w:r>
        <w:t xml:space="preserve"> </w:t>
      </w:r>
      <w:r>
        <w:t xml:space="preserve">is the number of cases with zero hard safety failures and</w:t>
      </w:r>
      <w:r>
        <w:t xml:space="preserve"> </w:t>
      </w:r>
      <m:oMath>
        <m:r>
          <m:t>N</m:t>
        </m:r>
      </m:oMath>
      <w:r>
        <w:t xml:space="preserve"> </w:t>
      </w:r>
      <w:r>
        <w:t xml:space="preserve">is the total number of expected cases (</w:t>
      </w:r>
      <m:oMath>
        <m:r>
          <m:t>N</m:t>
        </m:r>
        <m:r>
          <m:rPr>
            <m:sty m:val="p"/>
          </m:rPr>
          <m:t>=</m:t>
        </m:r>
        <m:r>
          <m:t>500</m:t>
        </m:r>
      </m:oMath>
      <w:r>
        <w:t xml:space="preserve">). Crucially, coverage failures (missing or unparseable outputs) remain in the denominator and are not counted as safe, meaning that format non-compliance is penalized equivalently to a safety failure. A secondary metric,</w:t>
      </w:r>
      <w:r>
        <w:t xml:space="preserve"> </w:t>
      </w:r>
      <m:oMath>
        <m:sSub>
          <m:e>
            <m:r>
              <m:rPr>
                <m:nor/>
                <m:sty m:val="p"/>
              </m:rPr>
              <m:t>SPR</m:t>
            </m:r>
          </m:e>
          <m:sub>
            <m:r>
              <m:rPr>
                <m:nor/>
                <m:sty m:val="p"/>
              </m:rPr>
              <m:t>valid</m:t>
            </m:r>
          </m:sub>
        </m:sSub>
        <m:r>
          <m:rPr>
            <m:sty m:val="p"/>
          </m:rPr>
          <m:t>=</m:t>
        </m:r>
        <m:sSub>
          <m:e>
            <m:r>
              <m:t>C</m:t>
            </m:r>
          </m:e>
          <m:sub>
            <m:r>
              <m:rPr>
                <m:nor/>
                <m:sty m:val="p"/>
              </m:rPr>
              <m:t>safe</m:t>
            </m:r>
          </m:sub>
        </m:sSub>
        <m:r>
          <m:rPr>
            <m:sty m:val="p"/>
          </m:rPr>
          <m:t>/</m:t>
        </m:r>
        <m:sSub>
          <m:e>
            <m:r>
              <m:t>N</m:t>
            </m:r>
          </m:e>
          <m:sub>
            <m:r>
              <m:rPr>
                <m:nor/>
                <m:sty m:val="p"/>
              </m:rPr>
              <m:t>valid</m:t>
            </m:r>
          </m:sub>
        </m:sSub>
      </m:oMath>
      <w:r>
        <w:t xml:space="preserve">, isolates clinical reasoning quality from format compliance by restricting the denominator to valid predictions only. The primary leaderboard uses SPR (full denominator) to reflect operational reliability.</w:t>
      </w:r>
    </w:p>
    <w:p>
      <w:pPr>
        <w:pStyle w:val="BodyText"/>
      </w:pPr>
      <w:r>
        <w:t xml:space="preserve">Models may achieve a perfect safety score by simply escalating every case. This is by design, as it allows the healthcare professional to have visibility and control of the trade-offs between over-escalation and missed safety issues, and choose models appropriate for their use case.</w:t>
      </w:r>
    </w:p>
    <w:p>
      <w:pPr>
        <w:pStyle w:val="BodyText"/>
      </w:pPr>
      <w:r>
        <w:t xml:space="preserve">It is worth noting, given the large-scale availability of the DDXPlus dataset, it is possible that evaluated models encountered portions of this data during pre-training. However, the MedSafe-Dx benchmark remains valid because we are measuring behavioral safety rather than simple knowledge recall. The benchmark evaluates the model’s ability to avoid false reassurance. Even if a diagnosis is correct, the model must express appropriate uncertainty in ambiguous cases to pass the safety check. In addition, appropriate escalation requires the model to recognize when an identified diagnosis constitutes a clinical emergency requiring immediate intervention versus routine follow-up, requiring the model to show reasoning capabilities beyond diagnostic recall.</w:t>
      </w:r>
    </w:p>
    <w:bookmarkEnd w:id="13"/>
    <w:bookmarkStart w:id="14" w:name="prompting-and-workflow-configuration"/>
    <w:p>
      <w:pPr>
        <w:pStyle w:val="Heading2"/>
      </w:pPr>
      <w:r>
        <w:t xml:space="preserve">Prompting and Workflow Configuration</w:t>
      </w:r>
    </w:p>
    <w:p>
      <w:pPr>
        <w:pStyle w:val="FirstParagraph"/>
      </w:pPr>
      <w:r>
        <w:t xml:space="preserve">All 500-case evaluations were conducted using a single</w:t>
      </w:r>
      <w:r>
        <w:t xml:space="preserve"> </w:t>
      </w:r>
      <w:r>
        <w:t xml:space="preserve">“intake”</w:t>
      </w:r>
      <w:r>
        <w:t xml:space="preserve"> </w:t>
      </w:r>
      <w:r>
        <w:t xml:space="preserve">workflow with prompt version v4, which instructs the model to act as a clinical decision support system performing initial patient intake triage. The prompt provides structured patient symptoms and antecedents and requests a differential diagnosis, triage disposition, and confidence self-assessment in a standardized JSON format. This single-workflow design ensures that all models are evaluated under identical conditions, isolating model-level differences from prompt-level variation. Future work could compare alternative deployment scenarios (e.g., urgent care priority triage, primary care chart review) using the same benchmark infrastructure.</w:t>
      </w:r>
    </w:p>
    <w:bookmarkEnd w:id="14"/>
    <w:bookmarkStart w:id="15" w:name="variability-analysis"/>
    <w:p>
      <w:pPr>
        <w:pStyle w:val="Heading2"/>
      </w:pPr>
      <w:r>
        <w:t xml:space="preserve">Variability Analysis</w:t>
      </w:r>
    </w:p>
    <w:p>
      <w:pPr>
        <w:pStyle w:val="FirstParagraph"/>
      </w:pPr>
      <w:r>
        <w:t xml:space="preserve">To account for the non-deterministic nature of LLMs, we conducted a variability analysis by running a subset of 50 cases across five separate iterations for each model. This allowed us to measure</w:t>
      </w:r>
      <w:r>
        <w:t xml:space="preserve"> </w:t>
      </w:r>
      <w:r>
        <w:t xml:space="preserve">“Decision Drift”</w:t>
      </w:r>
      <w:r>
        <w:t xml:space="preserve">—instances where the same patient history resulted in conflicting triage labels—calculating a Consistency Score that reflects the model’s reliability for production environments.</w:t>
      </w:r>
    </w:p>
    <w:bookmarkEnd w:id="15"/>
    <w:bookmarkEnd w:id="16"/>
    <w:bookmarkStart w:id="29" w:name="results"/>
    <w:p>
      <w:pPr>
        <w:pStyle w:val="Heading1"/>
      </w:pPr>
      <w:r>
        <w:t xml:space="preserve">Results</w:t>
      </w:r>
    </w:p>
    <w:p>
      <w:pPr>
        <w:pStyle w:val="FirstParagraph"/>
      </w:pPr>
      <w:r>
        <w:t xml:space="preserve">The evaluation of seven frontier Large Language Models on the MedSafe-Dx benchmark reveals a notable disparity between medical knowledge and clinical safety. The results are summarized in</w:t>
      </w:r>
      <w:r>
        <w:t xml:space="preserve"> </w:t>
      </w:r>
      <w:hyperlink w:anchor="tab:results">
        <w:r>
          <w:rPr>
            <w:rStyle w:val="Hyperlink"/>
          </w:rPr>
          <w:t xml:space="preserve">[tab:results]</w:t>
        </w:r>
      </w:hyperlink>
      <w:r>
        <w:t xml:space="preserve">, categorized by their primary safety metrics and secondary diagnostic accuracy. 95% binomial confidence intervals (Wilson score) are provided for the primary Safety Pass Rate metric to quantify sampling uncertainty at</w:t>
      </w:r>
      <w:r>
        <w:t xml:space="preserve"> </w:t>
      </w:r>
      <m:oMath>
        <m:r>
          <m:t>N</m:t>
        </m:r>
        <m:r>
          <m:rPr>
            <m:sty m:val="p"/>
          </m:rPr>
          <m:t>=</m:t>
        </m:r>
        <m:r>
          <m:t>500</m:t>
        </m:r>
      </m:oMath>
      <w:r>
        <w:t xml:space="preserve">.</w:t>
      </w:r>
    </w:p>
    <w:p>
      <w:pPr>
        <w:pStyle w:val="BodyText"/>
      </w:pPr>
      <m:oMath>
        <m:sSup>
          <m:e>
            <m:r>
              <m:t>​</m:t>
            </m:r>
          </m:e>
          <m:sup>
            <m:r>
              <m:rPr>
                <m:sty m:val="p"/>
              </m:rPr>
              <m:t>†</m:t>
            </m:r>
          </m:sup>
        </m:sSup>
      </m:oMath>
      <w:r>
        <w:t xml:space="preserve">Over-escalation: unnecessary escalations out of 194 non-urgent cases.</w:t>
      </w:r>
      <w:r>
        <w:t xml:space="preserve"> </w:t>
      </w:r>
      <m:oMath>
        <m:sSup>
          <m:e>
            <m:r>
              <m:t>​</m:t>
            </m:r>
          </m:e>
          <m:sup>
            <m:r>
              <m:rPr>
                <m:sty m:val="p"/>
              </m:rPr>
              <m:t>‡</m:t>
            </m:r>
          </m:sup>
        </m:sSup>
      </m:oMath>
      <w:r>
        <w:t xml:space="preserve">Top-3 recall computed on safety-passing cases only. Note: GPT-4o initially appeared to have 366/500 format failures; this was caused by a parser bug (the evaluator did not handle JS-style</w:t>
      </w:r>
      <w:r>
        <w:t xml:space="preserve"> </w:t>
      </w:r>
      <w:r>
        <w:rPr>
          <w:rStyle w:val="VerbatimChar"/>
        </w:rPr>
        <w:t xml:space="preserve">//</w:t>
      </w:r>
      <w:r>
        <w:t xml:space="preserve"> </w:t>
      </w:r>
      <w:r>
        <w:t xml:space="preserve">comments in JSON output). After patching the parser, all 500 GPT-4o responses were successfully parsed.</w:t>
      </w:r>
    </w:p>
    <w:bookmarkStart w:id="21" w:name="the-safetyknowledge-paradox"/>
    <w:p>
      <w:pPr>
        <w:pStyle w:val="Heading2"/>
      </w:pPr>
      <w:r>
        <w:t xml:space="preserve">The Safety–Knowledge Paradox</w:t>
      </w:r>
    </w:p>
    <w:p>
      <w:pPr>
        <w:pStyle w:val="FirstParagraph"/>
      </w:pPr>
      <w:r>
        <w:t xml:space="preserve">A key finding of this study is that strong performance in diagnostic recall does not necessarily equate to improved triage safety. Traditionally, high performance on medical examinations has been used as a proxy for clinical competence</w:t>
      </w:r>
      <w:r>
        <w:t xml:space="preserve"> </w:t>
      </w:r>
      <w:r>
        <w:t xml:space="preserve">(Gong et al. 2025)</w:t>
      </w:r>
      <w:r>
        <w:t xml:space="preserve">. However, our data suggests this is a flawed metric for safety. Gemini 3.1 Pro Preview achieved the highest Top-3 Diagnostic Recall (87.1%), yet it recorded the second-lowest Safety Pass Rate among fully evaluated models (77.4%). This model demonstrated superior diagnostic breadth but failed frequently in high-stakes judgment, particularly through Missed Escalations (44 cases), Unsafe Reassurance (27 cases), and Overconfident Wrong diagnoses (48 cases). In contrast, GPT-4o (95.4%), Claude Haiku 4.5 (94.6%), and Claude Sonnet 4.6 (93.2%) emerged as the safest models. Notably, Claude Haiku 4.5 did not possess the highest diagnostic accuracy (68.7% Top-3 recall), suggesting that its training or system prompts prioritize risk-aversion over diagnostic breadth. GPT-4o achieved the top safety ranking with a 73.4% Top-3 recall, demonstrating that high safety and moderate-to-strong diagnostic breadth can co-exist.</w:t>
      </w:r>
    </w:p>
    <w:bookmarkStart w:id="20" w:name="fig:safety-vs-recall"/>
    <w:p>
      <w:pPr>
        <w:pStyle w:val="CaptionedFigure"/>
      </w:pPr>
      <w:r>
        <w:drawing>
          <wp:inline>
            <wp:extent cx="4533900" cy="3097100"/>
            <wp:effectExtent b="0" l="0" r="0" t="0"/>
            <wp:docPr descr="" title="" id="18" name="Picture"/>
            <a:graphic>
              <a:graphicData uri="http://schemas.openxmlformats.org/drawingml/2006/picture">
                <pic:pic>
                  <pic:nvPicPr>
                    <pic:cNvPr descr="figures/fig1_safety_vs_recall.pdf" id="19" name="Picture"/>
                    <pic:cNvPicPr>
                      <a:picLocks noChangeArrowheads="1" noChangeAspect="1"/>
                    </pic:cNvPicPr>
                  </pic:nvPicPr>
                  <pic:blipFill>
                    <a:blip r:embed="rId17"/>
                    <a:stretch>
                      <a:fillRect/>
                    </a:stretch>
                  </pic:blipFill>
                  <pic:spPr bwMode="auto">
                    <a:xfrm>
                      <a:off x="0" y="0"/>
                      <a:ext cx="4533900" cy="3097100"/>
                    </a:xfrm>
                    <a:prstGeom prst="rect">
                      <a:avLst/>
                    </a:prstGeom>
                    <a:noFill/>
                    <a:ln w="9525">
                      <a:noFill/>
                      <a:headEnd/>
                      <a:tailEnd/>
                    </a:ln>
                  </pic:spPr>
                </pic:pic>
              </a:graphicData>
            </a:graphic>
          </wp:inline>
        </w:drawing>
      </w:r>
    </w:p>
    <w:p>
      <w:pPr>
        <w:pStyle w:val="ImageCaption"/>
      </w:pPr>
      <w:r>
        <w:t xml:space="preserve">Safety Pass Rate versus Top-3 Diagnostic Recall across evaluated models, illustrating the safety–knowledge paradox: high diagnostic accuracy does not predict high safety performance.</w:t>
      </w:r>
    </w:p>
    <w:bookmarkEnd w:id="20"/>
    <w:bookmarkEnd w:id="21"/>
    <w:bookmarkStart w:id="26" w:name="analysis-of-critical-failure-modes"/>
    <w:p>
      <w:pPr>
        <w:pStyle w:val="Heading2"/>
      </w:pPr>
      <w:r>
        <w:t xml:space="preserve">Analysis of Critical Failure Modes</w:t>
      </w:r>
    </w:p>
    <w:p>
      <w:pPr>
        <w:pStyle w:val="FirstParagraph"/>
      </w:pPr>
      <w:r>
        <w:t xml:space="preserve">We identified three distinct</w:t>
      </w:r>
      <w:r>
        <w:t xml:space="preserve"> </w:t>
      </w:r>
      <w:r>
        <w:t xml:space="preserve">“hard fail”</w:t>
      </w:r>
      <w:r>
        <w:t xml:space="preserve"> </w:t>
      </w:r>
      <w:r>
        <w:t xml:space="preserve">categories that compromise patient safety in a triage environment. Gemini 3.1 Pro Preview exhibited the highest volume of missed emergencies, triaging 44 high-acuity cases (Severity 1–2) as</w:t>
      </w:r>
      <w:r>
        <w:t xml:space="preserve"> </w:t>
      </w:r>
      <w:r>
        <w:t xml:space="preserve">“Routine Care.”</w:t>
      </w:r>
      <w:r>
        <w:t xml:space="preserve"> </w:t>
      </w:r>
      <w:r>
        <w:t xml:space="preserve">This is a catastrophic failure in a clinical setting where timely intervention is critical.</w:t>
      </w:r>
    </w:p>
    <w:p>
      <w:pPr>
        <w:pStyle w:val="BodyText"/>
      </w:pPr>
      <w:r>
        <w:rPr>
          <w:b/>
          <w:bCs/>
        </w:rPr>
        <w:t xml:space="preserve">Unsafe Reassurance.</w:t>
      </w:r>
      <w:r>
        <w:t xml:space="preserve"> </w:t>
      </w:r>
      <w:r>
        <w:t xml:space="preserve">This failure mode—where a model is confident in a</w:t>
      </w:r>
      <w:r>
        <w:t xml:space="preserve"> </w:t>
      </w:r>
      <w:r>
        <w:t xml:space="preserve">“Routine Care”</w:t>
      </w:r>
      <w:r>
        <w:t xml:space="preserve"> </w:t>
      </w:r>
      <w:r>
        <w:t xml:space="preserve">decision for an ambiguous or high-risk case—was most prevalent in Gemini 3.1 Pro Preview (27 cases) and Claude Opus 4.6 (19 cases). Models exhibiting this behavior pose the highest risk for patient-facing applications.</w:t>
      </w:r>
    </w:p>
    <w:p>
      <w:pPr>
        <w:pStyle w:val="BodyText"/>
      </w:pPr>
      <w:r>
        <w:rPr>
          <w:b/>
          <w:bCs/>
        </w:rPr>
        <w:t xml:space="preserve">Format Coverage.</w:t>
      </w:r>
      <w:r>
        <w:t xml:space="preserve"> </w:t>
      </w:r>
      <w:r>
        <w:t xml:space="preserve">Reliability remains a hurdle for certain model families. GPT-5.4 Pro only adhered to the required diagnostic format in 69.8% of cases, and GPT-5 Mini followed instructions in 88.6% of cases. Claude models and GPT-4o achieved 100% format compliance across all 500 cases. It should be noted that GPT-4o initially appeared to have severe format failures (366/500 responses unparseable); this was subsequently identified as a parser bug in the evaluation pipeline—GPT-4o emits JavaScript-style</w:t>
      </w:r>
      <w:r>
        <w:t xml:space="preserve"> </w:t>
      </w:r>
      <w:r>
        <w:rPr>
          <w:rStyle w:val="VerbatimChar"/>
        </w:rPr>
        <w:t xml:space="preserve">//</w:t>
      </w:r>
      <w:r>
        <w:t xml:space="preserve"> </w:t>
      </w:r>
      <w:r>
        <w:t xml:space="preserve">inline comments and occasional trailing commas inside its JSON output, which the original parser did not handle. After patching the parser to strip comments and trailing commas before JSON decoding, all 500 GPT-4o responses were successfully parsed.</w:t>
      </w:r>
    </w:p>
    <w:bookmarkStart w:id="25" w:name="fig:failure-modes"/>
    <w:p>
      <w:pPr>
        <w:pStyle w:val="CaptionedFigure"/>
      </w:pPr>
      <w:r>
        <w:drawing>
          <wp:inline>
            <wp:extent cx="5334000" cy="2644525"/>
            <wp:effectExtent b="0" l="0" r="0" t="0"/>
            <wp:docPr descr="" title="" id="23" name="Picture"/>
            <a:graphic>
              <a:graphicData uri="http://schemas.openxmlformats.org/drawingml/2006/picture">
                <pic:pic>
                  <pic:nvPicPr>
                    <pic:cNvPr descr="figures/fig2_failure_modes.pdf" id="24" name="Picture"/>
                    <pic:cNvPicPr>
                      <a:picLocks noChangeArrowheads="1" noChangeAspect="1"/>
                    </pic:cNvPicPr>
                  </pic:nvPicPr>
                  <pic:blipFill>
                    <a:blip r:embed="rId22"/>
                    <a:stretch>
                      <a:fillRect/>
                    </a:stretch>
                  </pic:blipFill>
                  <pic:spPr bwMode="auto">
                    <a:xfrm>
                      <a:off x="0" y="0"/>
                      <a:ext cx="5334000" cy="2644525"/>
                    </a:xfrm>
                    <a:prstGeom prst="rect">
                      <a:avLst/>
                    </a:prstGeom>
                    <a:noFill/>
                    <a:ln w="9525">
                      <a:noFill/>
                      <a:headEnd/>
                      <a:tailEnd/>
                    </a:ln>
                  </pic:spPr>
                </pic:pic>
              </a:graphicData>
            </a:graphic>
          </wp:inline>
        </w:drawing>
      </w:r>
    </w:p>
    <w:p>
      <w:pPr>
        <w:pStyle w:val="ImageCaption"/>
      </w:pPr>
      <w:r>
        <w:t xml:space="preserve">Distribution of hard safety failure modes (Missed Escalation, Unsafe Reassurance, Overconfident Wrong) by model, showing the distinct failure profiles across model families.</w:t>
      </w:r>
    </w:p>
    <w:bookmarkEnd w:id="25"/>
    <w:bookmarkEnd w:id="26"/>
    <w:bookmarkStart w:id="27" w:name="Xa86f1b98ede71d7fc151dd3bd49008b2299ba0c"/>
    <w:p>
      <w:pPr>
        <w:pStyle w:val="Heading2"/>
      </w:pPr>
      <w:r>
        <w:t xml:space="preserve">Triage Disposition: Conservative vs. Aggressive</w:t>
      </w:r>
    </w:p>
    <w:p>
      <w:pPr>
        <w:pStyle w:val="FirstParagraph"/>
      </w:pPr>
      <w:r>
        <w:t xml:space="preserve">The benchmark results reveal a clear</w:t>
      </w:r>
      <w:r>
        <w:t xml:space="preserve"> </w:t>
      </w:r>
      <w:r>
        <w:t xml:space="preserve">“Triage Bias”</w:t>
      </w:r>
      <w:r>
        <w:t xml:space="preserve"> </w:t>
      </w:r>
      <w:r>
        <w:t xml:space="preserve">among different model families. GPT-4o showed the strongest</w:t>
      </w:r>
      <w:r>
        <w:t xml:space="preserve"> </w:t>
      </w:r>
      <w:r>
        <w:t xml:space="preserve">“Safe-First”</w:t>
      </w:r>
      <w:r>
        <w:t xml:space="preserve"> </w:t>
      </w:r>
      <w:r>
        <w:t xml:space="preserve">bias, correctly escalating 283 out of 306 urgent cases while missing only 23. Claude Haiku 4.5 closely followed, escalating 281 of 306 urgent cases while missing 25. Gemini 3.1 Pro Preview was the least conservative among fully evaluated models, missing 44 of 306 urgent cases (escalating only 262). This</w:t>
      </w:r>
      <w:r>
        <w:t xml:space="preserve"> </w:t>
      </w:r>
      <w:r>
        <w:t xml:space="preserve">“aggressive”</w:t>
      </w:r>
      <w:r>
        <w:t xml:space="preserve"> </w:t>
      </w:r>
      <w:r>
        <w:t xml:space="preserve">triage logic leads to fewer over-escalation alarms but significantly higher rates of untreated emergencies—a clinically unacceptable trade-off.</w:t>
      </w:r>
    </w:p>
    <w:bookmarkEnd w:id="27"/>
    <w:bookmarkStart w:id="28" w:name="the-impact-of-reasoning-and-size"/>
    <w:p>
      <w:pPr>
        <w:pStyle w:val="Heading2"/>
      </w:pPr>
      <w:r>
        <w:t xml:space="preserve">The Impact of Reasoning and Size</w:t>
      </w:r>
    </w:p>
    <w:p>
      <w:pPr>
        <w:pStyle w:val="FirstParagraph"/>
      </w:pPr>
      <w:r>
        <w:t xml:space="preserve">The data suggests that models with full format compliance generally achieve higher safety scores. GPT-4o and all three Claude models achieved 100% coverage, occupying the top four safety rankings. Models with partial format compliance (GPT-5 Mini at 88.6%, GPT-5.4 Pro at 69.8%) tend to accumulate harm via invalid-output penalties in addition to substantive reasoning failures. Notably, model family is not the sole predictor of safety: GPT-4o ranked first (95.4% SPR) despite being from a different family than the closely following Claude models, suggesting that safety-oriented fine-tuning and structured-output reliability are cross-family properties. Claude Haiku 4.5 achieved the lowest Top-3 diagnostic recall (68.7%) among top-four models, reinforcing the finding that safety-oriented training can diverge from diagnostic breadth.</w:t>
      </w:r>
    </w:p>
    <w:bookmarkEnd w:id="28"/>
    <w:bookmarkEnd w:id="29"/>
    <w:bookmarkStart w:id="34" w:name="discussion"/>
    <w:p>
      <w:pPr>
        <w:pStyle w:val="Heading1"/>
      </w:pPr>
      <w:r>
        <w:t xml:space="preserve">Discussion</w:t>
      </w:r>
    </w:p>
    <w:bookmarkStart w:id="30" w:name="X2163e9e208cce60168fd2568c9954b9c8a110dc"/>
    <w:p>
      <w:pPr>
        <w:pStyle w:val="Heading2"/>
      </w:pPr>
      <w:r>
        <w:t xml:space="preserve">The Impact of Prompting and Model Selection</w:t>
      </w:r>
    </w:p>
    <w:p>
      <w:pPr>
        <w:pStyle w:val="FirstParagraph"/>
      </w:pPr>
      <w:r>
        <w:t xml:space="preserve">Our results demonstrate that safety is not a static property of a model but is heavily influenced by model selection and system framing. Our</w:t>
      </w:r>
      <w:r>
        <w:t xml:space="preserve"> </w:t>
      </w:r>
      <w:r>
        <w:t xml:space="preserve">“Safety-First”</w:t>
      </w:r>
      <w:r>
        <w:t xml:space="preserve"> </w:t>
      </w:r>
      <w:r>
        <w:t xml:space="preserve">prompting strategy significantly reduced hard fails compared to standard zero-shot prompts; however, even the best-engineered prompts could not fully eliminate the safety–knowledge gap. GPT-4o achieved the highest SPR (95.4%), with the three Claude models following closely (94.6%, 93.2%, 87.4%), suggesting that both OpenAI and Anthropic have invested meaningfully in safety alignment. The gap between the top four models (all</w:t>
      </w:r>
      <w:r>
        <w:t xml:space="preserve"> </w:t>
      </w:r>
      <m:oMath>
        <m:r>
          <m:rPr>
            <m:sty m:val="p"/>
          </m:rPr>
          <m:t>≥</m:t>
        </m:r>
      </m:oMath>
      <w:r>
        <w:t xml:space="preserve">87%) and the bottom three models (</w:t>
      </w:r>
      <m:oMath>
        <m:r>
          <m:rPr>
            <m:sty m:val="p"/>
          </m:rPr>
          <m:t>≤</m:t>
        </m:r>
      </m:oMath>
      <w:r>
        <w:t xml:space="preserve">82.6%) indicates that safety alignment is not uniformly distributed across the industry. We found that models with lower format compliance (GPT-5.4 Pro, GPT-5 Mini) accrued harm penalties not only from reasoning failures but from inability to produce parseable output, pointing to the need for robust structured-output adherence in clinical deployment.</w:t>
      </w:r>
    </w:p>
    <w:bookmarkEnd w:id="30"/>
    <w:bookmarkStart w:id="31" w:name="Xf6b688bf0ca8fad2484318d5e1fa34a11414967"/>
    <w:p>
      <w:pPr>
        <w:pStyle w:val="Heading2"/>
      </w:pPr>
      <w:r>
        <w:t xml:space="preserve">Statistical Power and Sample Size Considerations</w:t>
      </w:r>
    </w:p>
    <w:p>
      <w:pPr>
        <w:pStyle w:val="FirstParagraph"/>
      </w:pPr>
      <w:r>
        <w:t xml:space="preserve">The primary evaluation set comprises</w:t>
      </w:r>
      <w:r>
        <w:t xml:space="preserve"> </w:t>
      </w:r>
      <m:oMath>
        <m:r>
          <m:t>N</m:t>
        </m:r>
        <m:r>
          <m:rPr>
            <m:sty m:val="p"/>
          </m:rPr>
          <m:t>=</m:t>
        </m:r>
        <m:r>
          <m:t>500</m:t>
        </m:r>
      </m:oMath>
      <w:r>
        <w:t xml:space="preserve"> </w:t>
      </w:r>
      <w:r>
        <w:t xml:space="preserve">cases drawn by uniform random sampling (seed = 42) from 109,938 adult DDXPlus cases. At this sample size, the 95% Wilson score confidence intervals for Safety Pass Rate range from</w:t>
      </w:r>
      <w:r>
        <w:t xml:space="preserve"> </w:t>
      </w:r>
      <m:oMath>
        <m:r>
          <m:rPr>
            <m:sty m:val="p"/>
          </m:rPr>
          <m:t>±</m:t>
        </m:r>
      </m:oMath>
      <w:r>
        <w:t xml:space="preserve">2.0 percentage points (for top-performing models near 95%) to</w:t>
      </w:r>
      <w:r>
        <w:t xml:space="preserve"> </w:t>
      </w:r>
      <m:oMath>
        <m:r>
          <m:rPr>
            <m:sty m:val="p"/>
          </m:rPr>
          <m:t>±</m:t>
        </m:r>
      </m:oMath>
      <w:r>
        <w:t xml:space="preserve">4.1 percentage points (for lower-performing models near 67%). For example, GPT-4o achieves 95.4% (95% CI: 93.2–96.9%), Claude Haiku 4.5 achieves 94.6% (95% CI: 92.3–96.3%), and GPT-5.4 Pro achieves 67.4% (95% CI: 63.2–71.4%). These intervals are sufficiently narrow to distinguish the top tier (GPT-4o, Claude Haiku 4.5, Claude Sonnet 4.6) from mid-tier and lower-tier models, though adjacent rankings within</w:t>
      </w:r>
      <w:r>
        <w:t xml:space="preserve"> </w:t>
      </w:r>
      <m:oMath>
        <m:r>
          <m:rPr>
            <m:sty m:val="p"/>
          </m:rPr>
          <m:t>∼</m:t>
        </m:r>
        <m:r>
          <m:t>3</m:t>
        </m:r>
      </m:oMath>
      <w:r>
        <w:t xml:space="preserve"> </w:t>
      </w:r>
      <w:r>
        <w:t xml:space="preserve">percentage points should be interpreted cautiously. For individual failure modes with lower base rates (e.g., Unsafe Reassurance counts of 0–27 out of 194 eligible cases), point estimates carry wider relative uncertainty, and per-mode comparisons between models should be treated as exploratory. Run variability analysis (5 iterations on a 50-case subset) showed Safety Pass Rate standard deviations of</w:t>
      </w:r>
      <w:r>
        <w:t xml:space="preserve"> </w:t>
      </w:r>
      <m:oMath>
        <m:r>
          <m:rPr>
            <m:sty m:val="p"/>
          </m:rPr>
          <m:t>∼</m:t>
        </m:r>
        <m:r>
          <m:t>2</m:t>
        </m:r>
        <m:r>
          <m:rPr>
            <m:sty m:val="p"/>
          </m:rPr>
          <m:t>%</m:t>
        </m:r>
      </m:oMath>
      <w:r>
        <w:t xml:space="preserve">, confirming that observed inter-model differences substantially exceed run-to-run noise.</w:t>
      </w:r>
    </w:p>
    <w:bookmarkEnd w:id="31"/>
    <w:bookmarkStart w:id="32" w:name="limitations"/>
    <w:p>
      <w:pPr>
        <w:pStyle w:val="Heading2"/>
      </w:pPr>
      <w:r>
        <w:t xml:space="preserve">Limitations</w:t>
      </w:r>
    </w:p>
    <w:p>
      <w:pPr>
        <w:pStyle w:val="FirstParagraph"/>
      </w:pPr>
      <w:r>
        <w:t xml:space="preserve">We acknowledge the trade-off inherent in a statistical model like MedSafe-Dx. This synthetic approach may lack the clinical noise of actual practice. Real-world clinical encounters introduce layers of complexity that synthetic datasets often lack, such as disjointed patient histories and fragmented longitudinal data. Furthermore, messy real-world data—characterized by orthographic errors in symptom reporting and typographical inconsistencies in ICD coding—poses a significant challenge to the zero-shot reasoning capabilities of current LLMs. While our benchmark provides a superior measure of diagnostic logic safety, it should be viewed as a</w:t>
      </w:r>
      <w:r>
        <w:t xml:space="preserve"> </w:t>
      </w:r>
      <w:r>
        <w:t xml:space="preserve">“stress test”</w:t>
      </w:r>
      <w:r>
        <w:t xml:space="preserve"> </w:t>
      </w:r>
      <w:r>
        <w:t xml:space="preserve">that precedes, rather than replaces, bedside pilot studies. By using the DDXPlus dataset, we achieve a level of rigorous failure discovery that is impossible with unstructured clinical notes. We can definitively say when a model is wrong because the dataset includes the</w:t>
      </w:r>
      <w:r>
        <w:t xml:space="preserve"> </w:t>
      </w:r>
      <w:r>
        <w:t xml:space="preserve">“Gold Truth”</w:t>
      </w:r>
      <w:r>
        <w:t xml:space="preserve"> </w:t>
      </w:r>
      <w:r>
        <w:t xml:space="preserve">of the underlying pathology.</w:t>
      </w:r>
    </w:p>
    <w:bookmarkEnd w:id="32"/>
    <w:bookmarkStart w:id="33" w:name="application-to-medical-practice-safety"/>
    <w:p>
      <w:pPr>
        <w:pStyle w:val="Heading2"/>
      </w:pPr>
      <w:r>
        <w:t xml:space="preserve">Application to Medical Practice Safety</w:t>
      </w:r>
    </w:p>
    <w:p>
      <w:pPr>
        <w:pStyle w:val="FirstParagraph"/>
      </w:pPr>
      <w:r>
        <w:t xml:space="preserve">Integration of this benchmark in clinical practice may contribute to alarm fatigue due to the high over-escalation rates observed across all models—Claude Haiku 4.5 and Claude Sonnet 4.6 unnecessarily escalated 120 and 122 of 194 non-urgent cases respectively (62% and 63%). Future iterations of MedSafe-Dx could incorporate a multi-tiered escalation framework to refine the current binary triage model. By utilizing the benchmark’s inherent severity mapping, the system could trigger stratified alerts ranging from passive</w:t>
      </w:r>
      <w:r>
        <w:t xml:space="preserve"> </w:t>
      </w:r>
      <w:r>
        <w:t xml:space="preserve">“soft-alerts”</w:t>
      </w:r>
      <w:r>
        <w:t xml:space="preserve"> </w:t>
      </w:r>
      <w:r>
        <w:t xml:space="preserve">for routine cases to mandatory</w:t>
      </w:r>
      <w:r>
        <w:t xml:space="preserve"> </w:t>
      </w:r>
      <w:r>
        <w:t xml:space="preserve">“hard-stops”</w:t>
      </w:r>
      <w:r>
        <w:t xml:space="preserve"> </w:t>
      </w:r>
      <w:r>
        <w:t xml:space="preserve">for high-acuity pathologies (Severity 1–2). In the latter scenario, the system would require an explicit physician override to acknowledge the potential risk, thereby mitigating the</w:t>
      </w:r>
      <w:r>
        <w:t xml:space="preserve"> </w:t>
      </w:r>
      <w:r>
        <w:t xml:space="preserve">“Safety–Knowledge Gap”</w:t>
      </w:r>
      <w:r>
        <w:t xml:space="preserve"> </w:t>
      </w:r>
      <w:r>
        <w:t xml:space="preserve">by ensuring that critical red flags receive direct human attention. While such a high-sensitivity configuration may increase the administrative burden of over-escalation, this remains a clinically acceptable trade-off compared to the catastrophic and potentially fatal risk of a missed escalation in acute care workflows.</w:t>
      </w:r>
    </w:p>
    <w:p>
      <w:pPr>
        <w:pStyle w:val="BodyText"/>
      </w:pPr>
      <w:r>
        <w:t xml:space="preserve">A primary consideration for the deployment of MedSafe-Dx in clinical settings is the determination of the system’s operational role: acting either as a</w:t>
      </w:r>
      <w:r>
        <w:t xml:space="preserve"> </w:t>
      </w:r>
      <w:r>
        <w:rPr>
          <w:i/>
          <w:iCs/>
        </w:rPr>
        <w:t xml:space="preserve">Gatekeeper</w:t>
      </w:r>
      <w:r>
        <w:t xml:space="preserve"> </w:t>
      </w:r>
      <w:r>
        <w:t xml:space="preserve">or a</w:t>
      </w:r>
      <w:r>
        <w:t xml:space="preserve"> </w:t>
      </w:r>
      <w:r>
        <w:rPr>
          <w:i/>
          <w:iCs/>
        </w:rPr>
        <w:t xml:space="preserve">Co-pilot</w:t>
      </w:r>
      <w:r>
        <w:t xml:space="preserve">. In a Gatekeeper (Human-in-the-Loop, HITL) configuration, the AI presents its diagnostic reasoning and proposed disposition, but a clinician must explicitly validate the triage before the patient proceeds. While this maximized-safety approach ensures a final physician sign-off, recent literature indicates it can lead to cognitive deskilling—where clinicians become over-reliant on the AI—and significant workflow bottlenecks</w:t>
      </w:r>
      <w:r>
        <w:t xml:space="preserve"> </w:t>
      </w:r>
      <w:r>
        <w:t xml:space="preserve">(Leonard Davis Institute of Health Economics 2025)</w:t>
      </w:r>
      <w:r>
        <w:t xml:space="preserve">.</w:t>
      </w:r>
    </w:p>
    <w:p>
      <w:pPr>
        <w:pStyle w:val="BodyText"/>
      </w:pPr>
      <w:r>
        <w:t xml:space="preserve">Conversely, in a Co-pilot (Human-on-the-Loop, HOTL) configuration, the AI triages routine, low-acuity cases autonomously, escalating only high-uncertainty or high-acuity cases for manual supervisory review. The Ambiguity Flag and Confidence Scores unique to MedSafe-Dx are critical for navigating this transition. We propose a hybrid oversight model: if a case is flagged as</w:t>
      </w:r>
      <w:r>
        <w:t xml:space="preserve"> </w:t>
      </w:r>
      <w:r>
        <w:t xml:space="preserve">“Ambiguous”</w:t>
      </w:r>
      <w:r>
        <w:t xml:space="preserve"> </w:t>
      </w:r>
      <w:r>
        <w:t xml:space="preserve">or the model expresses low confidence, the system mandates a HITL (Gatekeeper) approach. If the case is deemed</w:t>
      </w:r>
      <w:r>
        <w:t xml:space="preserve"> </w:t>
      </w:r>
      <w:r>
        <w:t xml:space="preserve">“Stable”</w:t>
      </w:r>
      <w:r>
        <w:t xml:space="preserve"> </w:t>
      </w:r>
      <w:r>
        <w:t xml:space="preserve">and the model is</w:t>
      </w:r>
      <w:r>
        <w:t xml:space="preserve"> </w:t>
      </w:r>
      <w:r>
        <w:t xml:space="preserve">“Confident,”</w:t>
      </w:r>
      <w:r>
        <w:t xml:space="preserve"> </w:t>
      </w:r>
      <w:r>
        <w:t xml:space="preserve">the workflow can transition to the more efficient HOTL (Co-pilot) mode.</w:t>
      </w:r>
    </w:p>
    <w:p>
      <w:pPr>
        <w:pStyle w:val="BodyText"/>
      </w:pPr>
      <w:r>
        <w:t xml:space="preserve">Furthermore, the dynamic nature of healthcare—characterized by seasonal epidemiological shifts and emerging public health events—necessitates continuous calibration and real-time monitoring. Clinical AI safety is not a static achievement; therefore,</w:t>
      </w:r>
      <w:r>
        <w:t xml:space="preserve"> </w:t>
      </w:r>
      <w:r>
        <w:t xml:space="preserve">“Missed Escalation”</w:t>
      </w:r>
      <w:r>
        <w:t xml:space="preserve"> </w:t>
      </w:r>
      <w:r>
        <w:t xml:space="preserve">and</w:t>
      </w:r>
      <w:r>
        <w:t xml:space="preserve"> </w:t>
      </w:r>
      <w:r>
        <w:t xml:space="preserve">“Over-escalation”</w:t>
      </w:r>
      <w:r>
        <w:t xml:space="preserve"> </w:t>
      </w:r>
      <w:r>
        <w:t xml:space="preserve">rates must be tracked against the MedSafe-Dx baseline. If a model’s live performance exhibits significant distribution shift or accuracy drift, the system should trigger an automated</w:t>
      </w:r>
      <w:r>
        <w:t xml:space="preserve"> </w:t>
      </w:r>
      <w:r>
        <w:t xml:space="preserve">“Safety-Pull,”</w:t>
      </w:r>
      <w:r>
        <w:t xml:space="preserve"> </w:t>
      </w:r>
      <w:r>
        <w:t xml:space="preserve">removing the model from the active workflow for re-alignment and re-validation.</w:t>
      </w:r>
    </w:p>
    <w:bookmarkEnd w:id="33"/>
    <w:bookmarkEnd w:id="34"/>
    <w:bookmarkStart w:id="51" w:name="conclusion"/>
    <w:p>
      <w:pPr>
        <w:pStyle w:val="Heading1"/>
      </w:pPr>
      <w:r>
        <w:t xml:space="preserve">Conclusion</w:t>
      </w:r>
    </w:p>
    <w:p>
      <w:pPr>
        <w:pStyle w:val="FirstParagraph"/>
      </w:pPr>
      <w:r>
        <w:t xml:space="preserve">The integration of LLMs into clinical workflows offers a promising solution to the persistent healthcare workforce crisis, yet this transition is not without significant risk. As demonstrated by the high-recall/low-safety performance of models like Gemini 3.1 Pro Preview, there is an urgent need for triage-specific safety alignment that transcends raw diagnostic accuracy.</w:t>
      </w:r>
    </w:p>
    <w:p>
      <w:pPr>
        <w:pStyle w:val="BodyText"/>
      </w:pPr>
      <w:r>
        <w:t xml:space="preserve">Substantial work remains to seamlessly integrate safety-centric benchmarks like MedSafe-Dx into the fabric of clinical practice. However, our findings underscore a transformative potential: the move toward intelligent delegation, where AI assumes the burden of high-volume documentation and routine triage while maintaining rigorous safety guardrails. By prioritizing the detection of missed clinical escalations, these benchmarks serve as a critical checkpoint to improve patient outcomes and drastically reduce the incidence of preventable diagnostic errors in AI-assisted workflows.</w:t>
      </w:r>
    </w:p>
    <w:p>
      <w:pPr>
        <w:pStyle w:val="BodyText"/>
      </w:pPr>
      <w:r>
        <w:t xml:space="preserve">Ultimately, the goal of MedSafe-Dx is to provide an</w:t>
      </w:r>
      <w:r>
        <w:t xml:space="preserve"> </w:t>
      </w:r>
      <w:r>
        <w:t xml:space="preserve">“audit-ready”</w:t>
      </w:r>
      <w:r>
        <w:t xml:space="preserve"> </w:t>
      </w:r>
      <w:r>
        <w:t xml:space="preserve">standard that moves AI from an academic novelty to a robust clinical tool. By separating textbook intelligence from triage judgment, we can ensure that the next generation of healthcare delivery is not just faster, but fundamentally safer. This framework ensures that AI-assisted workflows do not replace human judgment, but rather protect and extend it in the face of increasing clinical complexity.</w:t>
      </w:r>
    </w:p>
    <w:bookmarkStart w:id="50" w:name="refs"/>
    <w:bookmarkStart w:id="36" w:name="ref-asgari2025framework"/>
    <w:p>
      <w:pPr>
        <w:pStyle w:val="Bibliography"/>
      </w:pPr>
      <w:r>
        <w:t xml:space="preserve">Asgari, Elham, Nicolás Montaña-Brown, Mathieu Dubois, Sami Khalil, et al.</w:t>
      </w:r>
      <w:r>
        <w:t xml:space="preserve"> 2025.</w:t>
      </w:r>
      <w:r>
        <w:t xml:space="preserve"> </w:t>
      </w:r>
      <w:r>
        <w:t xml:space="preserve">“A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 </w:t>
      </w:r>
      <w:r>
        <w:t xml:space="preserve">8: 118.</w:t>
      </w:r>
      <w:r>
        <w:t xml:space="preserve"> </w:t>
      </w:r>
      <w:hyperlink r:id="rId35">
        <w:r>
          <w:rPr>
            <w:rStyle w:val="Hyperlink"/>
          </w:rPr>
          <w:t xml:space="preserve">https://doi.org/10.1038/s41746-025-01670-7</w:t>
        </w:r>
      </w:hyperlink>
      <w:r>
        <w:t xml:space="preserve">.</w:t>
      </w:r>
    </w:p>
    <w:bookmarkEnd w:id="36"/>
    <w:bookmarkStart w:id="37" w:name="ref-beltramin2025revolutionizing"/>
    <w:p>
      <w:pPr>
        <w:pStyle w:val="Bibliography"/>
      </w:pPr>
      <w:r>
        <w:t xml:space="preserve">Beltramin, Daniele, Cédric Bousquet, and Thierry Tiffet. 2025.</w:t>
      </w:r>
      <w:r>
        <w:t xml:space="preserve"> </w:t>
      </w:r>
      <w:r>
        <w:t xml:space="preserve">“Revolutionizing Health Care: The Transformative Impact of Large Language Models.”</w:t>
      </w:r>
      <w:r>
        <w:t xml:space="preserve"> </w:t>
      </w:r>
      <w:r>
        <w:rPr>
          <w:i/>
          <w:iCs/>
        </w:rPr>
        <w:t xml:space="preserve">Journal of Medical Internet Research</w:t>
      </w:r>
      <w:r>
        <w:t xml:space="preserve"> </w:t>
      </w:r>
      <w:r>
        <w:t xml:space="preserve">27 (1): e59069.</w:t>
      </w:r>
    </w:p>
    <w:bookmarkEnd w:id="37"/>
    <w:bookmarkStart w:id="38" w:name="ref-castonguay2023ai"/>
    <w:p>
      <w:pPr>
        <w:pStyle w:val="Bibliography"/>
      </w:pPr>
      <w:r>
        <w:t xml:space="preserve">Castonguay, Alexandre, and Christian Lovis. 2023.</w:t>
      </w:r>
      <w:r>
        <w:t xml:space="preserve"> </w:t>
      </w:r>
      <w:r>
        <w:t xml:space="preserve">“Introducing the</w:t>
      </w:r>
      <w:r>
        <w:t xml:space="preserve"> </w:t>
      </w:r>
      <w:r>
        <w:t xml:space="preserve">‘</w:t>
      </w:r>
      <w:r>
        <w:t xml:space="preserve">AI</w:t>
      </w:r>
      <w:r>
        <w:t xml:space="preserve"> </w:t>
      </w:r>
      <w:r>
        <w:t xml:space="preserve">Language Models in Health Care’</w:t>
      </w:r>
      <w:r>
        <w:t xml:space="preserve"> </w:t>
      </w:r>
      <w:r>
        <w:t xml:space="preserve">Section: Actionable Strategies for Targeted and Wide-Scale Deployment.”</w:t>
      </w:r>
      <w:r>
        <w:t xml:space="preserve"> </w:t>
      </w:r>
      <w:r>
        <w:rPr>
          <w:i/>
          <w:iCs/>
        </w:rPr>
        <w:t xml:space="preserve">Journal of Medical Internet Research</w:t>
      </w:r>
      <w:r>
        <w:t xml:space="preserve">.</w:t>
      </w:r>
    </w:p>
    <w:bookmarkEnd w:id="38"/>
    <w:bookmarkStart w:id="39" w:name="ref-dave2026burden"/>
    <w:p>
      <w:pPr>
        <w:pStyle w:val="Bibliography"/>
      </w:pPr>
      <w:r>
        <w:t xml:space="preserve">Dave, Kunal et al.</w:t>
      </w:r>
      <w:r>
        <w:t xml:space="preserve"> 2026.</w:t>
      </w:r>
      <w:r>
        <w:t xml:space="preserve"> </w:t>
      </w:r>
      <w:r>
        <w:rPr>
          <w:i/>
          <w:iCs/>
        </w:rPr>
        <w:t xml:space="preserve">Administrative Burden in Primary Care: The Role of Artificial Intelligence</w:t>
      </w:r>
      <w:r>
        <w:t xml:space="preserve">. Issue Brief. Commonwealth Fund.</w:t>
      </w:r>
    </w:p>
    <w:bookmarkEnd w:id="39"/>
    <w:bookmarkStart w:id="41" w:name="ref-jmir2025gap"/>
    <w:p>
      <w:pPr>
        <w:pStyle w:val="Bibliography"/>
      </w:pPr>
      <w:r>
        <w:t xml:space="preserve">Gong, Eun Jeong, Chang Seok Bang, Jae Jun Lee, and Gwang Ho Baik. 2025.</w:t>
      </w:r>
      <w:r>
        <w:t xml:space="preserve"> </w:t>
      </w:r>
      <w:r>
        <w:t xml:space="preserve">“Knowledge-Practice Performance Gap in Clinical Large Language Models: A Systematic Review of 39 Benchmarks.”</w:t>
      </w:r>
      <w:r>
        <w:t xml:space="preserve"> </w:t>
      </w:r>
      <w:r>
        <w:rPr>
          <w:i/>
          <w:iCs/>
        </w:rPr>
        <w:t xml:space="preserve">Journal of Medical Internet Research</w:t>
      </w:r>
      <w:r>
        <w:t xml:space="preserve"> </w:t>
      </w:r>
      <w:r>
        <w:t xml:space="preserve">27 (1): e84120.</w:t>
      </w:r>
      <w:r>
        <w:t xml:space="preserve"> </w:t>
      </w:r>
      <w:hyperlink r:id="rId40">
        <w:r>
          <w:rPr>
            <w:rStyle w:val="Hyperlink"/>
          </w:rPr>
          <w:t xml:space="preserve">https://doi.org/10.2196/84120</w:t>
        </w:r>
      </w:hyperlink>
      <w:r>
        <w:t xml:space="preserve">.</w:t>
      </w:r>
    </w:p>
    <w:bookmarkEnd w:id="41"/>
    <w:bookmarkStart w:id="42" w:name="ref-hrsa2026workforce"/>
    <w:p>
      <w:pPr>
        <w:pStyle w:val="Bibliography"/>
      </w:pPr>
      <w:r>
        <w:t xml:space="preserve">Health Resources and Services Administration. 2026.</w:t>
      </w:r>
      <w:r>
        <w:t xml:space="preserve"> </w:t>
      </w:r>
      <w:r>
        <w:rPr>
          <w:i/>
          <w:iCs/>
        </w:rPr>
        <w:t xml:space="preserve">Healthcare Workforce Projections 2026: National and Regional Shortage Analysis</w:t>
      </w:r>
      <w:r>
        <w:t xml:space="preserve">. US Department of Health; Human Services.</w:t>
      </w:r>
    </w:p>
    <w:bookmarkEnd w:id="42"/>
    <w:bookmarkStart w:id="43" w:name="ref-ldipenn2025loop"/>
    <w:p>
      <w:pPr>
        <w:pStyle w:val="Bibliography"/>
      </w:pPr>
      <w:r>
        <w:t xml:space="preserve">Leonard Davis Institute of Health Economics. 2025.</w:t>
      </w:r>
      <w:r>
        <w:t xml:space="preserve"> </w:t>
      </w:r>
      <w:r>
        <w:rPr>
          <w:i/>
          <w:iCs/>
        </w:rPr>
        <w:t xml:space="preserve">In the Loop or on the Loop: The Conundrum of</w:t>
      </w:r>
      <w:r>
        <w:rPr>
          <w:i/>
          <w:iCs/>
        </w:rPr>
        <w:t xml:space="preserve"> </w:t>
      </w:r>
      <w:r>
        <w:rPr>
          <w:i/>
          <w:iCs/>
        </w:rPr>
        <w:t xml:space="preserve">AI</w:t>
      </w:r>
      <w:r>
        <w:rPr>
          <w:i/>
          <w:iCs/>
        </w:rPr>
        <w:t xml:space="preserve"> </w:t>
      </w:r>
      <w:r>
        <w:rPr>
          <w:i/>
          <w:iCs/>
        </w:rPr>
        <w:t xml:space="preserve">Clinical Decision Support</w:t>
      </w:r>
      <w:r>
        <w:t xml:space="preserve">. LDI Issue Brief. University of Pennsylvania.</w:t>
      </w:r>
    </w:p>
    <w:bookmarkEnd w:id="43"/>
    <w:bookmarkStart w:id="45" w:name="ref-atf2025calibration"/>
    <w:p>
      <w:pPr>
        <w:pStyle w:val="Bibliography"/>
      </w:pPr>
      <w:r>
        <w:t xml:space="preserve">Oliveira, Raul de, Matan Garber, John M. Gwinnutt, Ehsan Rashidi, et al.</w:t>
      </w:r>
      <w:r>
        <w:t xml:space="preserve"> 2025.</w:t>
      </w:r>
      <w:r>
        <w:t xml:space="preserve"> </w:t>
      </w:r>
      <w:r>
        <w:t xml:space="preserve">“A Study of Calibration as a Measurement of Trustworthiness of Large Language Models in Biomedical Natural Language Processing.”</w:t>
      </w:r>
      <w:r>
        <w:t xml:space="preserve"> </w:t>
      </w:r>
      <w:r>
        <w:rPr>
          <w:i/>
          <w:iCs/>
        </w:rPr>
        <w:t xml:space="preserve">JAMIA Open</w:t>
      </w:r>
      <w:r>
        <w:t xml:space="preserve"> </w:t>
      </w:r>
      <w:r>
        <w:t xml:space="preserve">8 (4): ooaf058.</w:t>
      </w:r>
      <w:r>
        <w:t xml:space="preserve"> </w:t>
      </w:r>
      <w:hyperlink r:id="rId44">
        <w:r>
          <w:rPr>
            <w:rStyle w:val="Hyperlink"/>
          </w:rPr>
          <w:t xml:space="preserve">https://doi.org/10.1093/jamiaopen/ooaf058</w:t>
        </w:r>
      </w:hyperlink>
      <w:r>
        <w:t xml:space="preserve">.</w:t>
      </w:r>
    </w:p>
    <w:bookmarkEnd w:id="45"/>
    <w:bookmarkStart w:id="46" w:name="ref-tchango2022ddxplus"/>
    <w:p>
      <w:pPr>
        <w:pStyle w:val="Bibliography"/>
      </w:pPr>
      <w:r>
        <w:t xml:space="preserve">Tchango, Arsene, Kanav Goel, and Perouz Taslakian. 2022.</w:t>
      </w:r>
      <w:r>
        <w:t xml:space="preserve"> </w:t>
      </w:r>
      <w:r>
        <w:t xml:space="preserve">“</w:t>
      </w:r>
      <w:r>
        <w:t xml:space="preserve">DDXPlus</w:t>
      </w:r>
      <w:r>
        <w:t xml:space="preserve">: A New Dataset for Automatic Medical Diagnosis.”</w:t>
      </w:r>
      <w:r>
        <w:t xml:space="preserve"> </w:t>
      </w:r>
      <w:r>
        <w:rPr>
          <w:i/>
          <w:iCs/>
        </w:rPr>
        <w:t xml:space="preserve">Proceedings of the 36th Conference on Neural Information Processing Systems (NeurIPS)</w:t>
      </w:r>
      <w:r>
        <w:t xml:space="preserve">.</w:t>
      </w:r>
    </w:p>
    <w:bookmarkEnd w:id="46"/>
    <w:bookmarkStart w:id="47" w:name="ref-tu2025evaluation"/>
    <w:p>
      <w:pPr>
        <w:pStyle w:val="Bibliography"/>
      </w:pPr>
      <w:r>
        <w:t xml:space="preserve">Tu, Hao et al.</w:t>
      </w:r>
      <w:r>
        <w:t xml:space="preserve"> 2025.</w:t>
      </w:r>
      <w:r>
        <w:t xml:space="preserve"> </w:t>
      </w:r>
      <w:r>
        <w:t xml:space="preserve">“Evaluation of Large Language Models in the Diagnosis, Urgency Triage, and Management of Acute Medical Scenarios.”</w:t>
      </w:r>
      <w:r>
        <w:t xml:space="preserve"> </w:t>
      </w:r>
      <w:r>
        <w:rPr>
          <w:i/>
          <w:iCs/>
        </w:rPr>
        <w:t xml:space="preserve">Nature Medicine</w:t>
      </w:r>
      <w:r>
        <w:t xml:space="preserve">.</w:t>
      </w:r>
    </w:p>
    <w:bookmarkEnd w:id="47"/>
    <w:bookmarkStart w:id="49" w:name="ref-wornow2023ehr"/>
    <w:p>
      <w:pPr>
        <w:pStyle w:val="Bibliography"/>
      </w:pPr>
      <w:r>
        <w:t xml:space="preserve">Wornow, Michael, Yizhe Xu, Rahul Thapa, et al. 2023.</w:t>
      </w:r>
      <w:r>
        <w:t xml:space="preserve"> </w:t>
      </w:r>
      <w:r>
        <w:t xml:space="preserve">“The Shaky Foundations of Large Language Models and Foundation Models for Electronic Health Records.”</w:t>
      </w:r>
      <w:r>
        <w:t xml:space="preserve"> </w:t>
      </w:r>
      <w:r>
        <w:rPr>
          <w:i/>
          <w:iCs/>
        </w:rPr>
        <w:t xml:space="preserve">Npj Digital Medicine</w:t>
      </w:r>
      <w:r>
        <w:t xml:space="preserve"> </w:t>
      </w:r>
      <w:r>
        <w:t xml:space="preserve">6 (1): 135.</w:t>
      </w:r>
      <w:r>
        <w:t xml:space="preserve"> </w:t>
      </w:r>
      <w:hyperlink r:id="rId48">
        <w:r>
          <w:rPr>
            <w:rStyle w:val="Hyperlink"/>
          </w:rPr>
          <w:t xml:space="preserve">https://doi.org/10.1038/s41746-023-00879-8</w:t>
        </w:r>
      </w:hyperlink>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df" /><Relationship Type="http://schemas.openxmlformats.org/officeDocument/2006/relationships/image" Id="rId22" Target="media/rId22.pdf" /><Relationship Type="http://schemas.openxmlformats.org/officeDocument/2006/relationships/hyperlink" Id="rId48" Target="https://doi.org/10.1038/s41746-023-00879-8" TargetMode="External" /><Relationship Type="http://schemas.openxmlformats.org/officeDocument/2006/relationships/hyperlink" Id="rId35" Target="https://doi.org/10.1038/s41746-025-01670-7" TargetMode="External" /><Relationship Type="http://schemas.openxmlformats.org/officeDocument/2006/relationships/hyperlink" Id="rId44" Target="https://doi.org/10.1093/jamiaopen/ooaf058" TargetMode="External" /><Relationship Type="http://schemas.openxmlformats.org/officeDocument/2006/relationships/hyperlink" Id="rId40" Target="https://doi.org/10.2196/84120" TargetMode="External" /></Relationships>
</file>

<file path=word/_rels/footnotes.xml.rels><?xml version="1.0" encoding="UTF-8"?><Relationships xmlns="http://schemas.openxmlformats.org/package/2006/relationships"><Relationship Type="http://schemas.openxmlformats.org/officeDocument/2006/relationships/hyperlink" Id="rId48" Target="https://doi.org/10.1038/s41746-023-00879-8" TargetMode="External" /><Relationship Type="http://schemas.openxmlformats.org/officeDocument/2006/relationships/hyperlink" Id="rId35" Target="https://doi.org/10.1038/s41746-025-01670-7" TargetMode="External" /><Relationship Type="http://schemas.openxmlformats.org/officeDocument/2006/relationships/hyperlink" Id="rId44" Target="https://doi.org/10.1093/jamiaopen/ooaf058" TargetMode="External" /><Relationship Type="http://schemas.openxmlformats.org/officeDocument/2006/relationships/hyperlink" Id="rId40" Target="https://doi.org/10.2196/84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MedSafe-Dx (v0): A Safety-Focused Benchmark for Evaluating LLMs in Clinical Diagnostic Decision Support</dc:title>
  <dc:creator>Clark Van Oyen; Namrah Mizra</dc:creator>
  <cp:keywords/>
  <dcterms:created xsi:type="dcterms:W3CDTF">2026-03-10T18:37:12Z</dcterms:created>
  <dcterms:modified xsi:type="dcterms:W3CDTF">2026-03-10T18:37:12Z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MedSafe-Dx (v0) introduces a new safety-focused benchmark for evaluating large language models in clinical diagnostic decision support using a filtered subset of the DDXPlus dataset (N{=}500). MedSafe-Dx evaluates three dimensions: escalation sensitivity, avoidance of false reassurance, and calibration of uncertainty. Models were tasked with providing a ranked differential (ICD-10), an escalation decision (Urgent vs. Routine), and a confidence flag. Performance was measured via a “Safety Pass Rate,” a composite metric penalizing three hard failure modes: missed escalations of life-threatening conditions, overconfident incorrect diagnoses, and unsafe reassurance in ambiguous cases. Seven models were evaluated and revealed a significant disconnect between diagnostic recall and safety. GPT-4o achieved the highest Safety Pass Rate (95.4%), followed closely by Claude Haiku 4.5 (94.6%), while several models exhibited high rates of missed escalations or unsafe reassurance. Notably, over-escalation rates ranged from 14.0% to 24.4% across all models, indicating that even the safest models by SPR unnecessarily escalate roughly one in five non-urgent cases—a trade-off with implications for alarm fatigue in clinical deployment. MedSafe-Dx provides a robust stress test for identifying high-risk failure modes in diagnostic decision support and shows that high diagnostic accuracy does not guarantee clinical safety. While the benchmark is currently limited by synthetic data and proxy labels, it provides a reproducible, auditable framework for testing AI behavior before clinical deployment. Our findings suggest that interventions such as safety-focused prompting could be essential components for the safe deployment of LLMs in clinical workflows.</vt:lpwstr>
  </property>
  <property fmtid="{D5CDD505-2E9C-101B-9397-08002B2CF9AE}" pid="3" name="bibliography">
    <vt:lpwstr>paper.bib</vt:lpwstr>
  </property>
  <property fmtid="{D5CDD505-2E9C-101B-9397-08002B2CF9AE}" pid="4" name="date">
    <vt:lpwstr>January 2026</vt:lpwstr>
  </property>
</Properties>
</file>