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273294B5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filme/série</w:t>
      </w:r>
      <w:r>
        <w:t xml:space="preserve"> (contendo </w:t>
      </w:r>
      <w:r w:rsidR="00946369">
        <w:t>título, uma pequena sinopse</w:t>
      </w:r>
      <w:r>
        <w:t xml:space="preserve">, </w:t>
      </w:r>
      <w:r w:rsidR="007C212D">
        <w:t>a categoria vinculada,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17F721A6" w14:textId="77777777" w:rsidR="004D28BD" w:rsidRDefault="004D28BD" w:rsidP="004D28BD">
      <w:pPr>
        <w:pStyle w:val="PargrafodaLista"/>
      </w:pP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lastRenderedPageBreak/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4219F271" w14:textId="77777777" w:rsidR="00475833" w:rsidRDefault="00475833">
      <w:r>
        <w:br w:type="page"/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D51E4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  <w:bookmarkStart w:id="0" w:name="_GoBack"/>
      <w:bookmarkEnd w:id="0"/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5126</TotalTime>
  <Pages>13</Pages>
  <Words>2812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291</cp:revision>
  <dcterms:created xsi:type="dcterms:W3CDTF">2018-11-10T16:53:00Z</dcterms:created>
  <dcterms:modified xsi:type="dcterms:W3CDTF">2019-06-17T16:57:00Z</dcterms:modified>
</cp:coreProperties>
</file>