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CE97" w14:textId="77777777" w:rsidR="005C79F4" w:rsidRPr="00290388" w:rsidRDefault="005C79F4" w:rsidP="005C79F4">
      <w:pPr>
        <w:spacing w:line="480" w:lineRule="auto"/>
        <w:rPr>
          <w:rFonts w:eastAsia="Times New Roman"/>
          <w:bCs/>
          <w:color w:val="000000" w:themeColor="text1"/>
          <w:lang w:val="en-CA"/>
        </w:rPr>
      </w:pPr>
      <w:r w:rsidRPr="0029038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Table 2. Projected relative contribution of scenarios of no-take marine protected areas coverage, fishing levels and climate change to biomass rebuilding estimated from the mixed-effect models. 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Level of climate change is expressed in global warming level (GWL, average surface atmospheric temperature) relative to preindustrial levels. The effects of protected area coverage by region </w:t>
      </w:r>
      <w:proofErr w:type="gramStart"/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was</w:t>
      </w:r>
      <w:proofErr w:type="gramEnd"/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analyzed relative to the 5% coverage scenario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a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12A52B15" w14:textId="77777777" w:rsidR="005C79F4" w:rsidRPr="00290388" w:rsidRDefault="005C79F4" w:rsidP="005C79F4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CA"/>
        </w:rPr>
      </w:pPr>
    </w:p>
    <w:tbl>
      <w:tblPr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465"/>
        <w:gridCol w:w="3675"/>
      </w:tblGrid>
      <w:tr w:rsidR="005C79F4" w:rsidRPr="00290388" w14:paraId="3D83994A" w14:textId="77777777" w:rsidTr="00EF49B6">
        <w:tc>
          <w:tcPr>
            <w:tcW w:w="2325" w:type="dxa"/>
          </w:tcPr>
          <w:p w14:paraId="65728F4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7140" w:type="dxa"/>
            <w:gridSpan w:val="2"/>
          </w:tcPr>
          <w:p w14:paraId="76EEAD84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Effects of no-take MPAs on B/ B</w:t>
            </w: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(% change)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+/- standard error</w:t>
            </w:r>
          </w:p>
        </w:tc>
      </w:tr>
      <w:tr w:rsidR="005C79F4" w:rsidRPr="00290388" w14:paraId="0FA9A29D" w14:textId="77777777" w:rsidTr="00EF49B6">
        <w:tc>
          <w:tcPr>
            <w:tcW w:w="2325" w:type="dxa"/>
          </w:tcPr>
          <w:p w14:paraId="7C9C7AC7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Variables</w:t>
            </w:r>
          </w:p>
        </w:tc>
        <w:tc>
          <w:tcPr>
            <w:tcW w:w="3465" w:type="dxa"/>
          </w:tcPr>
          <w:p w14:paraId="1A1F2EC3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Model</w:t>
            </w: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  <w:vertAlign w:val="superscript"/>
              </w:rPr>
              <w:t>b</w:t>
            </w: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: Area protected by region</w:t>
            </w:r>
          </w:p>
        </w:tc>
        <w:tc>
          <w:tcPr>
            <w:tcW w:w="3675" w:type="dxa"/>
          </w:tcPr>
          <w:p w14:paraId="3951BC17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Model</w:t>
            </w: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  <w:vertAlign w:val="superscript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: Area protected by stock</w:t>
            </w:r>
          </w:p>
        </w:tc>
      </w:tr>
      <w:tr w:rsidR="005C79F4" w:rsidRPr="00290388" w14:paraId="5553FBD1" w14:textId="77777777" w:rsidTr="00EF49B6">
        <w:trPr>
          <w:trHeight w:val="440"/>
        </w:trPr>
        <w:tc>
          <w:tcPr>
            <w:tcW w:w="2325" w:type="dxa"/>
            <w:vMerge w:val="restart"/>
          </w:tcPr>
          <w:p w14:paraId="79D015DB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Area </w:t>
            </w:r>
            <w:proofErr w:type="gramStart"/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protected</w:t>
            </w:r>
            <w:proofErr w:type="gramEnd"/>
          </w:p>
          <w:p w14:paraId="3EE374EF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1.0 &amp; GWL = 0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3465" w:type="dxa"/>
          </w:tcPr>
          <w:p w14:paraId="3709D0C3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2.5 +/-0.5 </w:t>
            </w:r>
          </w:p>
          <w:p w14:paraId="0E9A9DD0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(MPA=15%)  </w:t>
            </w:r>
          </w:p>
        </w:tc>
        <w:tc>
          <w:tcPr>
            <w:tcW w:w="3675" w:type="dxa"/>
            <w:vMerge w:val="restart"/>
          </w:tcPr>
          <w:p w14:paraId="5CA4E74A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3.4 +/-0.2 per 10% of stock area </w:t>
            </w:r>
            <w:proofErr w:type="gramStart"/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protected</w:t>
            </w:r>
            <w:proofErr w:type="gramEnd"/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D49DA99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C79F4" w:rsidRPr="00290388" w14:paraId="07758B00" w14:textId="77777777" w:rsidTr="00EF49B6">
        <w:trPr>
          <w:trHeight w:val="440"/>
        </w:trPr>
        <w:tc>
          <w:tcPr>
            <w:tcW w:w="2325" w:type="dxa"/>
            <w:vMerge/>
          </w:tcPr>
          <w:p w14:paraId="11F071C5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50495B2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5.4 +/-0.4 </w:t>
            </w:r>
          </w:p>
          <w:p w14:paraId="293B8133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(MPA=30%)</w:t>
            </w:r>
          </w:p>
        </w:tc>
        <w:tc>
          <w:tcPr>
            <w:tcW w:w="3675" w:type="dxa"/>
            <w:vMerge/>
          </w:tcPr>
          <w:p w14:paraId="6AD84FAD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5C79F4" w:rsidRPr="00290388" w14:paraId="7A458214" w14:textId="77777777" w:rsidTr="00EF49B6">
        <w:trPr>
          <w:trHeight w:val="440"/>
        </w:trPr>
        <w:tc>
          <w:tcPr>
            <w:tcW w:w="2325" w:type="dxa"/>
            <w:vMerge w:val="restart"/>
          </w:tcPr>
          <w:p w14:paraId="436228B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Global warming level</w:t>
            </w:r>
          </w:p>
          <w:p w14:paraId="27C194CE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(No-take MPAs coverage = 5%)</w:t>
            </w:r>
          </w:p>
        </w:tc>
        <w:tc>
          <w:tcPr>
            <w:tcW w:w="3465" w:type="dxa"/>
          </w:tcPr>
          <w:p w14:paraId="48767AE0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-9.6 +/-0.3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</w:p>
          <w:p w14:paraId="0454CDA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=1.0)</w:t>
            </w:r>
          </w:p>
        </w:tc>
        <w:tc>
          <w:tcPr>
            <w:tcW w:w="3675" w:type="dxa"/>
          </w:tcPr>
          <w:p w14:paraId="44613C54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-9.9 +/-0.3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</w:p>
          <w:p w14:paraId="61544E1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=1.0)</w:t>
            </w:r>
          </w:p>
        </w:tc>
      </w:tr>
      <w:tr w:rsidR="005C79F4" w:rsidRPr="00290388" w14:paraId="127C4CA6" w14:textId="77777777" w:rsidTr="00EF49B6">
        <w:trPr>
          <w:trHeight w:val="440"/>
        </w:trPr>
        <w:tc>
          <w:tcPr>
            <w:tcW w:w="2325" w:type="dxa"/>
            <w:vMerge/>
          </w:tcPr>
          <w:p w14:paraId="579C2769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1CA0C170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-14.7 +/-0.6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E29947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=0.5)</w:t>
            </w:r>
          </w:p>
        </w:tc>
        <w:tc>
          <w:tcPr>
            <w:tcW w:w="3675" w:type="dxa"/>
          </w:tcPr>
          <w:p w14:paraId="7C309A13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-15.1 +/-0.7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</w:p>
          <w:p w14:paraId="6F93C1B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=0.5)</w:t>
            </w:r>
          </w:p>
        </w:tc>
      </w:tr>
      <w:tr w:rsidR="005C79F4" w:rsidRPr="00290388" w14:paraId="1EFBFF24" w14:textId="77777777" w:rsidTr="00EF49B6">
        <w:trPr>
          <w:trHeight w:val="440"/>
        </w:trPr>
        <w:tc>
          <w:tcPr>
            <w:tcW w:w="2325" w:type="dxa"/>
            <w:vMerge/>
          </w:tcPr>
          <w:p w14:paraId="45953FD1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09BE01A8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-12.6 +/-0.7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9523D8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=0.75)</w:t>
            </w:r>
          </w:p>
        </w:tc>
        <w:tc>
          <w:tcPr>
            <w:tcW w:w="3675" w:type="dxa"/>
          </w:tcPr>
          <w:p w14:paraId="430E75E6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-13.0 +/-0.7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</w:p>
          <w:p w14:paraId="1CCDD1F2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=0.75)</w:t>
            </w:r>
          </w:p>
        </w:tc>
      </w:tr>
      <w:tr w:rsidR="005C79F4" w:rsidRPr="00290388" w14:paraId="57E18D27" w14:textId="77777777" w:rsidTr="00EF49B6">
        <w:trPr>
          <w:trHeight w:val="440"/>
        </w:trPr>
        <w:tc>
          <w:tcPr>
            <w:tcW w:w="2325" w:type="dxa"/>
            <w:vMerge/>
          </w:tcPr>
          <w:p w14:paraId="4477D3D5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44065E5B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-4.7 +/-0.6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35EA9F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=1.5)</w:t>
            </w:r>
          </w:p>
        </w:tc>
        <w:tc>
          <w:tcPr>
            <w:tcW w:w="3675" w:type="dxa"/>
          </w:tcPr>
          <w:p w14:paraId="21AA5712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-4.7 +/-0.7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-1</w:t>
            </w:r>
          </w:p>
          <w:p w14:paraId="1EDB232F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=1.5)</w:t>
            </w:r>
          </w:p>
        </w:tc>
      </w:tr>
      <w:tr w:rsidR="005C79F4" w:rsidRPr="00290388" w14:paraId="4F034A00" w14:textId="77777777" w:rsidTr="00EF49B6">
        <w:trPr>
          <w:trHeight w:val="440"/>
        </w:trPr>
        <w:tc>
          <w:tcPr>
            <w:tcW w:w="2325" w:type="dxa"/>
            <w:vMerge w:val="restart"/>
          </w:tcPr>
          <w:p w14:paraId="02F0EB29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Fishing level</w:t>
            </w:r>
          </w:p>
          <w:p w14:paraId="6F7A3D23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(No-take MPAs coverage = 5% &amp; GWL = 0 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o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3465" w:type="dxa"/>
          </w:tcPr>
          <w:p w14:paraId="3F885F3A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58.3 +/-0.7</w:t>
            </w:r>
          </w:p>
          <w:p w14:paraId="6DBA1A0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0.5)</w:t>
            </w:r>
          </w:p>
        </w:tc>
        <w:tc>
          <w:tcPr>
            <w:tcW w:w="3675" w:type="dxa"/>
          </w:tcPr>
          <w:p w14:paraId="1786205E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59.3 +/-0.7</w:t>
            </w:r>
          </w:p>
          <w:p w14:paraId="0F94801B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0.5)</w:t>
            </w:r>
          </w:p>
        </w:tc>
      </w:tr>
      <w:tr w:rsidR="005C79F4" w:rsidRPr="00290388" w14:paraId="578654C2" w14:textId="77777777" w:rsidTr="00EF49B6">
        <w:trPr>
          <w:trHeight w:val="440"/>
        </w:trPr>
        <w:tc>
          <w:tcPr>
            <w:tcW w:w="2325" w:type="dxa"/>
            <w:vMerge/>
          </w:tcPr>
          <w:p w14:paraId="4C3AB2B3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02E6488F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29.2 +/-0.7 </w:t>
            </w:r>
          </w:p>
          <w:p w14:paraId="577A4D05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0.75)</w:t>
            </w:r>
          </w:p>
        </w:tc>
        <w:tc>
          <w:tcPr>
            <w:tcW w:w="3675" w:type="dxa"/>
          </w:tcPr>
          <w:p w14:paraId="09E9A61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29.9 +/-0.7 </w:t>
            </w:r>
          </w:p>
          <w:p w14:paraId="63949E35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0.75)</w:t>
            </w:r>
          </w:p>
        </w:tc>
      </w:tr>
      <w:tr w:rsidR="005C79F4" w:rsidRPr="00290388" w14:paraId="3BDE9D1D" w14:textId="77777777" w:rsidTr="00EF49B6">
        <w:trPr>
          <w:trHeight w:val="440"/>
        </w:trPr>
        <w:tc>
          <w:tcPr>
            <w:tcW w:w="2325" w:type="dxa"/>
            <w:vMerge/>
          </w:tcPr>
          <w:p w14:paraId="576E79D5" w14:textId="77777777" w:rsidR="005C79F4" w:rsidRPr="00290388" w:rsidRDefault="005C79F4" w:rsidP="00EF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465" w:type="dxa"/>
          </w:tcPr>
          <w:p w14:paraId="4444B4AC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-55.6 +/-0.7 </w:t>
            </w:r>
          </w:p>
          <w:p w14:paraId="1AD41197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1.5)</w:t>
            </w:r>
          </w:p>
        </w:tc>
        <w:tc>
          <w:tcPr>
            <w:tcW w:w="3675" w:type="dxa"/>
          </w:tcPr>
          <w:p w14:paraId="54B37EEF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-56.6 +/-0.7</w:t>
            </w:r>
          </w:p>
          <w:p w14:paraId="05196FB1" w14:textId="77777777" w:rsidR="005C79F4" w:rsidRPr="00290388" w:rsidRDefault="005C79F4" w:rsidP="00EF49B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>(F/F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MSY</w:t>
            </w:r>
            <w:r w:rsidRPr="002903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1.5)</w:t>
            </w:r>
          </w:p>
        </w:tc>
      </w:tr>
    </w:tbl>
    <w:p w14:paraId="663E23C5" w14:textId="77777777" w:rsidR="005C79F4" w:rsidRPr="00290388" w:rsidRDefault="005C79F4" w:rsidP="005C79F4">
      <w:pPr>
        <w:spacing w:line="480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CA"/>
        </w:rPr>
      </w:pPr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a. 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For example, fishing at half of F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vertAlign w:val="subscript"/>
        </w:rPr>
        <w:t>MSY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was projected to increase biomass by 58.3 +/-0.7% relative to biomass at MSY, but global warming at 1 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vertAlign w:val="superscript"/>
        </w:rPr>
        <w:t>o</w:t>
      </w:r>
      <w:r w:rsidRPr="002903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C relative to preindustrial levels would lower the biomass increase by 14.7 +/-0.6%. At no-take coverage of 15%, biomass would increase by 2.5 +/-0.5% relative to the baseline 5% coverage scenario. </w:t>
      </w:r>
    </w:p>
    <w:p w14:paraId="78EF2C48" w14:textId="77777777" w:rsidR="005C79F4" w:rsidRPr="00290388" w:rsidRDefault="005C79F4" w:rsidP="005C79F4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b. Results from the mixed-effect model (Model 4): Biomass~factor(F/</w:t>
      </w:r>
      <w:proofErr w:type="gramStart"/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</w:t>
      </w:r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bscript"/>
        </w:rPr>
        <w:t>MSY</w:t>
      </w:r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)*</w:t>
      </w:r>
      <w:proofErr w:type="gramEnd"/>
      <w:r w:rsidRPr="002903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GWL+factor(MPA) + GWL + (1|stock), where MPA and GWL refers to coverage of no-take MPAs over the Northeast Atlantic and global warming level, respectively while stock identities (stock) are considered random effect. c. Results from the mixed-effect model (Model 4) with no-take MPAs coverage estimated over specific stock range size. </w:t>
      </w:r>
    </w:p>
    <w:p w14:paraId="0A82BFB2" w14:textId="77777777" w:rsidR="005C79F4" w:rsidRPr="00290388" w:rsidRDefault="005C79F4" w:rsidP="005C79F4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E0134" w14:textId="77777777" w:rsidR="00000000" w:rsidRDefault="00000000"/>
    <w:sectPr w:rsidR="00C22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F4"/>
    <w:rsid w:val="00146C9D"/>
    <w:rsid w:val="002A07FB"/>
    <w:rsid w:val="00382F1C"/>
    <w:rsid w:val="005C79F4"/>
    <w:rsid w:val="00904E13"/>
    <w:rsid w:val="00A74EE5"/>
    <w:rsid w:val="00E6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5B00"/>
  <w15:chartTrackingRefBased/>
  <w15:docId w15:val="{021873F3-21A5-354B-AE5F-B90A2E5B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9F4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1708</Characters>
  <Application>Microsoft Office Word</Application>
  <DocSecurity>0</DocSecurity>
  <Lines>30</Lines>
  <Paragraphs>9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Cheung</dc:creator>
  <cp:keywords/>
  <dc:description/>
  <cp:lastModifiedBy>William Cheung</cp:lastModifiedBy>
  <cp:revision>1</cp:revision>
  <dcterms:created xsi:type="dcterms:W3CDTF">2023-09-20T14:09:00Z</dcterms:created>
  <dcterms:modified xsi:type="dcterms:W3CDTF">2023-09-20T14:09:00Z</dcterms:modified>
</cp:coreProperties>
</file>