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(64.0 - 65.6); SD:11.4;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(56.3 - 59.0); SD:13.8;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(46.1 - 53.2)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(51.2 - 60.9)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(46.8 - 53.9)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(39.1 - 48.8)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(13.1 - 18.3)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(16.5 - 24.4)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(41.7 - 48.8)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(35.4 - 45.0)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(20.3 - 26.3)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(23.3 - 32.0)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(9.3 - 13.8)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(6.7 - 12.5)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(1.7 - 5.2)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(54.6 - 61.6)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(52.2 - 61.9)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(31.1 - 37.9)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(10.9 - 17.7)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(9.6 - 16.1)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(22.8 - 29.0)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(20.3 - 28.7)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(28.7 - 35.3)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(30.9 - 40.3)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(22.1 - 28.2)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(21.2 - 27.3)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(27.3 - 36.4)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(15.3 - 20.7)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(12.9 - 20.2)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(47.2 - 57.0)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(41.6 - 48.9)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(34.8 - 45.2)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(22.5 - 28.8)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(34.5 - 44.9)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(26.0 - 32.6)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(16.6 - 25.2)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(7.0 - 11.1)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(4.6 - 10.1)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(89.9 - 95.4)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(28.6 - 29.6); IQR: (25.6 - 33.6);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(28.2 - 29.4); IQR: (25.5 - 34.5); Range: 15.4 - 67.7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(0.6 - 3.2)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(17.2 - 23.1)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(15.1 - 23.1)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(33.0 - 40.0)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(32.1 - 41.9)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(31.9 - 38.9)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(28.2 - 37.8)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(6.2 - 10.3)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(7.5 - 13.7)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(83.3 - 90.3)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(6.9 - 11.1)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(9.7 - 16.7)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(48.6 - 55.7)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(44.0 - 53.8)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(30.9 - 37.6)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(11.4 - 16.3)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(70.7 - 76.9)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(77.4 - 85.1)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(23.1 - 29.3)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(14.9 - 22.6)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(91.9 - 95.4)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(93.0 - 97.2)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(2.8 - 7.0)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(85.9 - 90.5)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(91.5 - 96.2)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(3.8 - 8.5)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(92.3 - 95.7)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(94.2 - 97.9)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(4.3 - 7.7)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(2.1 - 5.8)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(87.6 - 91.9)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(90.3 - 95.3)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(4.7 - 9.7)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(86.3 - 90.8)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(85.8 - 91.9)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(9.2 - 13.7)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(3 - 6); IQR: (4 - 6);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(92.7 - 96.1)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(95.0 - 97.8)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(2.2 - 5.0)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(95.5 - 98.1)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2023-11-27T15:44:44Z</dcterms:modified>
  <cp:category/>
</cp:coreProperties>
</file>