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F1779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F177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329</w:t>
      </w:r>
      <w:bookmarkEnd w:id="3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December 04, 2021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55"/>
        <w:gridCol w:w="3355"/>
        <w:gridCol w:w="3355"/>
      </w:tblGrid>
      <w:tr w:rsidR="00F979CD" w14:paraId="198579E5" w14:textId="77777777">
        <w:trPr>
          <w:cantSplit/>
          <w:tblHeader/>
          <w:jc w:val="center"/>
        </w:trPr>
        <w:tc>
          <w:tcPr>
            <w:tcW w:w="3355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BB2F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Characteristic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A7DB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Screened-in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55B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Screened-out</w:t>
            </w:r>
          </w:p>
        </w:tc>
      </w:tr>
      <w:tr w:rsidR="00F979CD" w14:paraId="547A7F47" w14:textId="77777777">
        <w:trPr>
          <w:cantSplit/>
          <w:tblHeader/>
          <w:jc w:val="center"/>
        </w:trPr>
        <w:tc>
          <w:tcPr>
            <w:tcW w:w="3355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F7F2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C9C4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329)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4FA6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53)</w:t>
            </w:r>
          </w:p>
        </w:tc>
      </w:tr>
      <w:tr w:rsidR="00F979CD" w14:paraId="4D5FC426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96D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Age in years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mean (sd)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A976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39.9 (10.9)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1677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44.7 (11.5)</w:t>
            </w:r>
          </w:p>
        </w:tc>
      </w:tr>
      <w:tr w:rsidR="00F979CD" w14:paraId="222805F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B573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0033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9571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CBED95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9126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Gender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61A2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3D05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9C1BAA9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7185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BFA8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280 (85.1)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365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48 (90.6)</w:t>
            </w:r>
          </w:p>
        </w:tc>
      </w:tr>
      <w:tr w:rsidR="00F979CD" w14:paraId="109CECD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BB2F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Female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F97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 (13.4)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A8E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(9.4)</w:t>
            </w:r>
          </w:p>
        </w:tc>
      </w:tr>
      <w:tr w:rsidR="00F979CD" w14:paraId="527EE77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24C1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F29B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(1.5)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ECC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F979CD" w14:paraId="0DB983E5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3013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334C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E81D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3AC8AF0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962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Race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0A5C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693B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15798EEE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D0DF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Black or African American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D02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203 (61.7)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6905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(79.2)</w:t>
            </w:r>
          </w:p>
        </w:tc>
      </w:tr>
      <w:tr w:rsidR="00F979CD" w14:paraId="0F36A7CF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F715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CA6E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71 (21.6)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A3B8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(13.2)</w:t>
            </w:r>
          </w:p>
        </w:tc>
      </w:tr>
      <w:tr w:rsidR="00F979CD" w14:paraId="29B99EDE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5B22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0443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55 (16.7)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612C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(7.5)</w:t>
            </w:r>
          </w:p>
        </w:tc>
      </w:tr>
      <w:tr w:rsidR="00F979CD" w14:paraId="6E4FBC70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61DF" w14:textId="77777777" w:rsidR="00F979CD" w:rsidRDefault="00F979CD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7CD4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C287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5E971DA6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F739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Ethnicity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F3CA" w14:textId="77777777" w:rsidR="00F979CD" w:rsidRDefault="00F979CD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5B0F" w14:textId="77777777" w:rsidR="00F979CD" w:rsidRDefault="00F979CD">
            <w:pPr>
              <w:ind w:left="100" w:right="100"/>
              <w:jc w:val="center"/>
            </w:pPr>
          </w:p>
        </w:tc>
      </w:tr>
      <w:tr w:rsidR="00F979CD" w14:paraId="1BFA82B8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42EB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Non-Hispanic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148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289 (87.8)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584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51 (96.2)</w:t>
            </w:r>
          </w:p>
        </w:tc>
      </w:tr>
      <w:tr w:rsidR="00F979CD" w14:paraId="694EF38A" w14:textId="77777777">
        <w:trPr>
          <w:cantSplit/>
          <w:jc w:val="center"/>
        </w:trPr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7CCC" w14:textId="77777777" w:rsidR="00F979CD" w:rsidRDefault="00F17790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Hispanic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818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(12.2)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667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(3.8)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40"/>
        <w:gridCol w:w="5040"/>
      </w:tblGrid>
      <w:tr w:rsidR="00F979CD" w14:paraId="73FAC05C" w14:textId="77777777">
        <w:trPr>
          <w:cantSplit/>
          <w:tblHeader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EF32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0085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 (%)</w:t>
            </w:r>
          </w:p>
        </w:tc>
      </w:tr>
      <w:tr w:rsidR="00F979CD" w14:paraId="086F8F1D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85A6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37CD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 (56.4)</w:t>
            </w:r>
          </w:p>
        </w:tc>
      </w:tr>
      <w:tr w:rsidR="00F979CD" w14:paraId="2ED90308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04A2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&lt;24 on Mini-Mental State Exam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7E10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 (15.4)</w:t>
            </w:r>
          </w:p>
        </w:tc>
      </w:tr>
      <w:tr w:rsidR="00F979CD" w14:paraId="560AD8C4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0DD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Consent Reading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CDD2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11 (14.1)</w:t>
            </w:r>
          </w:p>
        </w:tc>
      </w:tr>
      <w:tr w:rsidR="00F979CD" w14:paraId="43890039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AB1F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AEE2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(5.1)</w:t>
            </w:r>
          </w:p>
        </w:tc>
      </w:tr>
      <w:tr w:rsidR="00F979CD" w14:paraId="1E6404D3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68B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194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(5.1)</w:t>
            </w:r>
          </w:p>
        </w:tc>
      </w:tr>
      <w:tr w:rsidR="00F979CD" w14:paraId="4E811DDB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DD6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Walked Out Prior to Screen Out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A971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</w:tr>
      <w:tr w:rsidR="00F979CD" w14:paraId="0BAE35AA" w14:textId="77777777">
        <w:trPr>
          <w:cantSplit/>
          <w:jc w:val="center"/>
        </w:trPr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312D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6449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(1.3)</w:t>
            </w:r>
          </w:p>
        </w:tc>
      </w:tr>
      <w:tr w:rsidR="00F979CD" w14:paraId="6FD52274" w14:textId="77777777">
        <w:trPr>
          <w:cantSplit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78E0" w14:textId="77777777" w:rsidR="00F979CD" w:rsidRDefault="00F17790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F31A" w14:textId="77777777" w:rsidR="00F979CD" w:rsidRDefault="00F17790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78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6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6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5540F36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7" w:name="_Toc42615788"/>
      <w:r>
        <w:lastRenderedPageBreak/>
        <w:t>Phone Terminations</w:t>
      </w:r>
      <w:bookmarkEnd w:id="7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8" w:name="n_phone_terminations"/>
      <w:r w:rsidR="00174169">
        <w:rPr>
          <w:rFonts w:ascii="Times New Roman" w:hAnsi="Times New Roman" w:cs="Times New Roman"/>
          <w:color w:val="auto"/>
          <w:sz w:val="22"/>
        </w:rPr>
        <w:t>304</w:t>
      </w:r>
      <w:bookmarkEnd w:id="8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9" w:name="fig_phone_terminations"/>
      <w:r>
        <w:rPr>
          <w:noProof/>
        </w:rPr>
        <w:drawing>
          <wp:inline distT="0" distB="0" distL="0" distR="0" wp14:anchorId="1ED3AA34" wp14:editId="393557E5">
            <wp:extent cx="6400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9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0" w:name="_Toc42615789"/>
      <w:r>
        <w:lastRenderedPageBreak/>
        <w:t>Visit Compliance</w:t>
      </w:r>
      <w:bookmarkEnd w:id="10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11" w:name="n_randomized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304</w:t>
            </w:r>
            <w:bookmarkEnd w:id="11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= 329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= 303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15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15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r>
        <w:rPr>
          <w:noProof/>
        </w:rPr>
        <w:drawing>
          <wp:inline distT="0" distB="0" distL="0" distR="0" wp14:anchorId="4E79BF36" wp14:editId="2FA95E59">
            <wp:extent cx="6400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</w:p>
    <w:p w14:paraId="31F3654D" w14:textId="01B147B5" w:rsidR="002865B9" w:rsidRPr="002865B9" w:rsidRDefault="00F177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F177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r>
        <w:rPr>
          <w:noProof/>
        </w:rPr>
        <w:drawing>
          <wp:inline distT="0" distB="0" distL="0" distR="0" wp14:anchorId="0F954D1C" wp14:editId="6DBBD74D">
            <wp:extent cx="64008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</w:p>
    <w:sectPr w:rsidR="00E56EA5" w:rsidRPr="004F71BC" w:rsidSect="00A67285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5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768533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76853355" w16cid:durableId="255623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B0F2" w14:textId="77777777" w:rsidR="00F17790" w:rsidRDefault="00F17790" w:rsidP="005A20E2">
      <w:r>
        <w:separator/>
      </w:r>
    </w:p>
    <w:p w14:paraId="5B03FA7F" w14:textId="77777777" w:rsidR="00F17790" w:rsidRDefault="00F17790"/>
    <w:p w14:paraId="42ADB806" w14:textId="77777777" w:rsidR="00F17790" w:rsidRDefault="00F17790" w:rsidP="009B4773"/>
    <w:p w14:paraId="1D798883" w14:textId="77777777" w:rsidR="00F17790" w:rsidRDefault="00F17790" w:rsidP="00513832"/>
    <w:p w14:paraId="5A76C442" w14:textId="77777777" w:rsidR="00F17790" w:rsidRDefault="00F17790"/>
  </w:endnote>
  <w:endnote w:type="continuationSeparator" w:id="0">
    <w:p w14:paraId="45BB41BA" w14:textId="77777777" w:rsidR="00F17790" w:rsidRDefault="00F17790" w:rsidP="005A20E2">
      <w:r>
        <w:continuationSeparator/>
      </w:r>
    </w:p>
    <w:p w14:paraId="3BD54866" w14:textId="77777777" w:rsidR="00F17790" w:rsidRDefault="00F17790"/>
    <w:p w14:paraId="00474401" w14:textId="77777777" w:rsidR="00F17790" w:rsidRDefault="00F17790" w:rsidP="009B4773"/>
    <w:p w14:paraId="490890C3" w14:textId="77777777" w:rsidR="00F17790" w:rsidRDefault="00F17790" w:rsidP="00513832"/>
    <w:p w14:paraId="68A65DBC" w14:textId="77777777" w:rsidR="00F17790" w:rsidRDefault="00F17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BEDA" w14:textId="77777777" w:rsidR="00F17790" w:rsidRDefault="00F17790" w:rsidP="005A20E2">
      <w:r>
        <w:separator/>
      </w:r>
    </w:p>
    <w:p w14:paraId="6B7680B1" w14:textId="77777777" w:rsidR="00F17790" w:rsidRDefault="00F17790"/>
    <w:p w14:paraId="3C33FBCA" w14:textId="77777777" w:rsidR="00F17790" w:rsidRDefault="00F17790" w:rsidP="009B4773"/>
    <w:p w14:paraId="314F4708" w14:textId="77777777" w:rsidR="00F17790" w:rsidRDefault="00F17790" w:rsidP="00513832"/>
    <w:p w14:paraId="4964BECB" w14:textId="77777777" w:rsidR="00F17790" w:rsidRDefault="00F17790"/>
  </w:footnote>
  <w:footnote w:type="continuationSeparator" w:id="0">
    <w:p w14:paraId="2A333740" w14:textId="77777777" w:rsidR="00F17790" w:rsidRDefault="00F17790" w:rsidP="005A20E2">
      <w:r>
        <w:continuationSeparator/>
      </w:r>
    </w:p>
    <w:p w14:paraId="09DB56D0" w14:textId="77777777" w:rsidR="00F17790" w:rsidRDefault="00F17790"/>
    <w:p w14:paraId="3E9E24C2" w14:textId="77777777" w:rsidR="00F17790" w:rsidRDefault="00F17790" w:rsidP="009B4773"/>
    <w:p w14:paraId="53F4ECFC" w14:textId="77777777" w:rsidR="00F17790" w:rsidRDefault="00F17790" w:rsidP="00513832"/>
    <w:p w14:paraId="76345676" w14:textId="77777777" w:rsidR="00F17790" w:rsidRDefault="00F177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E90"/>
    <w:rsid w:val="00361FF5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2DF6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E759C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67C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3A34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17790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979CD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14262"/>
    <w:rsid w:val="00127040"/>
    <w:rsid w:val="001D731B"/>
    <w:rsid w:val="001E5D73"/>
    <w:rsid w:val="003307DD"/>
    <w:rsid w:val="003B4780"/>
    <w:rsid w:val="00431518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F9F58B-9974-4CA8-BBA2-1E62AA0606A6}"/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2021-12-08T20:33:00Z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