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-102869</wp:posOffset>
            </wp:positionH>
            <wp:positionV relativeFrom="paragraph">
              <wp:posOffset>-335914</wp:posOffset>
            </wp:positionV>
            <wp:extent cx="1642533" cy="940083"/>
            <wp:effectExtent b="0" l="0" r="0" t="0"/>
            <wp:wrapNone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2533" cy="9400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2057400</wp:posOffset>
            </wp:positionH>
            <wp:positionV relativeFrom="paragraph">
              <wp:posOffset>-313265</wp:posOffset>
            </wp:positionV>
            <wp:extent cx="2286000" cy="1081454"/>
            <wp:effectExtent b="0" l="0" r="0" t="0"/>
            <wp:wrapNone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4584488</wp:posOffset>
            </wp:positionH>
            <wp:positionV relativeFrom="paragraph">
              <wp:posOffset>-921807</wp:posOffset>
            </wp:positionV>
            <wp:extent cx="2311400" cy="2311400"/>
            <wp:effectExtent b="0" l="0" r="0" t="0"/>
            <wp:wrapNone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28.0" w:type="dxa"/>
        <w:jc w:val="left"/>
        <w:tblInd w:w="0.0" w:type="dxa"/>
        <w:tblLayout w:type="fixed"/>
        <w:tblLook w:val="0600"/>
      </w:tblPr>
      <w:tblGrid>
        <w:gridCol w:w="10528"/>
        <w:tblGridChange w:id="0">
          <w:tblGrid>
            <w:gridCol w:w="10528"/>
          </w:tblGrid>
        </w:tblGridChange>
      </w:tblGrid>
      <w:tr>
        <w:trPr>
          <w:cantSplit w:val="0"/>
          <w:trHeight w:val="301" w:hRule="atLeast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pStyle w:val="Title"/>
              <w:rPr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48"/>
                <w:szCs w:val="48"/>
                <w:rtl w:val="0"/>
              </w:rPr>
              <w:t xml:space="preserve">Link2Care 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pStyle w:val="Subtitle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rtl w:val="0"/>
              </w:rPr>
              <w:t xml:space="preserve">Quarter  [2022]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pStyle w:val="Subtitle"/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rtl w:val="0"/>
              </w:rPr>
              <w:t xml:space="preserve">April 22, 2022: 2:00 – 3:00 PM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" w:cs="Arial " w:eastAsia="Arial " w:hAnsi="Arial 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" w:cs="Arial " w:eastAsia="Arial " w:hAnsi="Arial 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" w:cs="Arial " w:eastAsia="Arial " w:hAnsi="Arial 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Action Items</w:t>
      </w:r>
    </w:p>
    <w:tbl>
      <w:tblPr>
        <w:tblStyle w:val="Table2"/>
        <w:tblW w:w="9620.0" w:type="dxa"/>
        <w:jc w:val="left"/>
        <w:tblInd w:w="0.0" w:type="dxa"/>
        <w:tblLayout w:type="fixed"/>
        <w:tblLook w:val="0600"/>
      </w:tblPr>
      <w:tblGrid>
        <w:gridCol w:w="9620"/>
        <w:tblGridChange w:id="0">
          <w:tblGrid>
            <w:gridCol w:w="9620"/>
          </w:tblGrid>
        </w:tblGridChange>
      </w:tblGrid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Study Update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Placeholder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 Items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Study Participants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Phone and Clincard Breakdown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Phone Terminations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Visit Compliance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COVID -19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 Completion Rates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Arrests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Bridge Case Session Minutes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Recruitment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spacing w:after="4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Link2Care Study Update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 = </w:t>
      </w:r>
      <w:bookmarkStart w:colFirst="0" w:colLast="0" w:name="bookmark=id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359 people screened as of </w:t>
      </w:r>
      <w:bookmarkStart w:colFirst="0" w:colLast="0" w:name="bookmark=id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April 19, 2022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Study Participants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Table 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Demographic characteristics of all people screened for study inclusion.</w:t>
      </w:r>
    </w:p>
    <w:tbl>
      <w:tblPr>
        <w:tblStyle w:val="Table3"/>
        <w:tblW w:w="10065.0" w:type="dxa"/>
        <w:jc w:val="center"/>
        <w:tblLayout w:type="fixed"/>
        <w:tblLook w:val="0000"/>
      </w:tblPr>
      <w:tblGrid>
        <w:gridCol w:w="3355"/>
        <w:gridCol w:w="3355"/>
        <w:gridCol w:w="3355"/>
        <w:tblGridChange w:id="0">
          <w:tblGrid>
            <w:gridCol w:w="3355"/>
            <w:gridCol w:w="3355"/>
            <w:gridCol w:w="3355"/>
          </w:tblGrid>
        </w:tblGridChange>
      </w:tblGrid>
      <w:tr>
        <w:trPr>
          <w:cantSplit w:val="1"/>
          <w:trHeight w:val="360" w:hRule="atLeast"/>
          <w:tblHeader w:val="1"/>
        </w:trPr>
        <w:tc>
          <w:tcPr>
            <w:vMerge w:val="restart"/>
            <w:tcBorders>
              <w:top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Characteristic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Screened-in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Screened-out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1"/>
        </w:trPr>
        <w:tc>
          <w:tcPr>
            <w:vMerge w:val="continue"/>
            <w:tcBorders>
              <w:top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(n = 359)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(n = 57)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Age in years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, mean (sd)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39.9 (10.9)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45.1 (11.5)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Gender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, n(%)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spacing w:after="0" w:before="0" w:line="240" w:lineRule="auto"/>
              <w:ind w:left="2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306 (85.2)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51 (89.5)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spacing w:after="0" w:before="0" w:line="240" w:lineRule="auto"/>
              <w:ind w:left="2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47 (13.1)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 (10.5)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spacing w:after="0" w:before="0" w:line="240" w:lineRule="auto"/>
              <w:ind w:left="2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 (1.7)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 (0.0)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, n(%)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spacing w:after="0" w:before="0" w:line="240" w:lineRule="auto"/>
              <w:ind w:left="2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Black or African American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222 (61.8)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45 (78.9)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spacing w:after="0" w:before="0" w:line="240" w:lineRule="auto"/>
              <w:ind w:left="2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78 (21.7)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 (14.0)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spacing w:after="0" w:before="0" w:line="240" w:lineRule="auto"/>
              <w:ind w:left="2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59 (16.4)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 (7.0)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Ethnicity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, n(%)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spacing w:after="0" w:before="0" w:line="240" w:lineRule="auto"/>
              <w:ind w:left="2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Non-Hispanic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316 (88.0)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55 (96.5)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1"/>
              <w:spacing w:after="0" w:before="0" w:line="240" w:lineRule="auto"/>
              <w:ind w:left="2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Hispanic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43 (12.0)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(3.5)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Table 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Distribution of reasons for screen-out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.</w:t>
      </w:r>
    </w:p>
    <w:tbl>
      <w:tblPr>
        <w:tblStyle w:val="Table4"/>
        <w:tblW w:w="10080.0" w:type="dxa"/>
        <w:jc w:val="center"/>
        <w:tblLayout w:type="fixed"/>
        <w:tblLook w:val="00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1"/>
          <w:trHeight w:val="360" w:hRule="atLeast"/>
          <w:tblHeader w:val="1"/>
        </w:trPr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Reason For Screen 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Score &lt;4 on REALM-SF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47 (53.4)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Score &lt;24 on Mini-Mental State Exam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14 (15.9)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Incorrect Consent Reading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11 (12.5)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Failure to Orient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7 (8.0)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 (5.7)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PT Plans to 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(2.3)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Walked Out Prior to Screen 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(2.3)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88 (100.0)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1. This number is larger than the total number of people screened-out because each person could have been screened out for multiple reasons.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Phone and ClinCard Breakdown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944"/>
        <w:gridCol w:w="2556"/>
        <w:tblGridChange w:id="0">
          <w:tblGrid>
            <w:gridCol w:w="6944"/>
            <w:gridCol w:w="2556"/>
          </w:tblGrid>
        </w:tblGridChange>
      </w:tblGrid>
      <w:tr>
        <w:trPr>
          <w:cantSplit w:val="0"/>
          <w:trHeight w:val="346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.  Payment card and phone loss. 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Total number of ClinCards distributed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600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Total number of participants with ClinCard replacements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158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Total number of phones distributed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338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Total number of participants with phone replacements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7B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101 Participants had cards replaced 1 time (2 total payment cards).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36 Participants had cards replaced 2 times (3 total payment cards).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16 Participants had cards replaced 3 times (4 total payment cards).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5 Participants had cards replaced 4 times (5 total payment cards).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728"/>
        <w:gridCol w:w="3727"/>
        <w:tblGridChange w:id="0">
          <w:tblGrid>
            <w:gridCol w:w="5728"/>
            <w:gridCol w:w="372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Phone distribution and replacement.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(%)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Total # of phones distributed overall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= 338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Total # of participants in phone groups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221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Total # of participants w/ phone replacements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110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# of participants w/ phone replacement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UCM+SP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# of participants w/ phone replacement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L2C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# of participants in UCM+SP w/ &gt;1 phone replacement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# of Participants in L2C w/ &gt;1 phone replacement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4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Phone Terminations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Figure 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Reasons for phone terminations overall (N = </w:t>
      </w:r>
      <w:bookmarkStart w:colFirst="0" w:colLast="0" w:name="bookmark=id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325 terminations).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88900" cy="50800"/>
            <wp:effectExtent b="0" l="0" r="0" t="0"/>
            <wp:docPr id="2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6400800" cy="3657600"/>
            <wp:effectExtent b="0" l="0" r="0" t="0"/>
            <wp:docPr id="1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10688.0" w:type="dxa"/>
        <w:jc w:val="left"/>
        <w:tblInd w:w="0.0" w:type="dxa"/>
        <w:tblLayout w:type="fixed"/>
        <w:tblLook w:val="0400"/>
      </w:tblPr>
      <w:tblGrid>
        <w:gridCol w:w="2819"/>
        <w:gridCol w:w="2623"/>
        <w:gridCol w:w="2623"/>
        <w:gridCol w:w="2623"/>
        <w:tblGridChange w:id="0">
          <w:tblGrid>
            <w:gridCol w:w="2819"/>
            <w:gridCol w:w="2623"/>
            <w:gridCol w:w="2623"/>
            <w:gridCol w:w="2623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Reasons for phone terminations by informed consent form version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ICF #1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Original EMA Structure</w:t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(P2001-P2073)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ICF #2: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15-Day EMA Comp &amp; Non-compliance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(P2074-2153)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ICF #3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Increased EMA Payment</w:t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(P2154 and 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Reasons for Terminations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 (column %)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 (column %)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 (column %)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Stolen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33 (42.9)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27 (32.1)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46 (28.0)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Completed Study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23 (29.9)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13 (15.5)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34 (20.7)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Non-Compliance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 (0.0)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18 (21.4)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39 (23.8)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Lost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13 (16.9)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15 (17.9)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18 (11.5)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Defective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(2.6)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9 (10.7)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12 (7.3)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Sold or Gifted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 (3.9)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(2.4)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9 (5.5)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Returned to 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 (0.0)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 (0.0)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(1.2)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Broken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 (3.9)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 (0.0)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 (2.4)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77 (100)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84 (100)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164 (100)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4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Visit Compliance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035"/>
        <w:gridCol w:w="5035"/>
        <w:tblGridChange w:id="0">
          <w:tblGrid>
            <w:gridCol w:w="5035"/>
            <w:gridCol w:w="503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Number and percent of participants per L2C group (n randomized = </w:t>
            </w:r>
            <w:bookmarkStart w:colFirst="0" w:colLast="0" w:name="bookmark=id.17dp8vu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330).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after="48" w:before="2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sz w:val="22"/>
                <w:szCs w:val="22"/>
                <w:rtl w:val="0"/>
              </w:rPr>
              <w:t xml:space="preserve">L2C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 (percent)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UCM+SP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111 (33.6)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UCM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109 (33.0)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L2C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110 (33.3)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56"/>
        <w:gridCol w:w="3209"/>
        <w:gridCol w:w="3505"/>
        <w:tblGridChange w:id="0">
          <w:tblGrid>
            <w:gridCol w:w="3356"/>
            <w:gridCol w:w="3209"/>
            <w:gridCol w:w="350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Number and percent of participants who completed visits 1 through 5.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Visit Number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Overall</w:t>
            </w:r>
          </w:p>
          <w:p w:rsidR="00000000" w:rsidDel="00000000" w:rsidP="00000000" w:rsidRDefault="00000000" w:rsidRPr="00000000" w14:paraId="000000F4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 = </w:t>
            </w: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3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0F5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(percent)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Participants Who Attended Visit 2</w:t>
            </w:r>
          </w:p>
          <w:p w:rsidR="00000000" w:rsidDel="00000000" w:rsidP="00000000" w:rsidRDefault="00000000" w:rsidRPr="00000000" w14:paraId="000000F7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 = </w:t>
            </w: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3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F8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(percent)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359 (100.0)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330 (91.9)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330 (100.0)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245 (69.8)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245 (75.6)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187 (55.2)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187 (59.6)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164 (51.2)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164 (55.6)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pBdr>
          <w:bottom w:color="000000" w:space="0" w:sz="0" w:val="none"/>
        </w:pBdr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rPr/>
      </w:pPr>
      <w:r w:rsidDel="00000000" w:rsidR="00000000" w:rsidRPr="00000000">
        <w:rPr>
          <w:rtl w:val="0"/>
        </w:rPr>
        <w:t xml:space="preserve">COVID -19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707"/>
        <w:gridCol w:w="4373"/>
        <w:tblGridChange w:id="0">
          <w:tblGrid>
            <w:gridCol w:w="5707"/>
            <w:gridCol w:w="437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. COVID-19 phone (N = 58) and REDCap (N = 44) interviews since protocol change on 3/17/2020.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Number of Interviews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48" w:before="2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Overall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48" w:before="2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L2C Groups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UCM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UCM+SP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L2C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48" w:before="2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L2C Visits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 Visit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 Visit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 Visit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 Visit 5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Notes. N=total number of phone interviews conducted. Some participants have had &gt;1 remote interview. 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4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EMA and Study Completion Rates</w:t>
      </w:r>
    </w:p>
    <w:p w:rsidR="00000000" w:rsidDel="00000000" w:rsidP="00000000" w:rsidRDefault="00000000" w:rsidRPr="00000000" w14:paraId="00000132">
      <w:pPr>
        <w:spacing w:after="48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42"/>
        <w:gridCol w:w="889"/>
        <w:gridCol w:w="892"/>
        <w:gridCol w:w="1886"/>
        <w:gridCol w:w="1887"/>
        <w:gridCol w:w="1887"/>
        <w:gridCol w:w="1887"/>
        <w:tblGridChange w:id="0">
          <w:tblGrid>
            <w:gridCol w:w="742"/>
            <w:gridCol w:w="889"/>
            <w:gridCol w:w="892"/>
            <w:gridCol w:w="1886"/>
            <w:gridCol w:w="1887"/>
            <w:gridCol w:w="1887"/>
            <w:gridCol w:w="1887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Ecological Momentary Assessment (EMA) completion metrics by 15-day cycle and payment approach.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Cycle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IPA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median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RPA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median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IPA Zero EMAs Complete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(%)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RPA Zero EMAs Complete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(%)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IPA 7+ EMAs Complete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(%)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RPA 7+ EMAs Complete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superscript"/>
                <w:rtl w:val="0"/>
              </w:rPr>
              <w:t xml:space="preserve">4,5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(%)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10.0</w:t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9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19.1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14 (10.1)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 (4.3)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 (5.8)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4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8.5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4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12 (25.5)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32 (23.2)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 (2.1)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 (0.7)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6.0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16 (34.0)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44 (31.9)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 (2.1)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 (2.2)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4.0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53.2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58 (42.0)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 (4.3)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 (4.3)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1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2.0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29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61.7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63 (45.7)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 (4.3)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 (0.7)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0.5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66.0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69 (50.0)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 (4.3)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 (2.9)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72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66.0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7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77 (55.8)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 (4.3)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(1.4)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7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7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33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70.2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7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75 (54.3)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0 (0.0)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(1.4)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7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32 (68.1)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1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80 (58.0)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 (2.1)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(1.4)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34 (72.3)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83 (60.1)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0 (0.0)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 (0.7)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36 (76.6)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85 (61.6)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0 (0.0)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 (0.0)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2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35 (74.5)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90 (65.2)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 (2.1)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 (2.2)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323 (57.3)</w:t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770 (46.5)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14 (2.5)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33 (2.0)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  <w:rtl w:val="0"/>
              </w:rPr>
              <w:t xml:space="preserve">1. IPA = Initial payment approach. Includes PTs 2001-2073 and included payments at study visits only (n = 47).</w:t>
            </w:r>
          </w:p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  <w:rtl w:val="0"/>
              </w:rPr>
              <w:t xml:space="preserve">2. RPA = Revised payment approach. Includes PTs 2074 and above (n = 126). The protocol change became effective on 11/21/2018.</w:t>
            </w:r>
          </w:p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  <w:rtl w:val="0"/>
              </w:rPr>
              <w:t xml:space="preserve">3. The number and percent of PTs who completed zero EMAs by cycle and payment approach.</w:t>
            </w:r>
          </w:p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  <w:rtl w:val="0"/>
              </w:rPr>
              <w:t xml:space="preserve">4. The number and percent of PTs who completed sever or more EMAs by cycle and payment approach.</w:t>
            </w:r>
          </w:p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  <w:rtl w:val="0"/>
              </w:rPr>
              <w:t xml:space="preserve">5. Only includes PTs who completed all 12 15-day cycles. </w:t>
            </w:r>
          </w:p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spacing w:after="48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Arrests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0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931"/>
        <w:gridCol w:w="4149"/>
        <w:tblGridChange w:id="0">
          <w:tblGrid>
            <w:gridCol w:w="5931"/>
            <w:gridCol w:w="4149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Arrests by treatment arm 12 months after enrollment.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Treatment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Arrested</w:t>
            </w:r>
          </w:p>
          <w:p w:rsidR="00000000" w:rsidDel="00000000" w:rsidP="00000000" w:rsidRDefault="00000000" w:rsidRPr="00000000" w14:paraId="000001B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(row percent)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Overall 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121 (44.16)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UCM (n=85)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39 (45.9)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UCM+SP (n=86)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39 (45.3)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L2C (n=84)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33 (39.3)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</w:t>
            </w: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NS V2 (n=19)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10 (52.6)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4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1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Bridge Case Session Minutes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12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35"/>
        <w:gridCol w:w="1532"/>
        <w:gridCol w:w="1533"/>
        <w:gridCol w:w="1532"/>
        <w:gridCol w:w="1538"/>
        <w:tblGridChange w:id="0">
          <w:tblGrid>
            <w:gridCol w:w="5135"/>
            <w:gridCol w:w="1532"/>
            <w:gridCol w:w="1533"/>
            <w:gridCol w:w="1532"/>
            <w:gridCol w:w="1538"/>
          </w:tblGrid>
        </w:tblGridChange>
      </w:tblGrid>
      <w:tr>
        <w:trPr>
          <w:cantSplit w:val="0"/>
          <w:trHeight w:val="319" w:hRule="atLeast"/>
          <w:tblHeader w:val="0"/>
        </w:trPr>
        <w:tc>
          <w:tcPr>
            <w:gridSpan w:val="5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</w:t>
            </w:r>
            <w:sdt>
              <w:sdtPr>
                <w:tag w:val="goog_rdk_5"/>
              </w:sdtPr>
              <w:sdtContent>
                <w:commentRangeStart w:id="5"/>
              </w:sdtContent>
            </w:sdt>
            <w:sdt>
              <w:sdtPr>
                <w:tag w:val="goog_rdk_6"/>
              </w:sdtPr>
              <w:sdtContent>
                <w:commentRangeStart w:id="6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12</w:t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Number and percent of participants who used Bridge case management (N = 330)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restart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Number of Participants (%)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Overall</w:t>
            </w:r>
          </w:p>
          <w:p w:rsidR="00000000" w:rsidDel="00000000" w:rsidP="00000000" w:rsidRDefault="00000000" w:rsidRPr="00000000" w14:paraId="000001D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(N=330)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UCM </w:t>
            </w:r>
          </w:p>
          <w:p w:rsidR="00000000" w:rsidDel="00000000" w:rsidP="00000000" w:rsidRDefault="00000000" w:rsidRPr="00000000" w14:paraId="000001D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(N=109)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UCM+SP (N=111)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L2C </w:t>
            </w:r>
          </w:p>
          <w:p w:rsidR="00000000" w:rsidDel="00000000" w:rsidP="00000000" w:rsidRDefault="00000000" w:rsidRPr="00000000" w14:paraId="000001D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(N=110)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Used at least one session of regular case management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243 (73.6)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82 (75.2)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78 (70.3)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83 (75.5)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D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Used at least one session of crisis case management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33 (10.0)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13 (11.9)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12 (10.8)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 (7.3)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2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Used at least one session of other case management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160 (48.5)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53 (48.6)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50 (45.0)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57 (51.8)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forms of Bridge case management</w:t>
            </w:r>
          </w:p>
        </w:tc>
        <w:tc>
          <w:tcPr>
            <w:tcBorders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71 (21.5)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21 (19.3)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28 (25.2)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22 (20.0)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5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Note: Categories of case management are not mutually exclusive, so percentages may exceed 100.</w:t>
            </w:r>
          </w:p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1. Only includes participants who were randomized to a study arm and have a row in the bridge session minutes.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1245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765"/>
        <w:gridCol w:w="1620"/>
        <w:gridCol w:w="1712"/>
        <w:gridCol w:w="1529"/>
        <w:gridCol w:w="999"/>
        <w:gridCol w:w="265"/>
        <w:gridCol w:w="355"/>
        <w:tblGridChange w:id="0">
          <w:tblGrid>
            <w:gridCol w:w="4765"/>
            <w:gridCol w:w="1620"/>
            <w:gridCol w:w="1712"/>
            <w:gridCol w:w="1529"/>
            <w:gridCol w:w="999"/>
            <w:gridCol w:w="265"/>
            <w:gridCol w:w="355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. Number and duration of case management sessions 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Overall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(N=</w:t>
            </w:r>
            <w:sdt>
              <w:sdtPr>
                <w:tag w:val="goog_rdk_7"/>
              </w:sdtPr>
              <w:sdtContent>
                <w:commentRangeStart w:id="7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30)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UCM </w:t>
            </w:r>
          </w:p>
          <w:p w:rsidR="00000000" w:rsidDel="00000000" w:rsidP="00000000" w:rsidRDefault="00000000" w:rsidRPr="00000000" w14:paraId="000001F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(N=109)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UCM+SP</w:t>
            </w:r>
          </w:p>
          <w:p w:rsidR="00000000" w:rsidDel="00000000" w:rsidP="00000000" w:rsidRDefault="00000000" w:rsidRPr="00000000" w14:paraId="0000020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(N=111)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L2C </w:t>
            </w:r>
          </w:p>
          <w:p w:rsidR="00000000" w:rsidDel="00000000" w:rsidP="00000000" w:rsidRDefault="00000000" w:rsidRPr="00000000" w14:paraId="0000020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(N=110)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Case management of any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C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Sessions per participant, median (range)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4 (0-66)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5 (0-66)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 (0-57)</w:t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4 (0-54)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3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Total minutes of sessions per PT, median (range)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105 (0-1,910)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125 (0-1,800)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75 (0-1,630)</w:t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105 (0-1,910)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A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Regular Case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1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Sessions per participant, median (range)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2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6 (1-48)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7 (1-46)</w:t>
            </w:r>
          </w:p>
        </w:tc>
        <w:tc>
          <w:tcPr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2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5 (1-47)</w:t>
            </w:r>
          </w:p>
        </w:tc>
        <w:tc>
          <w:tcPr>
            <w:gridSpan w:val="3"/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2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6 (1-48)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8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Total minutes of sessions per PT, median (range)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190 (15-1,845)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215 (30-1,615)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165 (20-1,525)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2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210 (15-1,845)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F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Crisis Case Management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1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2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3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Sessions per participant, median (range)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 (1-8)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 (1-7)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 (1-8)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3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 (1-3)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D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Total minutes of sessions per PT, median (range)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35 (10-265)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35 (10-235)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45 (10-265)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41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30 (10-80)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4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Other Case Management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4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B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Sessions per participant, median (range)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 (1-19)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 (1-19)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 (1-16)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4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 (1-14)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2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Total minutes of sessions per PT, median (range)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15 (2-150)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15 (5-150)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 (2-102)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5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15 (5-110)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5"/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1. Only includes participants who were randomized to a study arm.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pStyle w:val="Heading1"/>
        <w:rPr/>
      </w:pPr>
      <w:bookmarkStart w:colFirst="0" w:colLast="0" w:name="_heading=h.1ksv4uv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Recruitment</w:t>
      </w:r>
    </w:p>
    <w:p w:rsidR="00000000" w:rsidDel="00000000" w:rsidP="00000000" w:rsidRDefault="00000000" w:rsidRPr="00000000" w14:paraId="0000026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Figure 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Recruitment by month.</w:t>
      </w:r>
    </w:p>
    <w:bookmarkStart w:colFirst="0" w:colLast="0" w:name="bookmark=id.44sinio" w:id="16"/>
    <w:bookmarkEnd w:id="16"/>
    <w:p w:rsidR="00000000" w:rsidDel="00000000" w:rsidP="00000000" w:rsidRDefault="00000000" w:rsidRPr="00000000" w14:paraId="00000264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88900" cy="50800"/>
            <wp:effectExtent b="0" l="0" r="0" t="0"/>
            <wp:docPr id="2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1"/>
        <w:rPr/>
      </w:pPr>
      <w:r w:rsidDel="00000000" w:rsidR="00000000" w:rsidRPr="00000000">
        <w:rPr/>
        <w:drawing>
          <wp:inline distB="114300" distT="114300" distL="114300" distR="114300">
            <wp:extent cx="6400800" cy="3657600"/>
            <wp:effectExtent b="0" l="0" r="0" t="0"/>
            <wp:docPr id="1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" w:before="0" w:line="240" w:lineRule="auto"/>
        <w:ind w:left="0" w:right="0" w:firstLine="0"/>
        <w:jc w:val="left"/>
        <w:rPr>
          <w:rFonts w:ascii="Arial " w:cs="Arial " w:eastAsia="Arial " w:hAnsi="Arial "/>
          <w:b w:val="0"/>
          <w:i w:val="1"/>
          <w:smallCaps w:val="0"/>
          <w:strike w:val="0"/>
          <w:color w:val="00292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" w:cs="Arial " w:eastAsia="Arial " w:hAnsi="Arial "/>
          <w:b w:val="0"/>
          <w:i w:val="1"/>
          <w:smallCaps w:val="0"/>
          <w:strike w:val="0"/>
          <w:color w:val="00292e"/>
          <w:sz w:val="18"/>
          <w:szCs w:val="18"/>
          <w:u w:val="none"/>
          <w:shd w:fill="auto" w:val="clear"/>
          <w:vertAlign w:val="baseline"/>
          <w:rtl w:val="0"/>
        </w:rPr>
        <w:t xml:space="preserve">1. Recruitment began on April 17, 2018 and ended temporarily on March 17, 2020 due to COVID-19 and began again on July 6, 2020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" w:before="0" w:line="240" w:lineRule="auto"/>
        <w:ind w:left="0" w:right="0" w:firstLine="0"/>
        <w:jc w:val="left"/>
        <w:rPr>
          <w:rFonts w:ascii="Arial " w:cs="Arial " w:eastAsia="Arial " w:hAnsi="Arial "/>
          <w:b w:val="0"/>
          <w:i w:val="1"/>
          <w:smallCaps w:val="0"/>
          <w:strike w:val="0"/>
          <w:color w:val="00292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" w:cs="Arial " w:eastAsia="Arial " w:hAnsi="Arial "/>
          <w:b w:val="0"/>
          <w:i w:val="1"/>
          <w:smallCaps w:val="0"/>
          <w:strike w:val="0"/>
          <w:color w:val="00292e"/>
          <w:sz w:val="18"/>
          <w:szCs w:val="18"/>
          <w:u w:val="none"/>
          <w:shd w:fill="auto" w:val="clear"/>
          <w:vertAlign w:val="baseline"/>
          <w:rtl w:val="0"/>
        </w:rPr>
        <w:t xml:space="preserve">2. Graph does not include participants that screened out during baseline assessment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Average recruitment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2020-03-17 to 2020-07-05 not included in the denominator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 = 8.0 per month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Pre-COVID = 9.8 per month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Post-COVID = 5.6 per month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Figure 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Monthly recruitment stratified by year.</w:t>
      </w:r>
    </w:p>
    <w:bookmarkStart w:colFirst="0" w:colLast="0" w:name="bookmark=id.2jxsxqh" w:id="17"/>
    <w:bookmarkEnd w:id="17"/>
    <w:p w:rsidR="00000000" w:rsidDel="00000000" w:rsidP="00000000" w:rsidRDefault="00000000" w:rsidRPr="00000000" w14:paraId="00000271">
      <w:pPr>
        <w:rPr/>
      </w:pPr>
      <w:r w:rsidDel="00000000" w:rsidR="00000000" w:rsidRPr="00000000">
        <w:rPr/>
        <w:drawing>
          <wp:inline distB="0" distT="0" distL="0" distR="0">
            <wp:extent cx="88900" cy="50800"/>
            <wp:effectExtent b="0" l="0" r="0" t="0"/>
            <wp:docPr id="2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/>
        <w:drawing>
          <wp:inline distB="114300" distT="114300" distL="114300" distR="114300">
            <wp:extent cx="6400800" cy="3657600"/>
            <wp:effectExtent b="0" l="0" r="0" t="0"/>
            <wp:docPr id="2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5840" w:w="12240" w:orient="portrait"/>
      <w:pgMar w:bottom="720" w:top="720" w:left="1080" w:right="1080" w:header="648" w:footer="432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uthor" w:id="7" w:date="2022-04-19T20:25:05Z"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easy to forget to change. Automate.</w:t>
      </w:r>
    </w:p>
  </w:comment>
  <w:comment w:author="Author" w:id="0" w:date="2022-04-19T20:25:05Z"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James, feel free to update as needed.</w:t>
      </w:r>
    </w:p>
  </w:comment>
  <w:comment w:author="Author" w:id="3" w:date="2022-04-19T20:25:05Z"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this programmatically</w:t>
      </w:r>
    </w:p>
  </w:comment>
  <w:comment w:author="Author" w:id="1" w:date="2022-04-19T20:25:05Z"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may want to add a new table showing how many people were dropped.</w:t>
      </w:r>
    </w:p>
  </w:comment>
  <w:comment w:author="Author" w:id="4" w:date="2022-04-19T20:25:05Z"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Technically, this is missing. See if there is something other than NS V2 included in missing.</w:t>
      </w:r>
    </w:p>
  </w:comment>
  <w:comment w:author="Author" w:id="2" w:date="2022-04-19T20:25:05Z"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this programmatically</w:t>
      </w:r>
    </w:p>
  </w:comment>
  <w:comment w:author="Author" w:id="5" w:date="2022-04-19T20:25:05Z"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Renumber tables from here down</w:t>
      </w:r>
    </w:p>
  </w:comment>
  <w:comment w:author="Author" w:id="6" w:date="2022-04-19T20:25:06Z"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this is definitely to most complex table to fill in. Figure out a better layout.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27C" w15:done="0"/>
  <w15:commentEx w15:paraId="0000027D" w15:done="0"/>
  <w15:commentEx w15:paraId="0000027E" w15:done="0"/>
  <w15:commentEx w15:paraId="0000027F" w15:done="0"/>
  <w15:commentEx w15:paraId="00000280" w15:done="0"/>
  <w15:commentEx w15:paraId="00000281" w15:done="0"/>
  <w15:commentEx w15:paraId="00000282" w15:done="0"/>
  <w15:commentEx w15:paraId="00000283" w15:paraIdParent="0000028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rial"/>
  <w:font w:name="Courier New"/>
  <w:font w:name="Noto Sans Symbols"/>
  <w:font w:name="Gill Sans">
    <w:embedRegular w:fontKey="{00000000-0000-0000-0000-000000000000}" r:id="rId1" w:subsetted="0"/>
    <w:embedBold w:fontKey="{00000000-0000-0000-0000-000000000000}" r:id="rId2" w:subsetted="0"/>
  </w:font>
  <w:font w:name="Arial 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8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" w:cs="Arial " w:eastAsia="Arial " w:hAnsi="Arial 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A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80"/>
        <w:tab w:val="left" w:pos="1733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" w:cs="Arial " w:eastAsia="Arial " w:hAnsi="Arial "/>
        <w:b w:val="0"/>
        <w:i w:val="0"/>
        <w:smallCaps w:val="0"/>
        <w:strike w:val="0"/>
        <w:color w:val="595959"/>
        <w:sz w:val="18"/>
        <w:szCs w:val="18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48" w:before="0" w:line="240" w:lineRule="auto"/>
      <w:ind w:left="0" w:right="0" w:firstLine="0"/>
      <w:jc w:val="left"/>
      <w:rPr>
        <w:rFonts w:ascii="Arial " w:cs="Arial " w:eastAsia="Arial " w:hAnsi="Arial "/>
        <w:b w:val="0"/>
        <w:i w:val="1"/>
        <w:smallCaps w:val="0"/>
        <w:strike w:val="0"/>
        <w:color w:val="331d0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1"/>
        <w:i w:val="0"/>
        <w:smallCaps w:val="1"/>
        <w:strike w:val="0"/>
        <w:color w:val="107082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67925" cy="85725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6800" y="3356138"/>
                        <a:ext cx="10058400" cy="847725"/>
                      </a:xfrm>
                      <a:prstGeom prst="rect">
                        <a:avLst/>
                      </a:prstGeom>
                      <a:solidFill>
                        <a:srgbClr val="595959">
                          <a:alpha val="1490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45700" lIns="720000" spcFirstLastPara="1" rIns="91425" wrap="square" tIns="2880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67925" cy="857250"/>
              <wp:effectExtent b="0" l="0" r="0" t="0"/>
              <wp:wrapNone/>
              <wp:docPr id="1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67925" cy="857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Link2Care Agenda</w:t>
    </w:r>
  </w:p>
  <w:p w:rsidR="00000000" w:rsidDel="00000000" w:rsidP="00000000" w:rsidRDefault="00000000" w:rsidRPr="00000000" w14:paraId="000002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48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331d0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331d01"/>
        <w:sz w:val="24"/>
        <w:szCs w:val="24"/>
        <w:u w:val="none"/>
        <w:shd w:fill="auto" w:val="clear"/>
        <w:vertAlign w:val="baseline"/>
        <w:rtl w:val="0"/>
      </w:rPr>
      <w:t xml:space="preserve">Quarter  – </w:t>
    </w:r>
    <w:r w:rsidDel="00000000" w:rsidR="00000000" w:rsidRPr="00000000">
      <w:rPr>
        <w:rFonts w:ascii="Times New Roman" w:cs="Times New Roman" w:eastAsia="Times New Roman" w:hAnsi="Times New Roman"/>
        <w:i w:val="1"/>
        <w:color w:val="331d01"/>
        <w:rtl w:val="0"/>
      </w:rPr>
      <w:t xml:space="preserve">April 19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331d01"/>
        <w:sz w:val="24"/>
        <w:szCs w:val="24"/>
        <w:u w:val="none"/>
        <w:shd w:fill="auto" w:val="clear"/>
        <w:vertAlign w:val="baseline"/>
        <w:rtl w:val="0"/>
      </w:rPr>
      <w:t xml:space="preserve">, 202</w:t>
    </w:r>
    <w:r w:rsidDel="00000000" w:rsidR="00000000" w:rsidRPr="00000000">
      <w:rPr>
        <w:rFonts w:ascii="Times New Roman" w:cs="Times New Roman" w:eastAsia="Times New Roman" w:hAnsi="Times New Roman"/>
        <w:i w:val="1"/>
        <w:color w:val="331d01"/>
        <w:rtl w:val="0"/>
      </w:rPr>
      <w:t xml:space="preserve">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color w:val="10708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" w:cs="Arial " w:eastAsia="Arial " w:hAnsi="Arial "/>
        <w:color w:val="595959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7f7f7f" w:space="4" w:sz="24" w:val="single"/>
      </w:pBdr>
      <w:spacing w:before="36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/>
    <w:rPr>
      <w:rFonts w:ascii="Gill Sans" w:cs="Gill Sans" w:eastAsia="Gill Sans" w:hAnsi="Gill Sans"/>
      <w:b w:val="1"/>
      <w:color w:val="d17405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Gill Sans" w:cs="Gill Sans" w:eastAsia="Gill Sans" w:hAnsi="Gill Sans"/>
      <w:color w:val="ac6c1b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Gill Sans" w:cs="Gill Sans" w:eastAsia="Gill Sans" w:hAnsi="Gill Sans"/>
      <w:i w:val="1"/>
      <w:color w:val="e29e4a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Gill Sans" w:cs="Gill Sans" w:eastAsia="Gill Sans" w:hAnsi="Gill Sans"/>
      <w:b w:val="1"/>
      <w:color w:val="ffffff"/>
      <w:sz w:val="56"/>
      <w:szCs w:val="56"/>
    </w:rPr>
  </w:style>
  <w:style w:type="paragraph" w:styleId="Normal" w:default="1">
    <w:name w:val="Normal"/>
    <w:qFormat w:val="1"/>
    <w:rsid w:val="00A371D8"/>
    <w:rPr>
      <w:color w:val="595959" w:themeColor="text1" w:themeTint="0000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B5C8D"/>
    <w:pPr>
      <w:keepNext w:val="1"/>
      <w:keepLines w:val="1"/>
      <w:pBdr>
        <w:bottom w:color="7f7f7f" w:space="4" w:sz="24" w:themeColor="text1" w:themeTint="000080" w:val="single"/>
      </w:pBdr>
      <w:spacing w:before="360"/>
      <w:outlineLvl w:val="0"/>
    </w:pPr>
    <w:rPr>
      <w:rFonts w:ascii="Times New Roman" w:hAnsi="Times New Roman" w:cstheme="majorBidi" w:eastAsiaTheme="majorEastAsia"/>
      <w:b w:val="1"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qFormat w:val="1"/>
    <w:rsid w:val="00664450"/>
    <w:pPr>
      <w:outlineLvl w:val="1"/>
    </w:pPr>
    <w:rPr>
      <w:rFonts w:asciiTheme="majorHAnsi" w:hAnsiTheme="majorHAnsi"/>
      <w:b w:val="1"/>
      <w:color w:val="d17406" w:themeColor="accent5" w:themeShade="0000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1"/>
    <w:qFormat w:val="1"/>
    <w:rsid w:val="001A542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ac6c1b" w:themeColor="accent1" w:themeShade="0000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qFormat w:val="1"/>
    <w:rsid w:val="001A5429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e29e4a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qFormat w:val="1"/>
    <w:rsid w:val="00A67285"/>
    <w:pPr>
      <w:tabs>
        <w:tab w:val="center" w:pos="4844"/>
        <w:tab w:val="right" w:pos="9689"/>
      </w:tabs>
      <w:spacing w:after="600"/>
    </w:pPr>
    <w:rPr>
      <w:rFonts w:cstheme="minorHAnsi"/>
      <w:i w:val="1"/>
      <w:color w:val="331d01"/>
    </w:rPr>
  </w:style>
  <w:style w:type="character" w:styleId="HeaderChar" w:customStyle="1">
    <w:name w:val="Header Char"/>
    <w:basedOn w:val="DefaultParagraphFont"/>
    <w:link w:val="Header"/>
    <w:uiPriority w:val="99"/>
    <w:rsid w:val="00A67285"/>
    <w:rPr>
      <w:rFonts w:cstheme="minorHAnsi"/>
      <w:i w:val="1"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color="64b2c1" w:space="1" w:sz="8" w:themeColor="background2" w:val="single"/>
      </w:pBdr>
      <w:tabs>
        <w:tab w:val="right" w:pos="10080"/>
      </w:tabs>
    </w:pPr>
    <w:rPr>
      <w:sz w:val="18"/>
    </w:rPr>
  </w:style>
  <w:style w:type="character" w:styleId="FooterChar" w:customStyle="1">
    <w:name w:val="Footer Char"/>
    <w:basedOn w:val="DefaultParagraphFont"/>
    <w:link w:val="Footer"/>
    <w:uiPriority w:val="99"/>
    <w:rsid w:val="005C7E0C"/>
    <w:rPr>
      <w:color w:val="595959" w:themeColor="text1" w:themeTint="0000A6"/>
      <w:sz w:val="18"/>
    </w:rPr>
  </w:style>
  <w:style w:type="character" w:styleId="PlaceholderText">
    <w:name w:val="Placeholder Text"/>
    <w:basedOn w:val="DefaultParagraphFont"/>
    <w:uiPriority w:val="99"/>
    <w:semiHidden w:val="1"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854DB"/>
    <w:pPr>
      <w:contextualSpacing w:val="1"/>
      <w:jc w:val="center"/>
    </w:pPr>
    <w:rPr>
      <w:rFonts w:asciiTheme="majorHAnsi" w:cstheme="majorBidi" w:eastAsiaTheme="majorEastAsia" w:hAnsiTheme="majorHAnsi"/>
      <w:b w:val="1"/>
      <w:color w:val="ffffff" w:themeColor="background1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854DB"/>
    <w:rPr>
      <w:rFonts w:asciiTheme="majorHAnsi" w:cstheme="majorBidi" w:eastAsiaTheme="majorEastAsia" w:hAnsiTheme="majorHAnsi"/>
      <w:b w:val="1"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854DB"/>
    <w:pPr>
      <w:jc w:val="center"/>
    </w:pPr>
    <w:rPr>
      <w:rFonts w:eastAsiaTheme="minorEastAsia"/>
      <w:i w:val="1"/>
      <w:color w:val="ffffff" w:themeColor="background1"/>
      <w:spacing w:val="15"/>
      <w:sz w:val="44"/>
    </w:rPr>
  </w:style>
  <w:style w:type="character" w:styleId="SubtitleChar" w:customStyle="1">
    <w:name w:val="Subtitle Char"/>
    <w:basedOn w:val="DefaultParagraphFont"/>
    <w:link w:val="Subtitle"/>
    <w:uiPriority w:val="11"/>
    <w:rsid w:val="00A67285"/>
    <w:rPr>
      <w:rFonts w:eastAsiaTheme="minorEastAsia"/>
      <w:i w:val="1"/>
      <w:color w:val="ffffff" w:themeColor="background1"/>
      <w:spacing w:val="15"/>
      <w:sz w:val="44"/>
    </w:rPr>
  </w:style>
  <w:style w:type="character" w:styleId="Heading1Char" w:customStyle="1">
    <w:name w:val="Heading 1 Char"/>
    <w:basedOn w:val="DefaultParagraphFont"/>
    <w:link w:val="Heading1"/>
    <w:uiPriority w:val="9"/>
    <w:rsid w:val="00DB5C8D"/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Default" w:customStyle="1">
    <w:name w:val="Default"/>
    <w:semiHidden w:val="1"/>
    <w:rsid w:val="005D2146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character" w:styleId="A3" w:customStyle="1">
    <w:name w:val="A3"/>
    <w:uiPriority w:val="99"/>
    <w:semiHidden w:val="1"/>
    <w:rsid w:val="005D2146"/>
    <w:rPr>
      <w:i w:val="1"/>
      <w:iCs w:val="1"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 w:val="1"/>
    <w:qFormat w:val="1"/>
    <w:rsid w:val="005D2146"/>
    <w:pPr>
      <w:ind w:left="720"/>
      <w:contextualSpacing w:val="1"/>
    </w:pPr>
  </w:style>
  <w:style w:type="character" w:styleId="SubtleEmphasis">
    <w:name w:val="Subtle Emphasis"/>
    <w:uiPriority w:val="19"/>
    <w:semiHidden w:val="1"/>
    <w:qFormat w:val="1"/>
    <w:rsid w:val="00A67285"/>
    <w:rPr>
      <w:rFonts w:asciiTheme="majorHAnsi" w:hAnsiTheme="majorHAnsi"/>
      <w:b w:val="1"/>
      <w:i w:val="1"/>
      <w:color w:val="107082" w:themeColor="accent2"/>
      <w:sz w:val="28"/>
    </w:rPr>
  </w:style>
  <w:style w:type="character" w:styleId="Emphasis">
    <w:name w:val="Emphasis"/>
    <w:uiPriority w:val="20"/>
    <w:semiHidden w:val="1"/>
    <w:qFormat w:val="1"/>
    <w:rsid w:val="00F33F5E"/>
    <w:rPr>
      <w:rFonts w:cstheme="minorHAnsi"/>
      <w:i w:val="1"/>
      <w:color w:val="331d01"/>
    </w:rPr>
  </w:style>
  <w:style w:type="character" w:styleId="IntenseEmphasis">
    <w:name w:val="Intense Emphasis"/>
    <w:uiPriority w:val="21"/>
    <w:semiHidden w:val="1"/>
    <w:qFormat w:val="1"/>
    <w:rsid w:val="00AE0241"/>
    <w:rPr>
      <w:color w:val="595959" w:themeColor="text1" w:themeTint="0000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33047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33047"/>
    <w:rPr>
      <w:rFonts w:ascii="Segoe UI" w:cs="Segoe UI" w:hAnsi="Segoe UI"/>
      <w:i w:val="1"/>
      <w:color w:val="595959" w:themeColor="text1" w:themeTint="0000A6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67285"/>
    <w:rPr>
      <w:rFonts w:asciiTheme="majorHAnsi" w:hAnsiTheme="majorHAnsi"/>
      <w:b w:val="1"/>
      <w:color w:val="d17406" w:themeColor="accent5" w:themeShade="0000BF"/>
      <w:sz w:val="40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47AF5"/>
    <w:rPr>
      <w:rFonts w:asciiTheme="majorHAnsi" w:cstheme="majorBidi" w:eastAsiaTheme="majorEastAsia" w:hAnsiTheme="majorHAnsi"/>
      <w:color w:val="ac6c1b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47AF5"/>
    <w:rPr>
      <w:rFonts w:asciiTheme="majorHAnsi" w:cstheme="majorBidi" w:eastAsiaTheme="majorEastAsia" w:hAnsiTheme="majorHAnsi"/>
      <w:i w:val="1"/>
      <w:iCs w:val="1"/>
      <w:color w:val="e29e4a" w:themeColor="accent1" w:themeShade="0000BF"/>
      <w:sz w:val="24"/>
    </w:rPr>
  </w:style>
  <w:style w:type="paragraph" w:styleId="TOCHeading">
    <w:name w:val="TOC Heading"/>
    <w:basedOn w:val="Normal"/>
    <w:next w:val="Normal"/>
    <w:uiPriority w:val="39"/>
    <w:qFormat w:val="1"/>
    <w:rsid w:val="00D94688"/>
    <w:pPr>
      <w:pBdr>
        <w:bottom w:color="f0cda1" w:space="1" w:sz="24" w:themeColor="accent1" w:val="single"/>
      </w:pBdr>
    </w:pPr>
    <w:rPr>
      <w:rFonts w:asciiTheme="majorHAnsi" w:hAnsiTheme="majorHAnsi"/>
      <w:b w:val="1"/>
      <w:color w:val="107082" w:themeColor="accent2"/>
      <w:sz w:val="40"/>
    </w:rPr>
  </w:style>
  <w:style w:type="paragraph" w:styleId="TOC1">
    <w:name w:val="toc 1"/>
    <w:basedOn w:val="Normal"/>
    <w:next w:val="Normal"/>
    <w:autoRedefine w:val="1"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 w:val="1"/>
    <w:uiPriority w:val="39"/>
    <w:semiHidden w:val="1"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 w:val="1"/>
    <w:unhideWhenUsed w:val="1"/>
    <w:rsid w:val="007C136F"/>
    <w:rPr>
      <w:sz w:val="16"/>
      <w:szCs w:val="16"/>
    </w:rPr>
  </w:style>
  <w:style w:type="paragraph" w:styleId="NoSpacing">
    <w:name w:val="No Spacing"/>
    <w:uiPriority w:val="1"/>
    <w:semiHidden w:val="1"/>
    <w:qFormat w:val="1"/>
    <w:rsid w:val="009B35B5"/>
    <w:rPr>
      <w:i w:val="1"/>
      <w:color w:val="595959" w:themeColor="text1" w:themeTint="0000A6"/>
      <w:sz w:val="24"/>
    </w:rPr>
  </w:style>
  <w:style w:type="paragraph" w:styleId="ListBullet">
    <w:name w:val="List Bullet"/>
    <w:basedOn w:val="Normal"/>
    <w:uiPriority w:val="99"/>
    <w:semiHidden w:val="1"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 w:val="1"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 w:val="1"/>
    <w:qFormat w:val="1"/>
    <w:rsid w:val="00BA31C4"/>
    <w:rPr>
      <w:b w:val="1"/>
      <w:bCs w:val="1"/>
    </w:rPr>
  </w:style>
  <w:style w:type="character" w:styleId="Bold" w:customStyle="1">
    <w:name w:val="Bold"/>
    <w:uiPriority w:val="1"/>
    <w:semiHidden w:val="1"/>
    <w:qFormat w:val="1"/>
    <w:rsid w:val="00BA31C4"/>
    <w:rPr>
      <w:b w:val="1"/>
      <w:bCs w:val="1"/>
    </w:rPr>
  </w:style>
  <w:style w:type="paragraph" w:styleId="ListBullet2">
    <w:name w:val="List Bullet 2"/>
    <w:basedOn w:val="Normal"/>
    <w:uiPriority w:val="99"/>
    <w:semiHidden w:val="1"/>
    <w:rsid w:val="00D27AF8"/>
    <w:pPr>
      <w:numPr>
        <w:numId w:val="35"/>
      </w:numPr>
    </w:pPr>
  </w:style>
  <w:style w:type="paragraph" w:styleId="Graphheading1" w:customStyle="1">
    <w:name w:val="Graph heading 1"/>
    <w:basedOn w:val="Normal"/>
    <w:semiHidden w:val="1"/>
    <w:qFormat w:val="1"/>
    <w:rsid w:val="008965F6"/>
    <w:pPr>
      <w:spacing w:after="60"/>
    </w:pPr>
    <w:rPr>
      <w:b w:val="1"/>
      <w:color w:val="054854" w:themeColor="accent3"/>
    </w:rPr>
  </w:style>
  <w:style w:type="paragraph" w:styleId="Graphheading2" w:customStyle="1">
    <w:name w:val="Graph heading 2"/>
    <w:basedOn w:val="Normal"/>
    <w:semiHidden w:val="1"/>
    <w:qFormat w:val="1"/>
    <w:rsid w:val="00664450"/>
    <w:pPr>
      <w:spacing w:after="60"/>
    </w:pPr>
    <w:rPr>
      <w:b w:val="1"/>
      <w:color w:val="f99927" w:themeColor="accent5"/>
    </w:rPr>
  </w:style>
  <w:style w:type="paragraph" w:styleId="Graphheading3" w:customStyle="1">
    <w:name w:val="Graph heading 3"/>
    <w:basedOn w:val="Normal"/>
    <w:semiHidden w:val="1"/>
    <w:qFormat w:val="1"/>
    <w:rsid w:val="00664450"/>
    <w:pPr>
      <w:spacing w:after="60"/>
    </w:pPr>
    <w:rPr>
      <w:b w:val="1"/>
      <w:color w:val="ec7216" w:themeColor="accent6"/>
    </w:rPr>
  </w:style>
  <w:style w:type="paragraph" w:styleId="Graphheading4" w:customStyle="1">
    <w:name w:val="Graph heading 4"/>
    <w:basedOn w:val="Normal"/>
    <w:semiHidden w:val="1"/>
    <w:qFormat w:val="1"/>
    <w:rsid w:val="008965F6"/>
    <w:pPr>
      <w:spacing w:after="60"/>
    </w:pPr>
    <w:rPr>
      <w:b w:val="1"/>
      <w:color w:val="107082" w:themeColor="accent2"/>
    </w:rPr>
  </w:style>
  <w:style w:type="paragraph" w:styleId="Graphbullet" w:customStyle="1">
    <w:name w:val="Graph bullet"/>
    <w:basedOn w:val="Normal"/>
    <w:semiHidden w:val="1"/>
    <w:qFormat w:val="1"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styleId="Graphbullet2" w:customStyle="1">
    <w:name w:val="Graph bullet 2"/>
    <w:basedOn w:val="Normal"/>
    <w:semiHidden w:val="1"/>
    <w:qFormat w:val="1"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styleId="Graphbullet3" w:customStyle="1">
    <w:name w:val="Graph bullet 3"/>
    <w:basedOn w:val="Normal"/>
    <w:semiHidden w:val="1"/>
    <w:qFormat w:val="1"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styleId="Graphbullet4" w:customStyle="1">
    <w:name w:val="Graph bullet 4"/>
    <w:basedOn w:val="Normal"/>
    <w:semiHidden w:val="1"/>
    <w:qFormat w:val="1"/>
    <w:rsid w:val="008965F6"/>
    <w:pPr>
      <w:numPr>
        <w:numId w:val="31"/>
      </w:numPr>
      <w:ind w:left="284" w:hanging="284"/>
    </w:pPr>
    <w:rPr>
      <w:sz w:val="20"/>
    </w:rPr>
  </w:style>
  <w:style w:type="paragraph" w:styleId="TableTextLarge" w:customStyle="1">
    <w:name w:val="Table Text Large"/>
    <w:basedOn w:val="Normal"/>
    <w:semiHidden w:val="1"/>
    <w:qFormat w:val="1"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 w:val="1"/>
    <w:rsid w:val="00685B4E"/>
    <w:pPr>
      <w:numPr>
        <w:ilvl w:val="1"/>
        <w:numId w:val="32"/>
      </w:numPr>
      <w:spacing w:line="271" w:lineRule="auto"/>
    </w:pPr>
  </w:style>
  <w:style w:type="paragraph" w:styleId="Checkbox" w:customStyle="1">
    <w:name w:val="Checkbox"/>
    <w:basedOn w:val="Normal"/>
    <w:qFormat w:val="1"/>
    <w:rsid w:val="00A67285"/>
  </w:style>
  <w:style w:type="paragraph" w:styleId="Header1" w:customStyle="1">
    <w:name w:val="Header 1"/>
    <w:basedOn w:val="Normal"/>
    <w:next w:val="Normal"/>
    <w:link w:val="Header1Char"/>
    <w:uiPriority w:val="99"/>
    <w:qFormat w:val="1"/>
    <w:rsid w:val="003639D2"/>
    <w:rPr>
      <w:rFonts w:asciiTheme="majorHAnsi" w:hAnsiTheme="majorHAnsi"/>
      <w:b w:val="1"/>
      <w:caps w:val="1"/>
      <w:color w:val="107082" w:themeColor="accent2"/>
      <w:sz w:val="28"/>
    </w:rPr>
  </w:style>
  <w:style w:type="character" w:styleId="Header1Char" w:customStyle="1">
    <w:name w:val="Header 1 Char"/>
    <w:basedOn w:val="DefaultParagraphFont"/>
    <w:link w:val="Header1"/>
    <w:uiPriority w:val="99"/>
    <w:rsid w:val="00A371D8"/>
    <w:rPr>
      <w:rFonts w:asciiTheme="majorHAnsi" w:hAnsiTheme="majorHAnsi"/>
      <w:b w:val="1"/>
      <w:caps w:val="1"/>
      <w:color w:val="107082" w:themeColor="accent2"/>
      <w:sz w:val="28"/>
    </w:rPr>
  </w:style>
  <w:style w:type="table" w:styleId="TableGrid1" w:customStyle="1">
    <w:name w:val="Table Grid1"/>
    <w:basedOn w:val="TableNormal"/>
    <w:next w:val="TableGrid"/>
    <w:uiPriority w:val="39"/>
    <w:rsid w:val="009E56BD"/>
    <w:rPr>
      <w:rFonts w:ascii="Cambria" w:cs="Cambria" w:eastAsia="Cambria" w:hAnsi="Cambria"/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 w:customStyle="1">
    <w:name w:val="Table Grid2"/>
    <w:basedOn w:val="TableNormal"/>
    <w:next w:val="TableGrid"/>
    <w:uiPriority w:val="39"/>
    <w:rsid w:val="00F15BDF"/>
    <w:rPr>
      <w:rFonts w:ascii="Cambria" w:cs="Cambria" w:eastAsia="Cambria" w:hAnsi="Cambria"/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3" w:customStyle="1">
    <w:name w:val="Table Grid3"/>
    <w:basedOn w:val="TableNormal"/>
    <w:next w:val="TableGrid"/>
    <w:uiPriority w:val="39"/>
    <w:rsid w:val="00F15BDF"/>
    <w:rPr>
      <w:rFonts w:ascii="Cambria" w:cs="Cambria" w:eastAsia="Cambria" w:hAnsi="Cambria"/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1" w:customStyle="1">
    <w:name w:val="Table Grid11"/>
    <w:basedOn w:val="TableNormal"/>
    <w:next w:val="TableGrid"/>
    <w:uiPriority w:val="39"/>
    <w:rsid w:val="00BD362C"/>
    <w:rPr>
      <w:rFonts w:ascii="Calibri" w:cs="Times New Roman" w:eastAsia="Calibri" w:hAnsi="Calibr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mmentText">
    <w:name w:val="annotation text"/>
    <w:basedOn w:val="Normal"/>
    <w:link w:val="CommentTextChar"/>
    <w:semiHidden w:val="1"/>
    <w:unhideWhenUsed w:val="1"/>
    <w:rsid w:val="00B24C1A"/>
    <w:rPr>
      <w:rFonts w:ascii="Cambria" w:cs="Cambria" w:eastAsia="Cambria" w:hAnsi="Cambria"/>
      <w:color w:val="auto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 w:val="1"/>
    <w:rsid w:val="00B24C1A"/>
    <w:rPr>
      <w:rFonts w:ascii="Cambria" w:cs="Cambria" w:eastAsia="Cambria" w:hAnsi="Cambria"/>
      <w:sz w:val="20"/>
      <w:szCs w:val="20"/>
    </w:rPr>
  </w:style>
  <w:style w:type="table" w:styleId="TableGrid4" w:customStyle="1">
    <w:name w:val="Table Grid4"/>
    <w:basedOn w:val="TableNormal"/>
    <w:next w:val="TableGrid"/>
    <w:uiPriority w:val="39"/>
    <w:rsid w:val="00C91561"/>
    <w:rPr>
      <w:rFonts w:ascii="Cambria" w:cs="Cambria" w:eastAsia="Cambria" w:hAnsi="Cambria"/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5" w:customStyle="1">
    <w:name w:val="Table Grid5"/>
    <w:basedOn w:val="TableNormal"/>
    <w:next w:val="TableGrid"/>
    <w:uiPriority w:val="39"/>
    <w:rsid w:val="00FB22D4"/>
    <w:rPr>
      <w:rFonts w:ascii="Cambria" w:cs="Cambria" w:eastAsia="Cambria" w:hAnsi="Cambria"/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1" w:customStyle="1">
    <w:name w:val="Table Grid21"/>
    <w:basedOn w:val="TableNormal"/>
    <w:next w:val="TableGrid"/>
    <w:uiPriority w:val="39"/>
    <w:rsid w:val="00FB22D4"/>
    <w:rPr>
      <w:rFonts w:ascii="Calibri" w:cs="Times New Roman" w:eastAsia="Calibri" w:hAnsi="Calibr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2" w:customStyle="1">
    <w:name w:val="Table Grid12"/>
    <w:basedOn w:val="TableNormal"/>
    <w:next w:val="TableGrid"/>
    <w:uiPriority w:val="39"/>
    <w:rsid w:val="00FB22D4"/>
    <w:rPr>
      <w:rFonts w:ascii="Calibri" w:cs="Times New Roman" w:eastAsia="Calibri" w:hAnsi="Calibr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D3B66"/>
    <w:pPr>
      <w:spacing w:after="120" w:before="120"/>
    </w:pPr>
    <w:rPr>
      <w:rFonts w:asciiTheme="minorHAnsi" w:cstheme="minorBidi" w:eastAsiaTheme="minorHAnsi" w:hAnsiTheme="minorHAnsi"/>
      <w:b w:val="1"/>
      <w:bCs w:val="1"/>
      <w:color w:val="595959" w:themeColor="text1" w:themeTint="0000A6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D3B66"/>
    <w:rPr>
      <w:rFonts w:ascii="Cambria" w:cs="Cambria" w:eastAsia="Cambria" w:hAnsi="Cambria"/>
      <w:b w:val="1"/>
      <w:bCs w:val="1"/>
      <w:color w:val="595959" w:themeColor="text1" w:themeTint="0000A6"/>
      <w:sz w:val="20"/>
      <w:szCs w:val="20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BB21F7"/>
    <w:pPr>
      <w:spacing w:after="200"/>
    </w:pPr>
    <w:rPr>
      <w:i w:val="1"/>
      <w:iCs w:val="1"/>
      <w:color w:val="00292e" w:themeColor="text2"/>
      <w:sz w:val="18"/>
      <w:szCs w:val="18"/>
    </w:rPr>
  </w:style>
  <w:style w:type="paragraph" w:styleId="Revision">
    <w:name w:val="Revision"/>
    <w:hidden w:val="1"/>
    <w:uiPriority w:val="99"/>
    <w:semiHidden w:val="1"/>
    <w:rsid w:val="004C6F3E"/>
    <w:rPr>
      <w:color w:val="595959" w:themeColor="text1" w:themeTint="0000A6"/>
      <w:sz w:val="24"/>
    </w:rPr>
  </w:style>
  <w:style w:type="paragraph" w:styleId="TableCaption" w:customStyle="1">
    <w:name w:val="Table Caption"/>
    <w:basedOn w:val="Normal"/>
    <w:qFormat w:val="1"/>
    <w:rsid w:val="00CF3B8A"/>
    <w:rPr>
      <w:rFonts w:ascii="Times New Roman" w:cs="Times New Roman" w:hAnsi="Times New Roman"/>
      <w:color w:val="auto"/>
      <w:sz w:val="22"/>
    </w:rPr>
  </w:style>
  <w:style w:type="paragraph" w:styleId="Subtitle">
    <w:name w:val="Subtitle"/>
    <w:basedOn w:val="Normal"/>
    <w:next w:val="Normal"/>
    <w:pPr>
      <w:jc w:val="center"/>
    </w:pPr>
    <w:rPr>
      <w:i w:val="1"/>
      <w:color w:val="fffff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header" Target="header2.xml"/><Relationship Id="rId8" Type="http://schemas.microsoft.com/office/2011/relationships/commentsExtended" Target="commentsExtended.xml"/><Relationship Id="rId2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5.jpg"/><Relationship Id="rId17" Type="http://schemas.openxmlformats.org/officeDocument/2006/relationships/image" Target="media/image8.jpg"/><Relationship Id="rId7" Type="http://schemas.openxmlformats.org/officeDocument/2006/relationships/customXml" Target="../customXML/item1.xml"/><Relationship Id="rId20" Type="http://schemas.openxmlformats.org/officeDocument/2006/relationships/footer" Target="footer2.xml"/><Relationship Id="rId2" Type="http://schemas.openxmlformats.org/officeDocument/2006/relationships/comments" Target="comments.xml"/><Relationship Id="rId16" Type="http://schemas.openxmlformats.org/officeDocument/2006/relationships/image" Target="media/image1.jpg"/><Relationship Id="rId11" Type="http://schemas.openxmlformats.org/officeDocument/2006/relationships/image" Target="media/image4.png"/><Relationship Id="rId1" Type="http://schemas.openxmlformats.org/officeDocument/2006/relationships/theme" Target="theme/theme1.xml"/><Relationship Id="rId6" Type="http://schemas.openxmlformats.org/officeDocument/2006/relationships/styles" Target="styles.xml"/><Relationship Id="rId15" Type="http://schemas.openxmlformats.org/officeDocument/2006/relationships/image" Target="media/image9.jpg"/><Relationship Id="rId5" Type="http://schemas.openxmlformats.org/officeDocument/2006/relationships/numbering" Target="numbering.xml"/><Relationship Id="rId23" Type="http://schemas.openxmlformats.org/officeDocument/2006/relationships/customXml" Target="../customXML/item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14" Type="http://schemas.openxmlformats.org/officeDocument/2006/relationships/image" Target="media/image3.jpg"/><Relationship Id="rId22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RfvVZF5c+zrX6Z2ImnQnOMcKCA==">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CFA9247-2EDB-4B27-89C3-1615DC00731E}"/>
</file>

<file path=customXML/itemProps3.xml><?xml version="1.0" encoding="utf-8"?>
<ds:datastoreItem xmlns:ds="http://schemas.openxmlformats.org/officeDocument/2006/customXml" ds:itemID="{5AB7082C-66F9-424C-8725-1F7176651E9E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2021-08-07T12:39:00Z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