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hold the most concentrated portfolios and rewrite them most often, and they lose the most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the tilt direction an estimate rather than an assumption recovers the loss and more, though bootstrap intervals for that improvement span zero. The funds, fact sheets and analytics are delivered as a deployed Streamlit application reading precomputed results.</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keeps the funds responsive to a change in regime at the cost of a noisier estimate. Rebalancing monthly balances the same tension the other way: often enough to act on a changed covariance estimate, rarely enough not to pay for chasing noise. Long-only weights match what the product is, a fund an ordinary investor can buy, and they bound the damage an extreme estimate can do, because a weight cannot go below zero however attractive the optimiser finds a short position. Jagannathan and Ma (2003) show that a no-short-sale constraint acts on a minimum-variance problem in the same way as shrinking the most extreme covariance estimates, so the constraint buys statistical stability as well as investability.</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actually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as the product schedule because it is the best net outcome for the fund most sensitive to the decision and within a few hundredths of the best for every other fund.</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to supply 50 expected returns and a 50-by-50 covariance matrix, and a year of daily data is a thin sample for that many quantities. The estimates move from month to month whether or not the market does, and the funds that read them most closely move with them. This is the error-maximising property Michaud (1989) describes: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to be roughly an order of magnitude more costly than errors in variances, which is consistent with maximum Sharpe - the one method here that needs a mean estimate - being both the most concentrated fund and the most heavily traded. That turnover and that concentration are therefore not the product of the optimisation; they are a symptom of how noisy its inputs are. The optimiser is doing its job faithfully on a sample too small to support the question being asked of it.</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the same universe and the same dates producing three completely different funds. Minimum variance concentrates in healthcare and consumer staples, which are the sectors whose estimated covariance with everything else is lowest, and its crypto band is almost invisible - minimising variance means avoiding the most volatile assets available, whatever their return. Maximum Sharpe swings violently between sectors and carries a wide crypto band, because it is chasing estimated means and those estimates change sharply from month to month. Risk parity is nearly static: equalising risk contributions produces weights that depend on relative volatilities, and relative volatilities are far more stable than relative means. The visual stability of each panel is a direct picture of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 xml:space="preserve">The raw gauge sits above neutral on 99% of days, so read as a level it would have called the market greedy throughout the COVID crash. It is uninformative for the same reason the sector indices are: the baseline is positive. Standardising removes that baseline and the episodes appear immediately. The deepest trough is mid-March 2020, the week of the crash itself, and the second is early December 2021, when the Omicron variant was announced. That the two </w:t>
        <w:lastRenderedPageBreak/>
        <w:t>largest negative excursions in a purely textual series line up with the two events a reader would name without seeing the data is the strongest available evidence that the index measures something real. Market-wide sentiment proxies built from other unstructured sources behave the same way: the search-based index of Da, Engelberg and Gao (2015) also has its extremes fall on identifiable macroeconomic events.</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neutral band is that gap rather than genuine balance. Headlines are also a weaker signal than the articles beneath them - they are short, written to be clicked, and often name a company without saying anything about it. Work that successfully extracts firm-level information from news generally scores the full text of a story rather than its headline (Tetlock, Saar-Tsechansky and Macskassy 2008). Both limitations point the same way: the index should be read as an indicator of the tone of coverage, and any trading use of it has to survive the fact that half its inputs are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the horizon, from -0.0130 at one day to -0.1487 at 63 days, but the number of independent observations falls from 9,821 to 140. 1 of 8 tests clear 5% uncorrected, and 0 survive the correction for having run eight of them.</w:t>
      </w:r>
    </w:p>
    <w:p w14:paraId="261CD7AC" w14:textId="77777777" w:rsidR="0067237E" w:rsidRDefault="00000000">
      <w:r>
        <w:t>The correlation is negative at every horizon and grows with the horizon, which is the pattern a slow effect would leave. Nothing else supports that reading. The number of independent observations collapses from 9,821 to 140 as the horizon lengthens, the confidence around each estimate widens accordingly, and after correcting for having run 8 specifications none of them clears the threshold. Eight tests producing one nominal p-value of 0.029 is what chance delivers. Harvey, Liu and Zhu (2016) argue that conventional significance thresholds are far too lenient once the number of specifications tried is counted, and the Bonferroni threshold applied here is the most conservative and least sophisticated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 xml:space="preserve">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w:t>
        <w:lastRenderedPageBreak/>
        <w:t>funds is evidence rather than proof: the exercise shows the selection was not obviously fitted, not that it will hold.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357A1355" w14:textId="77777777" w:rsidR="0067237E" w:rsidRDefault="00000000">
      <w:pPr>
        <w:pStyle w:val="21"/>
      </w:pPr>
      <w:bookmarkStart w:id="13" w:name="_Toc237383699"/>
      <w:r>
        <w:t>5.5 The figure design system</w:t>
      </w:r>
      <w:bookmarkEnd w:id="13"/>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someone with savings and no time: a working professional or an early-career investor who wants a rules-based portfolio and will not read a covariance matrix. The journey is built around the decision that user actually makes, which is not which stock to buy but how much risk to carry. They compare twelve funds and see at once that the crypto funds returned most and fell furthest; they open a fact sheet for the four numbers a fund provider publishes, the growth line, the drawdown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explicitly in the allocation tab so the user can see what the product costs them.</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  w_i = 1 / N for every asset i. No estimation.</w:t>
      </w:r>
    </w:p>
    <w:p w14:paraId="75872733" w14:textId="77777777" w:rsidR="0067237E" w:rsidRDefault="00000000">
      <w:r>
        <w:t>(2)  Minimum variance:  minimise w'Sw subject to 1'w = 1, w &gt;= 0.</w:t>
      </w:r>
    </w:p>
    <w:p w14:paraId="5CF7C098" w14:textId="77777777" w:rsidR="0067237E" w:rsidRDefault="00000000">
      <w:r>
        <w:lastRenderedPageBreak/>
        <w:t>(3)  Maximum Sharpe (tangency, Markowitz 1952):  maximise (w'm - r_f) / sqrt(w'Sw) subject to 1'w = 1, w &gt;= 0, with the risk-free rate r_f set to zero.</w:t>
      </w:r>
    </w:p>
    <w:p w14:paraId="27A464CE" w14:textId="77777777" w:rsidR="0067237E" w:rsidRDefault="00000000">
      <w:r>
        <w:t>(4)  Risk parity (Maillard, Roncalli and Teiletche 2010):  find w such that every asset contributes an equal share of portfolio risk, RC_i = w_i (Sw)_i / (w'Sw) = 1/N for all i, solved by minimising the sum of squared deviations from that target subject to 1'w = 1, w &gt;= 0.</w:t>
      </w:r>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