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492A" w14:textId="77777777" w:rsidR="0067237E" w:rsidRDefault="00000000">
      <w:pPr>
        <w:pStyle w:val="aa"/>
      </w:pPr>
      <w:r>
        <w:t>Spotlight: Systematic Multi-Asset Funds with News-Sentiment Analytics</w:t>
      </w:r>
    </w:p>
    <w:p w14:paraId="1186CBAB" w14:textId="77777777" w:rsidR="0067237E" w:rsidRDefault="00000000">
      <w:r>
        <w:t>Nuo Chen (z5640476)</w:t>
      </w:r>
    </w:p>
    <w:p w14:paraId="7B4018E3" w14:textId="77777777" w:rsidR="0067237E" w:rsidRDefault="00000000">
      <w:r>
        <w:t>FINS5545 Financial Market Data Literacy - Part B</w:t>
      </w:r>
    </w:p>
    <w:p w14:paraId="6507BE63" w14:textId="77777777" w:rsidR="0067237E" w:rsidRDefault="00000000">
      <w:pPr>
        <w:pStyle w:val="1"/>
      </w:pPr>
      <w:bookmarkStart w:id="0" w:name="_Toc237383686"/>
      <w:r>
        <w:t>Abstract</w:t>
      </w:r>
      <w:bookmarkEnd w:id="0"/>
    </w:p>
    <w:p w14:paraId="751FDAD1" w14:textId="77777777" w:rsidR="0067237E" w:rsidRDefault="00000000">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are delivered as a deployed Streamlit application reading precomputed results.</w:t>
      </w:r>
    </w:p>
    <w:p w14:paraId="621A719E" w14:textId="77777777" w:rsidR="0067237E" w:rsidRDefault="00000000">
      <w:pPr>
        <w:pStyle w:val="1"/>
      </w:pPr>
      <w:bookmarkStart w:id="1" w:name="_Toc237383687"/>
      <w:r>
        <w:t>Contents</w:t>
      </w:r>
      <w:bookmarkEnd w:id="1"/>
    </w:p>
    <w:p w14:paraId="058EE098" w14:textId="0A1A6AF0" w:rsidR="007C41AC"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instrText xml:space="preserve"> TOC \o "1-2" \h \z \u </w:instrText>
        <w:fldChar w:fldCharType="separate"/>
      </w:r>
      <w:hyperlink w:anchor="_Toc237383686" w:history="1">
        <w:r>
          <w:rPr>
            <w:rStyle w:val="aff9"/>
            <w:noProof/>
          </w:rPr>
          <w:t>Abstract</w:t>
        </w:r>
        <w:r>
          <w:rPr>
            <w:noProof/>
            <w:webHidden/>
          </w:rPr>
          <w:tab/>
          <w:fldChar w:fldCharType="begin"/>
          <w:instrText xml:space="preserve"> PAGEREF _Toc237383686 \h </w:instrText>
          <w:fldChar w:fldCharType="separate"/>
          <w:t>1</w:t>
          <w:fldChar w:fldCharType="end"/>
        </w:r>
      </w:hyperlink>
    </w:p>
    <w:p w14:paraId="554AD885" w14:textId="391252D0"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7" w:history="1">
        <w:r>
          <w:rPr>
            <w:rStyle w:val="aff9"/>
            <w:noProof/>
          </w:rPr>
          <w:t>Contents</w:t>
        </w:r>
        <w:r>
          <w:rPr>
            <w:noProof/>
            <w:webHidden/>
          </w:rPr>
          <w:tab/>
          <w:fldChar w:fldCharType="begin"/>
          <w:instrText xml:space="preserve"> PAGEREF _Toc237383687 \h </w:instrText>
          <w:fldChar w:fldCharType="separate"/>
          <w:t>1</w:t>
          <w:fldChar w:fldCharType="end"/>
        </w:r>
      </w:hyperlink>
    </w:p>
    <w:p w14:paraId="33615416" w14:textId="038E5915"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8" w:history="1">
        <w:r>
          <w:rPr>
            <w:rStyle w:val="aff9"/>
            <w:noProof/>
          </w:rPr>
          <w:t>1. The funds and the backtest design</w:t>
        </w:r>
        <w:r>
          <w:rPr>
            <w:noProof/>
            <w:webHidden/>
          </w:rPr>
          <w:tab/>
          <w:fldChar w:fldCharType="begin"/>
          <w:instrText xml:space="preserve"> PAGEREF _Toc237383688 \h </w:instrText>
          <w:fldChar w:fldCharType="separate"/>
          <w:t>2</w:t>
          <w:fldChar w:fldCharType="end"/>
        </w:r>
      </w:hyperlink>
    </w:p>
    <w:p w14:paraId="37E3ADCE" w14:textId="11D826A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89" w:history="1">
        <w:r>
          <w:rPr>
            <w:rStyle w:val="aff9"/>
            <w:noProof/>
          </w:rPr>
          <w:t>How often the funds trade</w:t>
        </w:r>
        <w:r>
          <w:rPr>
            <w:noProof/>
            <w:webHidden/>
          </w:rPr>
          <w:tab/>
          <w:fldChar w:fldCharType="begin"/>
          <w:instrText xml:space="preserve"> PAGEREF _Toc237383689 \h </w:instrText>
          <w:fldChar w:fldCharType="separate"/>
          <w:t>3</w:t>
          <w:fldChar w:fldCharType="end"/>
        </w:r>
      </w:hyperlink>
    </w:p>
    <w:p w14:paraId="348F7B33" w14:textId="5941DC1E"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0" w:history="1">
        <w:r>
          <w:rPr>
            <w:rStyle w:val="aff9"/>
            <w:noProof/>
          </w:rPr>
          <w:t>2. Out-of-sample results and fund fact sheets</w:t>
        </w:r>
        <w:r>
          <w:rPr>
            <w:noProof/>
            <w:webHidden/>
          </w:rPr>
          <w:tab/>
          <w:fldChar w:fldCharType="begin"/>
          <w:instrText xml:space="preserve"> PAGEREF _Toc237383690 \h </w:instrText>
          <w:fldChar w:fldCharType="separate"/>
          <w:t>3</w:t>
          <w:fldChar w:fldCharType="end"/>
        </w:r>
      </w:hyperlink>
    </w:p>
    <w:p w14:paraId="7F761250" w14:textId="5CE9C9D9"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1" w:history="1">
        <w:r>
          <w:rPr>
            <w:rStyle w:val="aff9"/>
            <w:noProof/>
          </w:rPr>
          <w:t>3. The news-sentiment index</w:t>
        </w:r>
        <w:r>
          <w:rPr>
            <w:noProof/>
            <w:webHidden/>
          </w:rPr>
          <w:tab/>
          <w:fldChar w:fldCharType="begin"/>
          <w:instrText xml:space="preserve"> PAGEREF _Toc237383691 \h </w:instrText>
          <w:fldChar w:fldCharType="separate"/>
          <w:t>7</w:t>
          <w:fldChar w:fldCharType="end"/>
        </w:r>
      </w:hyperlink>
    </w:p>
    <w:p w14:paraId="6FA98F81" w14:textId="3A4A5201"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2" w:history="1">
        <w:r>
          <w:rPr>
            <w:rStyle w:val="aff9"/>
            <w:noProof/>
          </w:rPr>
          <w:t>4. Fusion: does sentiment improve the funds?</w:t>
        </w:r>
        <w:r>
          <w:rPr>
            <w:noProof/>
            <w:webHidden/>
          </w:rPr>
          <w:tab/>
          <w:fldChar w:fldCharType="begin"/>
          <w:instrText xml:space="preserve"> PAGEREF _Toc237383692 \h </w:instrText>
          <w:fldChar w:fldCharType="separate"/>
          <w:t>9</w:t>
          <w:fldChar w:fldCharType="end"/>
        </w:r>
      </w:hyperlink>
    </w:p>
    <w:p w14:paraId="56F33F39" w14:textId="29F7A98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3" w:history="1">
        <w:r>
          <w:rPr>
            <w:rStyle w:val="aff9"/>
            <w:noProof/>
          </w:rPr>
          <w:t>Is the signal there at a slower frequency?</w:t>
        </w:r>
        <w:r>
          <w:rPr>
            <w:noProof/>
            <w:webHidden/>
          </w:rPr>
          <w:tab/>
          <w:fldChar w:fldCharType="begin"/>
          <w:instrText xml:space="preserve"> PAGEREF _Toc237383693 \h </w:instrText>
          <w:fldChar w:fldCharType="separate"/>
          <w:t>11</w:t>
          <w:fldChar w:fldCharType="end"/>
        </w:r>
      </w:hyperlink>
    </w:p>
    <w:p w14:paraId="4CCD552F" w14:textId="1725CB4D"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4" w:history="1">
        <w:r>
          <w:rPr>
            <w:rStyle w:val="aff9"/>
            <w:noProof/>
          </w:rPr>
          <w:t>5. Extensions</w:t>
        </w:r>
        <w:r>
          <w:rPr>
            <w:noProof/>
            <w:webHidden/>
          </w:rPr>
          <w:tab/>
          <w:fldChar w:fldCharType="begin"/>
          <w:instrText xml:space="preserve"> PAGEREF _Toc237383694 \h </w:instrText>
          <w:fldChar w:fldCharType="separate"/>
          <w:t>12</w:t>
          <w:fldChar w:fldCharType="end"/>
        </w:r>
      </w:hyperlink>
    </w:p>
    <w:p w14:paraId="7C49BFFE" w14:textId="15269236"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5" w:history="1">
        <w:r>
          <w:rPr>
            <w:rStyle w:val="aff9"/>
            <w:noProof/>
          </w:rPr>
          <w:t>5.1 A finance lexicon for VADER</w:t>
        </w:r>
        <w:r>
          <w:rPr>
            <w:noProof/>
            <w:webHidden/>
          </w:rPr>
          <w:tab/>
          <w:fldChar w:fldCharType="begin"/>
          <w:instrText xml:space="preserve"> PAGEREF _Toc237383695 \h </w:instrText>
          <w:fldChar w:fldCharType="separate"/>
          <w:t>12</w:t>
          <w:fldChar w:fldCharType="end"/>
        </w:r>
      </w:hyperlink>
    </w:p>
    <w:p w14:paraId="34575DE6" w14:textId="0AAA8D34"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6" w:history="1">
        <w:r>
          <w:rPr>
            <w:rStyle w:val="aff9"/>
            <w:noProof/>
          </w:rPr>
          <w:t>5.2 A tilt that learns its own direction</w:t>
        </w:r>
        <w:r>
          <w:rPr>
            <w:noProof/>
            <w:webHidden/>
          </w:rPr>
          <w:tab/>
          <w:fldChar w:fldCharType="begin"/>
          <w:instrText xml:space="preserve"> PAGEREF _Toc237383696 \h </w:instrText>
          <w:fldChar w:fldCharType="separate"/>
          <w:t>13</w:t>
          <w:fldChar w:fldCharType="end"/>
        </w:r>
      </w:hyperlink>
    </w:p>
    <w:p w14:paraId="16BA0651" w14:textId="7C16C23A"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7" w:history="1">
        <w:r>
          <w:rPr>
            <w:rStyle w:val="aff9"/>
            <w:noProof/>
          </w:rPr>
          <w:t>5.3 Was the winner found or fitted?</w:t>
        </w:r>
        <w:r>
          <w:rPr>
            <w:noProof/>
            <w:webHidden/>
          </w:rPr>
          <w:tab/>
          <w:fldChar w:fldCharType="begin"/>
          <w:instrText xml:space="preserve"> PAGEREF _Toc237383697 \h </w:instrText>
          <w:fldChar w:fldCharType="separate"/>
          <w:t>15</w:t>
          <w:fldChar w:fldCharType="end"/>
        </w:r>
      </w:hyperlink>
    </w:p>
    <w:p w14:paraId="79910905" w14:textId="22DE339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8" w:history="1">
        <w:r>
          <w:rPr>
            <w:rStyle w:val="aff9"/>
            <w:noProof/>
          </w:rPr>
          <w:t>5.4 Does correcting the covariance fix the result?</w:t>
        </w:r>
        <w:r>
          <w:rPr>
            <w:noProof/>
            <w:webHidden/>
          </w:rPr>
          <w:tab/>
          <w:fldChar w:fldCharType="begin"/>
          <w:instrText xml:space="preserve"> PAGEREF _Toc237383698 \h </w:instrText>
          <w:fldChar w:fldCharType="separate"/>
          <w:t>16</w:t>
          <w:fldChar w:fldCharType="end"/>
        </w:r>
      </w:hyperlink>
    </w:p>
    <w:p w14:paraId="4C13FC7A" w14:textId="4F2E0557"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9" w:history="1">
        <w:r>
          <w:rPr>
            <w:rStyle w:val="aff9"/>
            <w:noProof/>
          </w:rPr>
          <w:t>5.5 The figure design system</w:t>
        </w:r>
        <w:r>
          <w:rPr>
            <w:noProof/>
            <w:webHidden/>
          </w:rPr>
          <w:tab/>
          <w:fldChar w:fldCharType="begin"/>
          <w:instrText xml:space="preserve"> PAGEREF _Toc237383699 \h </w:instrText>
          <w:fldChar w:fldCharType="separate"/>
          <w:t>16</w:t>
          <w:fldChar w:fldCharType="end"/>
        </w:r>
      </w:hyperlink>
    </w:p>
    <w:p w14:paraId="35C9B14F" w14:textId="2DE74A1C"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0" w:history="1">
        <w:r>
          <w:rPr>
            <w:rStyle w:val="aff9"/>
            <w:noProof/>
          </w:rPr>
          <w:t>6. The app and the investor journey</w:t>
        </w:r>
        <w:r>
          <w:rPr>
            <w:noProof/>
            <w:webHidden/>
          </w:rPr>
          <w:tab/>
          <w:fldChar w:fldCharType="begin"/>
          <w:instrText xml:space="preserve"> PAGEREF _Toc237383700 \h </w:instrText>
          <w:fldChar w:fldCharType="separate"/>
          <w:t>17</w:t>
          <w:fldChar w:fldCharType="end"/>
        </w:r>
      </w:hyperlink>
    </w:p>
    <w:p w14:paraId="15A3E723" w14:textId="77EEB587"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1" w:history="1">
        <w:r>
          <w:rPr>
            <w:rStyle w:val="aff9"/>
            <w:noProof/>
          </w:rPr>
          <w:t>7. Critical reflection and recommendations</w:t>
        </w:r>
        <w:r>
          <w:rPr>
            <w:noProof/>
            <w:webHidden/>
          </w:rPr>
          <w:tab/>
          <w:fldChar w:fldCharType="begin"/>
          <w:instrText xml:space="preserve"> PAGEREF _Toc237383701 \h </w:instrText>
          <w:fldChar w:fldCharType="separate"/>
          <w:t>17</w:t>
          <w:fldChar w:fldCharType="end"/>
        </w:r>
      </w:hyperlink>
    </w:p>
    <w:p w14:paraId="4BE6EF79" w14:textId="57425FAF"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2" w:history="1">
        <w:r>
          <w:rPr>
            <w:rStyle w:val="aff9"/>
            <w:noProof/>
          </w:rPr>
          <w:t>References</w:t>
        </w:r>
        <w:r>
          <w:rPr>
            <w:noProof/>
            <w:webHidden/>
          </w:rPr>
          <w:tab/>
          <w:fldChar w:fldCharType="begin"/>
          <w:instrText xml:space="preserve"> PAGEREF _Toc237383702 \h </w:instrText>
          <w:fldChar w:fldCharType="separate"/>
          <w:t>18</w:t>
          <w:fldChar w:fldCharType="end"/>
        </w:r>
      </w:hyperlink>
    </w:p>
    <w:p w14:paraId="757DD2EA" w14:textId="2D066826"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3" w:history="1">
        <w:r>
          <w:rPr>
            <w:rStyle w:val="aff9"/>
            <w:noProof/>
          </w:rPr>
          <w:t>Appendix</w:t>
        </w:r>
        <w:r>
          <w:rPr>
            <w:noProof/>
            <w:webHidden/>
          </w:rPr>
          <w:tab/>
          <w:fldChar w:fldCharType="begin"/>
          <w:instrText xml:space="preserve"> PAGEREF _Toc237383703 \h </w:instrText>
          <w:fldChar w:fldCharType="separate"/>
          <w:t>18</w:t>
          <w:fldChar w:fldCharType="end"/>
        </w:r>
      </w:hyperlink>
    </w:p>
    <w:p w14:paraId="771152AA" w14:textId="5EC3CD91"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4" w:history="1">
        <w:r>
          <w:rPr>
            <w:rStyle w:val="aff9"/>
            <w:noProof/>
          </w:rPr>
          <w:t>Appendix A - The four objectives</w:t>
        </w:r>
        <w:r>
          <w:rPr>
            <w:noProof/>
            <w:webHidden/>
          </w:rPr>
          <w:tab/>
          <w:fldChar w:fldCharType="begin"/>
          <w:instrText xml:space="preserve"> PAGEREF _Toc237383704 \h </w:instrText>
          <w:fldChar w:fldCharType="separate"/>
          <w:t>18</w:t>
          <w:fldChar w:fldCharType="end"/>
        </w:r>
      </w:hyperlink>
    </w:p>
    <w:p w14:paraId="6E9D471B" w14:textId="0654FDB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5" w:history="1">
        <w:r>
          <w:rPr>
            <w:rStyle w:val="aff9"/>
            <w:noProof/>
          </w:rPr>
          <w:t>Appendix B - Supporting exhibits</w:t>
        </w:r>
        <w:r>
          <w:rPr>
            <w:noProof/>
            <w:webHidden/>
          </w:rPr>
          <w:tab/>
          <w:fldChar w:fldCharType="begin"/>
          <w:instrText xml:space="preserve"> PAGEREF _Toc237383705 \h </w:instrText>
          <w:fldChar w:fldCharType="separate"/>
          <w:t>19</w:t>
          <w:fldChar w:fldCharType="end"/>
        </w:r>
      </w:hyperlink>
    </w:p>
    <w:p w14:paraId="2B85B79B" w14:textId="22BDC0AF" w:rsidR="0067237E" w:rsidRDefault="00000000">
      <w:r>
        <w:fldChar w:fldCharType="end"/>
      </w:r>
    </w:p>
    <w:p w14:paraId="43E17CCA" w14:textId="77777777" w:rsidR="0067237E" w:rsidRDefault="00000000">
      <w:r>
        <w:t>Right-click and choose Update Field in Word to populate this.</w:t>
      </w:r>
    </w:p>
    <w:p w14:paraId="3C7D3629" w14:textId="77777777" w:rsidR="0067237E" w:rsidRDefault="00000000">
      <w:pPr>
        <w:pStyle w:val="1"/>
      </w:pPr>
      <w:bookmarkStart w:id="2" w:name="_Toc237383688"/>
      <w:r>
        <w:t>1. The funds and the backtest design</w:t>
      </w:r>
      <w:bookmarkEnd w:id="2"/>
    </w:p>
    <w:p w14:paraId="2A93A88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7DB3F5A9"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BE45950"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02435B1C" w14:textId="77777777" w:rsidR="0067237E" w:rsidRDefault="00000000">
      <w:r>
        <w:t>The four objectives are stated formally in Appendix A, with every symbol defined.</w:t>
      </w:r>
    </w:p>
    <w:p w14:paraId="6D0AFD30" w14:textId="77777777" w:rsidR="0067237E" w:rsidRDefault="00000000">
      <w:r>
        <w:t>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a weight cannot go below zero however attractive a short looks to the optimiser. Jagannathan and Ma (2003) show that a no-short-sale constraint acts on a minimum-variance problem in the same way as shrinking the most extreme covariance estimates, so the constraint buys statistical stability as well as investability. Appendix D tests that trade-off directly: an expanding window lifts the equity funds (+0.110 on minimum variance) and costs the flagship Combined Maximum-Sharpe fund 0.583 of a Sharpe point, because it never forgets the crypto regime that ended in 2022.</w:t>
      </w:r>
    </w:p>
    <w:p w14:paraId="59A0073C" w14:textId="77777777" w:rsidR="0067237E" w:rsidRDefault="00000000">
      <w:r>
        <w:lastRenderedPageBreak/>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B426FAC" w14:textId="77777777" w:rsidR="0067237E" w:rsidRDefault="00000000">
      <w:pPr>
        <w:pStyle w:val="21"/>
      </w:pPr>
      <w:bookmarkStart w:id="3" w:name="_Toc237383689"/>
      <w:r>
        <w:t>How often the funds trade</w:t>
      </w:r>
      <w:bookmarkEnd w:id="3"/>
    </w:p>
    <w:p w14:paraId="6EC30262" w14:textId="77777777" w:rsidR="0067237E" w:rsidRDefault="00000000">
      <w:r>
        <w:t>Monthly rebalancing is a choice, so the alternatives were measured. Weekly, fortnightly, monthly and quarterly schedules were run for each method on the combined universe, gross and net of costs.</w:t>
      </w:r>
    </w:p>
    <w:p w14:paraId="4A3F4ED4" w14:textId="77777777" w:rsidR="0067237E" w:rsidRDefault="00000000">
      <w:pPr>
        <w:jc w:val="center"/>
      </w:pPr>
      <w:r>
        <w:rPr>
          <w:noProof/>
        </w:rPr>
        <w:drawing>
          <wp:inline distT="0" distB="0" distL="0" distR="0" wp14:anchorId="176122CB" wp14:editId="048082BE">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79C00423" w14:textId="5B384CF1" w:rsidR="0067237E" w:rsidRDefault="00000000">
      <w:pPr>
        <w:pStyle w:val="af7"/>
      </w:pPr>
      <w:r>
        <w:t xml:space="preserve">Figure </w:t>
      </w:r>
      <w:fldSimple w:instr=" SEQ Figure \* ARABIC ">
        <w:r>
          <w:rPr>
            <w:noProof/>
          </w:rPr>
          <w:t>1</w:t>
        </w:r>
      </w:fldSimple>
      <w:r>
        <w:t>: Sharpe ratio net of 10 bp of one-way turnover against annual turnover, for four rebalance schedules across the four combined funds. Out-of-sample, 2021-2023.</w:t>
      </w:r>
    </w:p>
    <w:p w14:paraId="566BACD9" w14:textId="77777777" w:rsidR="0067237E" w:rsidRDefault="00000000">
      <w:r>
        <w:t>Best net-of-cost schedule by method: Equal-Weight fortnightly; Maximum-Sharpe monthly; Minimum-Variance weekly; Risk Parity fortnightly.</w:t>
      </w:r>
    </w:p>
    <w:p w14:paraId="7BD2DD84"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6389053D" w14:textId="77777777" w:rsidR="0067237E" w:rsidRDefault="00000000">
      <w:pPr>
        <w:pStyle w:val="1"/>
      </w:pPr>
      <w:bookmarkStart w:id="4" w:name="_Toc237383690"/>
      <w:r>
        <w:t>2. Out-of-sample results and fund fact sheets</w:t>
      </w:r>
      <w:bookmarkEnd w:id="4"/>
    </w:p>
    <w:p w14:paraId="1A9AF1C5" w14:textId="5AEAFC92" w:rsidR="0067237E" w:rsidRDefault="00000000">
      <w:pPr>
        <w:pStyle w:val="af7"/>
      </w:pPr>
      <w:r>
        <w:t xml:space="preserve">Table </w:t>
      </w:r>
      <w:fldSimple w:instr=" SEQ Table \* ARABIC ">
        <w:r>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AED94B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39C8AA" w14:textId="77777777" w:rsidR="0067237E" w:rsidRDefault="00000000">
            <w:r>
              <w:rPr>
                <w:sz w:val="16"/>
              </w:rPr>
              <w:t>fund</w:t>
            </w:r>
          </w:p>
        </w:tc>
        <w:tc>
          <w:tcPr>
            <w:tcW w:w="1505" w:type="dxa"/>
          </w:tcPr>
          <w:p w14:paraId="54D401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643CA4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586A8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1A0ADC9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2DBD86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2EBA877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76F759D" w14:textId="77777777" w:rsidR="0067237E" w:rsidRDefault="00000000">
            <w:r>
              <w:rPr>
                <w:sz w:val="16"/>
              </w:rPr>
              <w:t>Combined Maximum-Sharpe</w:t>
            </w:r>
          </w:p>
        </w:tc>
        <w:tc>
          <w:tcPr>
            <w:tcW w:w="1505" w:type="dxa"/>
          </w:tcPr>
          <w:p w14:paraId="3A000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2DB08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7DF21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761772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7C7EFC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47785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4EA9E17" w14:textId="77777777" w:rsidR="0067237E" w:rsidRDefault="00000000">
            <w:r>
              <w:rPr>
                <w:sz w:val="16"/>
              </w:rPr>
              <w:lastRenderedPageBreak/>
              <w:t>Combined Risk Parity</w:t>
            </w:r>
          </w:p>
        </w:tc>
        <w:tc>
          <w:tcPr>
            <w:tcW w:w="1505" w:type="dxa"/>
          </w:tcPr>
          <w:p w14:paraId="77BFC0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24341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9308D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16B2DC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66CC5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53F6BAA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40C3B0" w14:textId="77777777" w:rsidR="0067237E" w:rsidRDefault="00000000">
            <w:r>
              <w:rPr>
                <w:sz w:val="16"/>
              </w:rPr>
              <w:t>Combined Equal-Weight</w:t>
            </w:r>
          </w:p>
        </w:tc>
        <w:tc>
          <w:tcPr>
            <w:tcW w:w="1505" w:type="dxa"/>
          </w:tcPr>
          <w:p w14:paraId="22A026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75006D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2C81A9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055E73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137A40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43013A0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B62C93F" w14:textId="77777777" w:rsidR="0067237E" w:rsidRDefault="00000000">
            <w:r>
              <w:rPr>
                <w:sz w:val="16"/>
              </w:rPr>
              <w:t>Combined Minimum-Variance</w:t>
            </w:r>
          </w:p>
        </w:tc>
        <w:tc>
          <w:tcPr>
            <w:tcW w:w="1505" w:type="dxa"/>
          </w:tcPr>
          <w:p w14:paraId="57CF3B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41907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0F524E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638AA2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88009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7C9F039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1BC6C8" w14:textId="77777777" w:rsidR="0067237E" w:rsidRDefault="00000000">
            <w:r>
              <w:rPr>
                <w:sz w:val="16"/>
              </w:rPr>
              <w:t>Crypto Risk Parity</w:t>
            </w:r>
          </w:p>
        </w:tc>
        <w:tc>
          <w:tcPr>
            <w:tcW w:w="1505" w:type="dxa"/>
          </w:tcPr>
          <w:p w14:paraId="41A5AE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0C3318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1F343F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326C96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0AD3DB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73B144A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58A059" w14:textId="77777777" w:rsidR="0067237E" w:rsidRDefault="00000000">
            <w:r>
              <w:rPr>
                <w:sz w:val="16"/>
              </w:rPr>
              <w:t>Crypto Equal-Weight</w:t>
            </w:r>
          </w:p>
        </w:tc>
        <w:tc>
          <w:tcPr>
            <w:tcW w:w="1505" w:type="dxa"/>
          </w:tcPr>
          <w:p w14:paraId="120C6B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019409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274BE6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25E381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23E718D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FA74E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2A316D0" w14:textId="77777777" w:rsidR="0067237E" w:rsidRDefault="00000000">
            <w:r>
              <w:rPr>
                <w:sz w:val="16"/>
              </w:rPr>
              <w:t>Crypto Minimum-Variance</w:t>
            </w:r>
          </w:p>
        </w:tc>
        <w:tc>
          <w:tcPr>
            <w:tcW w:w="1505" w:type="dxa"/>
          </w:tcPr>
          <w:p w14:paraId="75AF19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5980B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39213A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4ADD0B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1D03A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31009A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8955EB" w14:textId="77777777" w:rsidR="0067237E" w:rsidRDefault="00000000">
            <w:r>
              <w:rPr>
                <w:sz w:val="16"/>
              </w:rPr>
              <w:t>Crypto Maximum-Sharpe</w:t>
            </w:r>
          </w:p>
        </w:tc>
        <w:tc>
          <w:tcPr>
            <w:tcW w:w="1505" w:type="dxa"/>
          </w:tcPr>
          <w:p w14:paraId="6FB1E5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6CB88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9455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143655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36A60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2905986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4E8D67" w14:textId="77777777" w:rsidR="0067237E" w:rsidRDefault="00000000">
            <w:r>
              <w:rPr>
                <w:sz w:val="16"/>
              </w:rPr>
              <w:t>Equity Equal-Weight</w:t>
            </w:r>
          </w:p>
        </w:tc>
        <w:tc>
          <w:tcPr>
            <w:tcW w:w="1505" w:type="dxa"/>
          </w:tcPr>
          <w:p w14:paraId="15938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74C4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25088B8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53DD6C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70A29A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24398A0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B4253E" w14:textId="77777777" w:rsidR="0067237E" w:rsidRDefault="00000000">
            <w:r>
              <w:rPr>
                <w:sz w:val="16"/>
              </w:rPr>
              <w:t>Equity Risk Parity</w:t>
            </w:r>
          </w:p>
        </w:tc>
        <w:tc>
          <w:tcPr>
            <w:tcW w:w="1505" w:type="dxa"/>
          </w:tcPr>
          <w:p w14:paraId="5805B1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D75D1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5C0498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376A4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3B726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459773A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E70A840" w14:textId="77777777" w:rsidR="0067237E" w:rsidRDefault="00000000">
            <w:r>
              <w:rPr>
                <w:sz w:val="16"/>
              </w:rPr>
              <w:t>Equity Maximum-Sharpe</w:t>
            </w:r>
          </w:p>
        </w:tc>
        <w:tc>
          <w:tcPr>
            <w:tcW w:w="1505" w:type="dxa"/>
          </w:tcPr>
          <w:p w14:paraId="52F36F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5FFDCA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63F0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5A2436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3A435E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3006202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E3C771A" w14:textId="77777777" w:rsidR="0067237E" w:rsidRDefault="00000000">
            <w:r>
              <w:rPr>
                <w:sz w:val="16"/>
              </w:rPr>
              <w:t>Equity Minimum-Variance</w:t>
            </w:r>
          </w:p>
        </w:tc>
        <w:tc>
          <w:tcPr>
            <w:tcW w:w="1505" w:type="dxa"/>
          </w:tcPr>
          <w:p w14:paraId="50B2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596DD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65CDAE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1E9EE5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50D5AA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760CACBE"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5F4BEBC8"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they are a symptom of how noisy its inputs are.</w:t>
      </w:r>
    </w:p>
    <w:p w14:paraId="7EA1541C"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0E24AB10"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2FC34614" w14:textId="77777777" w:rsidR="0067237E" w:rsidRDefault="00000000">
      <w:r>
        <w:t xml:space="preserve">That is a statement about who the fund is for rather than about whether it works. An investor ranking funds on risk-adjusted return should not hold it - at +5.4% a year it is the weakest equity </w:t>
        <w:lastRenderedPageBreak/>
        <w:t>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716428C2" w14:textId="77777777" w:rsidR="0067237E" w:rsidRDefault="00000000">
      <w:r>
        <w:t>Whether that first force really is sample noise is testable, and Section 5.4 tests it by correcting the covariance estimate and re-running every fund.</w:t>
      </w:r>
    </w:p>
    <w:p w14:paraId="2A7C7CDC"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04CECA6F" w14:textId="77777777" w:rsidR="0067237E" w:rsidRDefault="00000000">
      <w:pPr>
        <w:jc w:val="center"/>
      </w:pPr>
      <w:r>
        <w:rPr>
          <w:noProof/>
        </w:rPr>
        <w:drawing>
          <wp:inline distT="0" distB="0" distL="0" distR="0" wp14:anchorId="512460F4" wp14:editId="7BA857BD">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0C38B4E2" w14:textId="5BAA7D89" w:rsidR="0067237E" w:rsidRDefault="00000000">
      <w:pPr>
        <w:pStyle w:val="af7"/>
      </w:pPr>
      <w:r>
        <w:t xml:space="preserve">Figure </w:t>
      </w:r>
      <w:fldSimple w:instr=" SEQ Figure \* ARABIC ">
        <w:r>
          <w:rPr>
            <w:noProof/>
          </w:rPr>
          <w:t>2</w:t>
        </w:r>
      </w:fldSimple>
      <w:r>
        <w:t>: Growth of $1 invested at the first live backtest date in the four combined equity-plus-crypto funds.</w:t>
      </w:r>
    </w:p>
    <w:p w14:paraId="767FEA2F" w14:textId="77777777" w:rsidR="0067237E" w:rsidRDefault="00000000">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14:paraId="24481419" w14:textId="77777777" w:rsidR="0067237E" w:rsidRDefault="00000000">
      <w:pPr>
        <w:jc w:val="center"/>
      </w:pPr>
      <w:r>
        <w:rPr>
          <w:noProof/>
        </w:rPr>
        <w:lastRenderedPageBreak/>
        <w:drawing>
          <wp:inline distT="0" distB="0" distL="0" distR="0" wp14:anchorId="043AEB78" wp14:editId="63680D2B">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7C37C2B1" w14:textId="74D2531D" w:rsidR="0067237E" w:rsidRDefault="00000000">
      <w:pPr>
        <w:pStyle w:val="af7"/>
      </w:pPr>
      <w:r>
        <w:t xml:space="preserve">Figure </w:t>
      </w:r>
      <w:fldSimple w:instr=" SEQ Figure \* ARABIC ">
        <w:r>
          <w:rPr>
            <w:noProof/>
          </w:rPr>
          <w:t>3</w:t>
        </w:r>
      </w:fldSimple>
      <w:r>
        <w:t>: Sharpe ratio across all twelve funds, grouped by asset family.</w:t>
      </w:r>
    </w:p>
    <w:p w14:paraId="023508AD" w14:textId="77777777" w:rsidR="0067237E" w:rsidRDefault="00000000">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14:paraId="479A7870" w14:textId="77777777" w:rsidR="0067237E" w:rsidRDefault="00000000">
      <w:pPr>
        <w:jc w:val="center"/>
      </w:pPr>
      <w:r>
        <w:rPr>
          <w:noProof/>
        </w:rPr>
        <w:drawing>
          <wp:inline distT="0" distB="0" distL="0" distR="0" wp14:anchorId="29CE1BC4" wp14:editId="630BEC51">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0B453F" w14:textId="662C2F05" w:rsidR="0067237E" w:rsidRDefault="00000000">
      <w:pPr>
        <w:pStyle w:val="af7"/>
      </w:pPr>
      <w:r>
        <w:t xml:space="preserve">Figure </w:t>
      </w:r>
      <w:fldSimple w:instr=" SEQ Figure \* ARABIC ">
        <w:r>
          <w:rPr>
            <w:noProof/>
          </w:rPr>
          <w:t>4</w:t>
        </w:r>
      </w:fldSimple>
      <w:r>
        <w:t>: Drawdown of the Combined Maximum-Sharpe fund from its running peak.</w:t>
      </w:r>
    </w:p>
    <w:p w14:paraId="276C433A" w14:textId="77777777" w:rsidR="0067237E" w:rsidRDefault="00000000">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14:paraId="7F5BCA87" w14:textId="77777777" w:rsidR="0067237E" w:rsidRDefault="00000000">
      <w:pPr>
        <w:jc w:val="center"/>
      </w:pPr>
      <w:r>
        <w:rPr>
          <w:noProof/>
        </w:rPr>
        <w:lastRenderedPageBreak/>
        <w:drawing>
          <wp:inline distT="0" distB="0" distL="0" distR="0" wp14:anchorId="5B75CF84" wp14:editId="51A6F0F7">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7F75A1AA" w14:textId="6F7D2FFC" w:rsidR="0067237E" w:rsidRDefault="00000000">
      <w:pPr>
        <w:pStyle w:val="af7"/>
      </w:pPr>
      <w:r>
        <w:t xml:space="preserve">Figure </w:t>
      </w:r>
      <w:fldSimple w:instr=" SEQ Figure \* ARABIC ">
        <w:r>
          <w:rPr>
            <w:noProof/>
          </w:rPr>
          <w:t>5</w:t>
        </w:r>
      </w:fldSimple>
      <w:r>
        <w:t>: Target weights at each monthly rebalance for three combined funds, aggregated to sector and stacked to 100%. Crypto is the dark band.</w:t>
      </w:r>
    </w:p>
    <w:p w14:paraId="5EC7E3ED" w14:textId="77777777" w:rsidR="0067237E" w:rsidRDefault="00000000">
      <w:r>
        <w:t>The three panels show one universe and one set of dates producing three different funds. Minimum variance concentrates in healthcare and consumer staples and its crypto band is almost invisible: minimising variance means avoiding the most volatile assets available, whatever their return. Maximum Sharpe swings between sectors and carries a wide crypto band, chasing mean estimates that change sharply from month to month. Risk parity is nearly static, because relative volatilities are far more stable than means. The visual stability of each panel is a direct picture of how much estimation error each objective admits.</w:t>
      </w:r>
    </w:p>
    <w:p w14:paraId="357FEDF7" w14:textId="77777777" w:rsidR="0067237E" w:rsidRDefault="00000000">
      <w:pPr>
        <w:pStyle w:val="1"/>
      </w:pPr>
      <w:bookmarkStart w:id="5" w:name="_Toc237383691"/>
      <w:r>
        <w:t>3. The news-sentiment index</w:t>
      </w:r>
      <w:bookmarkEnd w:id="5"/>
    </w:p>
    <w:p w14:paraId="07D8E1AB"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265614CB"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4F688803"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7836B3E0" w14:textId="77777777" w:rsidR="0067237E" w:rsidRDefault="00000000">
      <w:pPr>
        <w:jc w:val="center"/>
      </w:pPr>
      <w:r>
        <w:rPr>
          <w:noProof/>
        </w:rPr>
        <w:lastRenderedPageBreak/>
        <w:drawing>
          <wp:inline distT="0" distB="0" distL="0" distR="0" wp14:anchorId="0C7710CB" wp14:editId="4ECC062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59FA1F1" w14:textId="091ECC1E" w:rsidR="0067237E" w:rsidRDefault="00000000">
      <w:pPr>
        <w:pStyle w:val="af7"/>
      </w:pPr>
      <w:r>
        <w:t xml:space="preserve">Figure </w:t>
      </w:r>
      <w:fldSimple w:instr=" SEQ Figure \* ARABIC ">
        <w:r>
          <w:rPr>
            <w:noProof/>
          </w:rPr>
          <w:t>6</w:t>
        </w:r>
      </w:fldSimple>
      <w:r>
        <w:t>: News-sentiment index for five equity sectors: equal-weight mean VADER compound score, 21-day rolling mean, 2020-2023.</w:t>
      </w:r>
    </w:p>
    <w:p w14:paraId="38148746" w14:textId="77777777" w:rsidR="0067237E" w:rsidRDefault="00000000">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0696516A" w14:textId="77777777" w:rsidR="0067237E" w:rsidRDefault="00000000">
      <w:pPr>
        <w:jc w:val="center"/>
      </w:pPr>
      <w:r>
        <w:rPr>
          <w:noProof/>
        </w:rPr>
        <w:drawing>
          <wp:inline distT="0" distB="0" distL="0" distR="0" wp14:anchorId="0414C7CF" wp14:editId="2C42082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4FBDFFD6" w14:textId="07B38091" w:rsidR="0067237E" w:rsidRDefault="00000000">
      <w:pPr>
        <w:pStyle w:val="af7"/>
      </w:pPr>
      <w:r>
        <w:t xml:space="preserve">Figure </w:t>
      </w:r>
      <w:fldSimple w:instr=" SEQ Figure \* ARABIC ">
        <w:r>
          <w:rPr>
            <w:noProof/>
          </w:rPr>
          <w:t>7</w:t>
        </w:r>
      </w:fldSimple>
      <w:r>
        <w:t>: Market-wide fear and greed gauge: sentiment averaged across all 50 equities, shown as the raw 0-100 level and standardised.</w:t>
      </w:r>
    </w:p>
    <w:p w14:paraId="470C94A6" w14:textId="77777777" w:rsidR="0067237E" w:rsidRDefault="00000000">
      <w:r>
        <w:t>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would name unprompted is the strongest available evidence that the index measures something real; the search-based index of Da, Engelberg and Gao (2015) behaves the same way.</w:t>
      </w:r>
    </w:p>
    <w:p w14:paraId="48AF9153" w14:textId="4071200A" w:rsidR="0067237E" w:rsidRDefault="00000000">
      <w:pPr>
        <w:pStyle w:val="af7"/>
      </w:pPr>
      <w:r>
        <w:t xml:space="preserve">Table </w:t>
      </w:r>
      <w:fldSimple w:instr=" SEQ Table \* ARABIC ">
        <w:r>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76FF4C3"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670202" w14:textId="77777777" w:rsidR="0067237E" w:rsidRDefault="00000000">
            <w:r>
              <w:rPr>
                <w:sz w:val="16"/>
              </w:rPr>
              <w:t>sector</w:t>
            </w:r>
          </w:p>
        </w:tc>
        <w:tc>
          <w:tcPr>
            <w:tcW w:w="1505" w:type="dxa"/>
          </w:tcPr>
          <w:p w14:paraId="14C4CCF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5CF6CE3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03528C5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0DFD1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756D916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53F8FC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D0D964F" w14:textId="77777777" w:rsidR="0067237E" w:rsidRDefault="00000000">
            <w:r>
              <w:rPr>
                <w:sz w:val="16"/>
              </w:rPr>
              <w:t>Comm</w:t>
            </w:r>
          </w:p>
        </w:tc>
        <w:tc>
          <w:tcPr>
            <w:tcW w:w="1505" w:type="dxa"/>
          </w:tcPr>
          <w:p w14:paraId="3D4C3A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076C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6CC65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7A5B05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10E8F4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5089ED4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1FC0CE7" w14:textId="77777777" w:rsidR="0067237E" w:rsidRDefault="00000000">
            <w:r>
              <w:rPr>
                <w:sz w:val="16"/>
              </w:rPr>
              <w:t>Consumer</w:t>
            </w:r>
          </w:p>
        </w:tc>
        <w:tc>
          <w:tcPr>
            <w:tcW w:w="1505" w:type="dxa"/>
          </w:tcPr>
          <w:p w14:paraId="0D87AF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958CA4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E542F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0EB1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910B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4A8EBDD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600AD1" w14:textId="77777777" w:rsidR="0067237E" w:rsidRDefault="00000000">
            <w:r>
              <w:rPr>
                <w:sz w:val="16"/>
              </w:rPr>
              <w:t>Energy</w:t>
            </w:r>
          </w:p>
        </w:tc>
        <w:tc>
          <w:tcPr>
            <w:tcW w:w="1505" w:type="dxa"/>
          </w:tcPr>
          <w:p w14:paraId="3D8BC7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367E94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10422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06A8A0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0E1EB1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641AE1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16142F" w14:textId="77777777" w:rsidR="0067237E" w:rsidRDefault="00000000">
            <w:r>
              <w:rPr>
                <w:sz w:val="16"/>
              </w:rPr>
              <w:t>Financials</w:t>
            </w:r>
          </w:p>
        </w:tc>
        <w:tc>
          <w:tcPr>
            <w:tcW w:w="1505" w:type="dxa"/>
          </w:tcPr>
          <w:p w14:paraId="27112D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590DA2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7B2613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7ED344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A010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331D23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9908B" w14:textId="77777777" w:rsidR="0067237E" w:rsidRDefault="00000000">
            <w:r>
              <w:rPr>
                <w:sz w:val="16"/>
              </w:rPr>
              <w:t>Healthcare</w:t>
            </w:r>
          </w:p>
        </w:tc>
        <w:tc>
          <w:tcPr>
            <w:tcW w:w="1505" w:type="dxa"/>
          </w:tcPr>
          <w:p w14:paraId="650B09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7380E7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3377B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728F6BF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032EBD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72C45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F21907" w14:textId="77777777" w:rsidR="0067237E" w:rsidRDefault="00000000">
            <w:r>
              <w:rPr>
                <w:sz w:val="16"/>
              </w:rPr>
              <w:t>Industrials</w:t>
            </w:r>
          </w:p>
        </w:tc>
        <w:tc>
          <w:tcPr>
            <w:tcW w:w="1505" w:type="dxa"/>
          </w:tcPr>
          <w:p w14:paraId="05B717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C1DDF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100DF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197E11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147C7F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2B25530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8766BD0" w14:textId="77777777" w:rsidR="0067237E" w:rsidRDefault="00000000">
            <w:r>
              <w:rPr>
                <w:sz w:val="16"/>
              </w:rPr>
              <w:t>Materials</w:t>
            </w:r>
          </w:p>
        </w:tc>
        <w:tc>
          <w:tcPr>
            <w:tcW w:w="1505" w:type="dxa"/>
          </w:tcPr>
          <w:p w14:paraId="0212E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29CFA5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E0127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2D5E4D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15CE6C8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7696067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EEF5EE" w14:textId="77777777" w:rsidR="0067237E" w:rsidRDefault="00000000">
            <w:r>
              <w:rPr>
                <w:sz w:val="16"/>
              </w:rPr>
              <w:t>RealEstate</w:t>
            </w:r>
          </w:p>
        </w:tc>
        <w:tc>
          <w:tcPr>
            <w:tcW w:w="1505" w:type="dxa"/>
          </w:tcPr>
          <w:p w14:paraId="575D82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396DF1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9C4FF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257957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3B1383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64D3D1C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831783" w14:textId="77777777" w:rsidR="0067237E" w:rsidRDefault="00000000">
            <w:r>
              <w:rPr>
                <w:sz w:val="16"/>
              </w:rPr>
              <w:t>Tech</w:t>
            </w:r>
          </w:p>
        </w:tc>
        <w:tc>
          <w:tcPr>
            <w:tcW w:w="1505" w:type="dxa"/>
          </w:tcPr>
          <w:p w14:paraId="6429E8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36C5EC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21544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64FFF6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4A98D9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16891F0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D22C0F7" w14:textId="77777777" w:rsidR="0067237E" w:rsidRDefault="00000000">
            <w:r>
              <w:rPr>
                <w:sz w:val="16"/>
              </w:rPr>
              <w:t>Utilities</w:t>
            </w:r>
          </w:p>
        </w:tc>
        <w:tc>
          <w:tcPr>
            <w:tcW w:w="1505" w:type="dxa"/>
          </w:tcPr>
          <w:p w14:paraId="295194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39AC8C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B83F0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7FA5E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1A71B0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257857EA"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a weaker signal than the articles beneath them, and work that extracts firm-level information from news generally scores the full story rather than its headline (Tetlock, Saar-Tsechansky and Macskassy 2008). The index should be read as the tone of coverage, and any trading use of it has to survive half its inputs being silent.</w:t>
      </w:r>
    </w:p>
    <w:p w14:paraId="14D175F7" w14:textId="77777777" w:rsidR="0067237E" w:rsidRDefault="00000000">
      <w:pPr>
        <w:pStyle w:val="1"/>
      </w:pPr>
      <w:bookmarkStart w:id="6" w:name="_Toc237383692"/>
      <w:r>
        <w:t>4. Fusion: does sentiment improve the funds?</w:t>
      </w:r>
      <w:bookmarkEnd w:id="6"/>
    </w:p>
    <w:p w14:paraId="42A742EC" w14:textId="77777777" w:rsidR="0067237E" w:rsidRDefault="00000000">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14:paraId="25BF286F" w14:textId="07DBA975" w:rsidR="0067237E" w:rsidRDefault="00000000">
      <w:pPr>
        <w:pStyle w:val="af7"/>
      </w:pPr>
      <w:r>
        <w:t xml:space="preserve">Table </w:t>
      </w:r>
      <w:fldSimple w:instr=" SEQ Table \* ARABIC ">
        <w:r>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9F2768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7EF5DA" w14:textId="77777777" w:rsidR="0067237E" w:rsidRDefault="00000000">
            <w:r>
              <w:rPr>
                <w:sz w:val="16"/>
              </w:rPr>
              <w:t>fund</w:t>
            </w:r>
          </w:p>
        </w:tc>
        <w:tc>
          <w:tcPr>
            <w:tcW w:w="1290" w:type="dxa"/>
          </w:tcPr>
          <w:p w14:paraId="6EAA89A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1F6ED2B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799749B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BF2EB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7141BCC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01F332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CC10CF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BA5F75" w14:textId="77777777" w:rsidR="0067237E" w:rsidRDefault="00000000">
            <w:r>
              <w:rPr>
                <w:sz w:val="16"/>
              </w:rPr>
              <w:t>Equity Minimum-Variance (base)</w:t>
            </w:r>
          </w:p>
        </w:tc>
        <w:tc>
          <w:tcPr>
            <w:tcW w:w="1290" w:type="dxa"/>
          </w:tcPr>
          <w:p w14:paraId="29ECD5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7DC2EE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3A387C4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2403BB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3E2EC1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22D33C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3F132F6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1A4501" w14:textId="77777777" w:rsidR="0067237E" w:rsidRDefault="00000000">
            <w:r>
              <w:rPr>
                <w:sz w:val="16"/>
              </w:rPr>
              <w:t>Equity Minimum-Variance + sentiment</w:t>
            </w:r>
          </w:p>
        </w:tc>
        <w:tc>
          <w:tcPr>
            <w:tcW w:w="1290" w:type="dxa"/>
          </w:tcPr>
          <w:p w14:paraId="4BD60D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6DDD6F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6306D5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183E18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213E6A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8A4F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1FF1AB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E0D3D21" w14:textId="77777777" w:rsidR="0067237E" w:rsidRDefault="00000000">
            <w:r>
              <w:rPr>
                <w:sz w:val="16"/>
              </w:rPr>
              <w:t>difference</w:t>
            </w:r>
          </w:p>
        </w:tc>
        <w:tc>
          <w:tcPr>
            <w:tcW w:w="1290" w:type="dxa"/>
          </w:tcPr>
          <w:p w14:paraId="3CEF11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A74A9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89E0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52D460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388A54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2DDD5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11EA4A5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4CB0A8" w14:textId="77777777" w:rsidR="0067237E" w:rsidRDefault="00000000">
            <w:r>
              <w:rPr>
                <w:sz w:val="16"/>
              </w:rPr>
              <w:t>Equity Maximum-Sharpe (base)</w:t>
            </w:r>
          </w:p>
        </w:tc>
        <w:tc>
          <w:tcPr>
            <w:tcW w:w="1290" w:type="dxa"/>
          </w:tcPr>
          <w:p w14:paraId="3A21D3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3EAD78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1FEFB7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4A50D53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1A114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24209B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785DFF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330A60" w14:textId="77777777" w:rsidR="0067237E" w:rsidRDefault="00000000">
            <w:r>
              <w:rPr>
                <w:sz w:val="16"/>
              </w:rPr>
              <w:t>Equity Maximum-Sharpe + sentiment</w:t>
            </w:r>
          </w:p>
        </w:tc>
        <w:tc>
          <w:tcPr>
            <w:tcW w:w="1290" w:type="dxa"/>
          </w:tcPr>
          <w:p w14:paraId="152201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549148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64A261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47E5A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3E58E9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74017E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BFFE6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0CF71F" w14:textId="77777777" w:rsidR="0067237E" w:rsidRDefault="00000000">
            <w:r>
              <w:rPr>
                <w:sz w:val="16"/>
              </w:rPr>
              <w:t>difference</w:t>
            </w:r>
          </w:p>
        </w:tc>
        <w:tc>
          <w:tcPr>
            <w:tcW w:w="1290" w:type="dxa"/>
          </w:tcPr>
          <w:p w14:paraId="11714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411C3A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72EE58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3CCA05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2D46CA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0FDC2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7342529E"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lastRenderedPageBreak/>
        <w:t>the tilt adds noise to a portfolio that was already as good as its inputs allowed, and charges for the privilege.</w:t>
      </w:r>
    </w:p>
    <w:p w14:paraId="52685F53" w14:textId="77777777" w:rsidR="0067237E" w:rsidRDefault="00000000">
      <w:pPr>
        <w:jc w:val="center"/>
      </w:pPr>
      <w:r>
        <w:rPr>
          <w:noProof/>
        </w:rPr>
        <w:drawing>
          <wp:inline distT="0" distB="0" distL="0" distR="0" wp14:anchorId="7C404DC2" wp14:editId="49F3FA2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091DCA99" w14:textId="195498E0" w:rsidR="0067237E" w:rsidRDefault="00000000">
      <w:pPr>
        <w:pStyle w:val="af7"/>
      </w:pPr>
      <w:r>
        <w:t xml:space="preserve">Figure </w:t>
      </w:r>
      <w:fldSimple w:instr=" SEQ Figure \* ARABIC ">
        <w:r>
          <w:rPr>
            <w:noProof/>
          </w:rPr>
          <w:t>8</w:t>
        </w:r>
      </w:fldSimple>
      <w:r>
        <w:t>: Growth of $1 for the Equity Minimum-Variance fund with and without the sentiment tilt.</w:t>
      </w:r>
    </w:p>
    <w:p w14:paraId="56F20215" w14:textId="77777777" w:rsidR="0067237E" w:rsidRDefault="00000000">
      <w:pPr>
        <w:jc w:val="center"/>
      </w:pPr>
      <w:r>
        <w:rPr>
          <w:noProof/>
        </w:rPr>
        <w:drawing>
          <wp:inline distT="0" distB="0" distL="0" distR="0" wp14:anchorId="2FD04239" wp14:editId="638943F2">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1D46C9CE" w14:textId="639D76FD" w:rsidR="0067237E" w:rsidRDefault="00000000">
      <w:pPr>
        <w:pStyle w:val="af7"/>
      </w:pPr>
      <w:r>
        <w:t xml:space="preserve">Figure </w:t>
      </w:r>
      <w:fldSimple w:instr=" SEQ Figure \* ARABIC ">
        <w:r>
          <w:rPr>
            <w:noProof/>
          </w:rPr>
          <w:t>9</w:t>
        </w:r>
      </w:fldSimple>
      <w:r>
        <w:t>: Growth of $1 for the Equity Maximum-Sharpe fund with and without the sentiment tilt.</w:t>
      </w:r>
    </w:p>
    <w:p w14:paraId="3FB8A613"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29C7F042" w14:textId="4FF67B22" w:rsidR="0067237E" w:rsidRDefault="00000000">
      <w:pPr>
        <w:pStyle w:val="af7"/>
      </w:pPr>
      <w:r>
        <w:t xml:space="preserve">Table </w:t>
      </w:r>
      <w:fldSimple w:instr=" SEQ Table \* ARABIC ">
        <w:r>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1BB1B4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8E725" w14:textId="77777777" w:rsidR="0067237E" w:rsidRDefault="00000000">
            <w:r>
              <w:rPr>
                <w:sz w:val="16"/>
              </w:rPr>
              <w:t>sector</w:t>
            </w:r>
          </w:p>
        </w:tc>
        <w:tc>
          <w:tcPr>
            <w:tcW w:w="1505" w:type="dxa"/>
          </w:tcPr>
          <w:p w14:paraId="4BA868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16AEC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97326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6199176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4922A9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0040F1D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12534E" w14:textId="77777777" w:rsidR="0067237E" w:rsidRDefault="00000000">
            <w:r>
              <w:rPr>
                <w:sz w:val="16"/>
              </w:rPr>
              <w:t>Consumer</w:t>
            </w:r>
          </w:p>
        </w:tc>
        <w:tc>
          <w:tcPr>
            <w:tcW w:w="1505" w:type="dxa"/>
          </w:tcPr>
          <w:p w14:paraId="64128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1F22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63752C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144ECC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C3D21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68235C4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8992DA" w14:textId="77777777" w:rsidR="0067237E" w:rsidRDefault="00000000">
            <w:r>
              <w:rPr>
                <w:sz w:val="16"/>
              </w:rPr>
              <w:t>Materials</w:t>
            </w:r>
          </w:p>
        </w:tc>
        <w:tc>
          <w:tcPr>
            <w:tcW w:w="1505" w:type="dxa"/>
          </w:tcPr>
          <w:p w14:paraId="76D38A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C6E14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161458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839C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452644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78E90F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980BCD" w14:textId="77777777" w:rsidR="0067237E" w:rsidRDefault="00000000">
            <w:r>
              <w:rPr>
                <w:sz w:val="16"/>
              </w:rPr>
              <w:t>Tech</w:t>
            </w:r>
          </w:p>
        </w:tc>
        <w:tc>
          <w:tcPr>
            <w:tcW w:w="1505" w:type="dxa"/>
          </w:tcPr>
          <w:p w14:paraId="770982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42E235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7B2038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E1CBA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4F1BCF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3F406D3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0C3200" w14:textId="77777777" w:rsidR="0067237E" w:rsidRDefault="00000000">
            <w:r>
              <w:rPr>
                <w:sz w:val="16"/>
              </w:rPr>
              <w:t>Healthcare</w:t>
            </w:r>
          </w:p>
        </w:tc>
        <w:tc>
          <w:tcPr>
            <w:tcW w:w="1505" w:type="dxa"/>
          </w:tcPr>
          <w:p w14:paraId="0EE6FA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E1571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7B38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2D248C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6E2C94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31F390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5AA842A" w14:textId="77777777" w:rsidR="0067237E" w:rsidRDefault="00000000">
            <w:r>
              <w:rPr>
                <w:sz w:val="16"/>
              </w:rPr>
              <w:t>Comm</w:t>
            </w:r>
          </w:p>
        </w:tc>
        <w:tc>
          <w:tcPr>
            <w:tcW w:w="1505" w:type="dxa"/>
          </w:tcPr>
          <w:p w14:paraId="199D07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823E4E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541206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529DC0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08E41B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7ABABB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02E676" w14:textId="77777777" w:rsidR="0067237E" w:rsidRDefault="00000000">
            <w:r>
              <w:rPr>
                <w:sz w:val="16"/>
              </w:rPr>
              <w:t>Financials</w:t>
            </w:r>
          </w:p>
        </w:tc>
        <w:tc>
          <w:tcPr>
            <w:tcW w:w="1505" w:type="dxa"/>
          </w:tcPr>
          <w:p w14:paraId="525028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68414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2CA1EF4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B6686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746F18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73E83E8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8759C" w14:textId="77777777" w:rsidR="0067237E" w:rsidRDefault="00000000">
            <w:r>
              <w:rPr>
                <w:sz w:val="16"/>
              </w:rPr>
              <w:lastRenderedPageBreak/>
              <w:t>RealEstate</w:t>
            </w:r>
          </w:p>
        </w:tc>
        <w:tc>
          <w:tcPr>
            <w:tcW w:w="1505" w:type="dxa"/>
          </w:tcPr>
          <w:p w14:paraId="33F4B6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4E09C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68BAC7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0733F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05ABB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27FADBD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B47DB1" w14:textId="77777777" w:rsidR="0067237E" w:rsidRDefault="00000000">
            <w:r>
              <w:rPr>
                <w:sz w:val="16"/>
              </w:rPr>
              <w:t>Industrials</w:t>
            </w:r>
          </w:p>
        </w:tc>
        <w:tc>
          <w:tcPr>
            <w:tcW w:w="1505" w:type="dxa"/>
          </w:tcPr>
          <w:p w14:paraId="3A46BA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666155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554E27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25941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256E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611BA4D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14E2D" w14:textId="77777777" w:rsidR="0067237E" w:rsidRDefault="00000000">
            <w:r>
              <w:rPr>
                <w:sz w:val="16"/>
              </w:rPr>
              <w:t>Utilities</w:t>
            </w:r>
          </w:p>
        </w:tc>
        <w:tc>
          <w:tcPr>
            <w:tcW w:w="1505" w:type="dxa"/>
          </w:tcPr>
          <w:p w14:paraId="41B10A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FEFE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71A7C51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C421F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1FBAEC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5E1178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902F5C" w14:textId="77777777" w:rsidR="0067237E" w:rsidRDefault="00000000">
            <w:r>
              <w:rPr>
                <w:sz w:val="16"/>
              </w:rPr>
              <w:t>Energy</w:t>
            </w:r>
          </w:p>
        </w:tc>
        <w:tc>
          <w:tcPr>
            <w:tcW w:w="1505" w:type="dxa"/>
          </w:tcPr>
          <w:p w14:paraId="4275D9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E221D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DCD1D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0E61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154DA0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5F3B58BB"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02C7D707" w14:textId="654ECD3E" w:rsidR="0067237E" w:rsidRDefault="00000000">
      <w:pPr>
        <w:pStyle w:val="af7"/>
      </w:pPr>
      <w:r>
        <w:t xml:space="preserve">Table </w:t>
      </w:r>
      <w:fldSimple w:instr=" SEQ Table \* ARABIC ">
        <w:r>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16E6342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790D9E5" w14:textId="77777777" w:rsidR="0067237E" w:rsidRDefault="00000000">
            <w:r>
              <w:rPr>
                <w:sz w:val="16"/>
              </w:rPr>
              <w:t>sector</w:t>
            </w:r>
          </w:p>
        </w:tc>
        <w:tc>
          <w:tcPr>
            <w:tcW w:w="1290" w:type="dxa"/>
          </w:tcPr>
          <w:p w14:paraId="1B04026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03DE17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7A362FF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0BDA7E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583AA75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5D335F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7C19D53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6B033A" w14:textId="77777777" w:rsidR="0067237E" w:rsidRDefault="00000000">
            <w:r>
              <w:rPr>
                <w:sz w:val="16"/>
              </w:rPr>
              <w:t>Tech</w:t>
            </w:r>
          </w:p>
        </w:tc>
        <w:tc>
          <w:tcPr>
            <w:tcW w:w="1290" w:type="dxa"/>
          </w:tcPr>
          <w:p w14:paraId="5C6779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08B67E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24FC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11F480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6BF14F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2375DF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6CC67DD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6154DBD" w14:textId="77777777" w:rsidR="0067237E" w:rsidRDefault="00000000">
            <w:r>
              <w:rPr>
                <w:sz w:val="16"/>
              </w:rPr>
              <w:t>Energy</w:t>
            </w:r>
          </w:p>
        </w:tc>
        <w:tc>
          <w:tcPr>
            <w:tcW w:w="1290" w:type="dxa"/>
          </w:tcPr>
          <w:p w14:paraId="7A540C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05699C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3FAA83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0B74B2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1702C0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5F94DB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53AF545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D6CABF" w14:textId="77777777" w:rsidR="0067237E" w:rsidRDefault="00000000">
            <w:r>
              <w:rPr>
                <w:sz w:val="16"/>
              </w:rPr>
              <w:t>Industrials</w:t>
            </w:r>
          </w:p>
        </w:tc>
        <w:tc>
          <w:tcPr>
            <w:tcW w:w="1290" w:type="dxa"/>
          </w:tcPr>
          <w:p w14:paraId="6C2CBD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0B7C44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95A5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5A4604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B1DD6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52B70E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02FF414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444550" w14:textId="77777777" w:rsidR="0067237E" w:rsidRDefault="00000000">
            <w:r>
              <w:rPr>
                <w:sz w:val="16"/>
              </w:rPr>
              <w:t>Financials</w:t>
            </w:r>
          </w:p>
        </w:tc>
        <w:tc>
          <w:tcPr>
            <w:tcW w:w="1290" w:type="dxa"/>
          </w:tcPr>
          <w:p w14:paraId="3E23B3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7A9CB5A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68F0F9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F95AC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C052F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5DF7B5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2EA26B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77C9DD" w14:textId="77777777" w:rsidR="0067237E" w:rsidRDefault="00000000">
            <w:r>
              <w:rPr>
                <w:sz w:val="16"/>
              </w:rPr>
              <w:t>Utilities</w:t>
            </w:r>
          </w:p>
        </w:tc>
        <w:tc>
          <w:tcPr>
            <w:tcW w:w="1290" w:type="dxa"/>
          </w:tcPr>
          <w:p w14:paraId="2F87D5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92740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41F30E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47F4F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31E061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71DC61D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BFEC5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10F9BE" w14:textId="77777777" w:rsidR="0067237E" w:rsidRDefault="00000000">
            <w:r>
              <w:rPr>
                <w:sz w:val="16"/>
              </w:rPr>
              <w:t>Materials</w:t>
            </w:r>
          </w:p>
        </w:tc>
        <w:tc>
          <w:tcPr>
            <w:tcW w:w="1290" w:type="dxa"/>
          </w:tcPr>
          <w:p w14:paraId="2E49BC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5DD32E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9AB2C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06E67C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33B5C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2754D1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192E8D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7EBC625" w14:textId="77777777" w:rsidR="0067237E" w:rsidRDefault="00000000">
            <w:r>
              <w:rPr>
                <w:sz w:val="16"/>
              </w:rPr>
              <w:t>Consumer</w:t>
            </w:r>
          </w:p>
        </w:tc>
        <w:tc>
          <w:tcPr>
            <w:tcW w:w="1290" w:type="dxa"/>
          </w:tcPr>
          <w:p w14:paraId="2B1D63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16C67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56D4D5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3E0850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6004402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1E1EA8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73D2CC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9FBD452" w14:textId="77777777" w:rsidR="0067237E" w:rsidRDefault="00000000">
            <w:r>
              <w:rPr>
                <w:sz w:val="16"/>
              </w:rPr>
              <w:t>RealEstate</w:t>
            </w:r>
          </w:p>
        </w:tc>
        <w:tc>
          <w:tcPr>
            <w:tcW w:w="1290" w:type="dxa"/>
          </w:tcPr>
          <w:p w14:paraId="3D0D13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39A5607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18729B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7FB642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0E1DC4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270487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02FBEA9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907B49A" w14:textId="77777777" w:rsidR="0067237E" w:rsidRDefault="00000000">
            <w:r>
              <w:rPr>
                <w:sz w:val="16"/>
              </w:rPr>
              <w:t>Healthcare</w:t>
            </w:r>
          </w:p>
        </w:tc>
        <w:tc>
          <w:tcPr>
            <w:tcW w:w="1290" w:type="dxa"/>
          </w:tcPr>
          <w:p w14:paraId="37A879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555B18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C5BDF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17153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35630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3C9A35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0A26DD4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62B8D6" w14:textId="77777777" w:rsidR="0067237E" w:rsidRDefault="00000000">
            <w:r>
              <w:rPr>
                <w:sz w:val="16"/>
              </w:rPr>
              <w:t>Comm</w:t>
            </w:r>
          </w:p>
        </w:tc>
        <w:tc>
          <w:tcPr>
            <w:tcW w:w="1290" w:type="dxa"/>
          </w:tcPr>
          <w:p w14:paraId="07599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13D1B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6F7741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4D1297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5D5A1E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655508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10045C44" w14:textId="77777777" w:rsidR="0067237E" w:rsidRDefault="00000000">
      <w:r>
        <w:t>Mean correlations: +0.0885 same day (7 of 10 significant at 5%), -0.0127 next day (1 of 10), and +0.0408 the day before (2 of 10).</w:t>
      </w:r>
    </w:p>
    <w:p w14:paraId="12546443"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4A9723B9"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234251B1" w14:textId="77777777" w:rsidR="0067237E" w:rsidRDefault="00000000">
      <w:pPr>
        <w:pStyle w:val="21"/>
      </w:pPr>
      <w:bookmarkStart w:id="7" w:name="_Toc237383693"/>
      <w:r>
        <w:t>Is the signal there at a slower frequency?</w:t>
      </w:r>
      <w:bookmarkEnd w:id="7"/>
    </w:p>
    <w:p w14:paraId="4244B2D7"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608DBD24" w14:textId="2D3867E5" w:rsidR="0067237E" w:rsidRDefault="00000000">
      <w:pPr>
        <w:pStyle w:val="af7"/>
      </w:pPr>
      <w:r>
        <w:t xml:space="preserve">Table </w:t>
      </w:r>
      <w:fldSimple w:instr=" SEQ Table \* ARABIC ">
        <w:r>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B2846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89E0284" w14:textId="77777777" w:rsidR="0067237E" w:rsidRDefault="00000000">
            <w:r>
              <w:rPr>
                <w:sz w:val="16"/>
              </w:rPr>
              <w:t>horizon days</w:t>
            </w:r>
          </w:p>
        </w:tc>
        <w:tc>
          <w:tcPr>
            <w:tcW w:w="1290" w:type="dxa"/>
          </w:tcPr>
          <w:p w14:paraId="20D366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6901FA9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0BF693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0D78DA8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7065055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E8B15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542A75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38D9186" w14:textId="77777777" w:rsidR="0067237E" w:rsidRDefault="00000000">
            <w:r>
              <w:rPr>
                <w:sz w:val="16"/>
              </w:rPr>
              <w:t>1</w:t>
            </w:r>
          </w:p>
        </w:tc>
        <w:tc>
          <w:tcPr>
            <w:tcW w:w="1290" w:type="dxa"/>
          </w:tcPr>
          <w:p w14:paraId="091487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38E52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35F7ED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0351A5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6E541D8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BFE41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106BC7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BDA0A9A" w14:textId="77777777" w:rsidR="0067237E" w:rsidRDefault="00000000">
            <w:r>
              <w:rPr>
                <w:sz w:val="16"/>
              </w:rPr>
              <w:t>1</w:t>
            </w:r>
          </w:p>
        </w:tc>
        <w:tc>
          <w:tcPr>
            <w:tcW w:w="1290" w:type="dxa"/>
          </w:tcPr>
          <w:p w14:paraId="76D5B8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01B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34D18E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66656A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5BC6B0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70776F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4A750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A79F9F9" w14:textId="77777777" w:rsidR="0067237E" w:rsidRDefault="00000000">
            <w:r>
              <w:rPr>
                <w:sz w:val="16"/>
              </w:rPr>
              <w:t>5</w:t>
            </w:r>
          </w:p>
        </w:tc>
        <w:tc>
          <w:tcPr>
            <w:tcW w:w="1290" w:type="dxa"/>
          </w:tcPr>
          <w:p w14:paraId="6477BB3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605728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0AA804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6ACB93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1EEEBC6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7BDBA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90E19B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BFA6F5" w14:textId="77777777" w:rsidR="0067237E" w:rsidRDefault="00000000">
            <w:r>
              <w:rPr>
                <w:sz w:val="16"/>
              </w:rPr>
              <w:t>5</w:t>
            </w:r>
          </w:p>
        </w:tc>
        <w:tc>
          <w:tcPr>
            <w:tcW w:w="1290" w:type="dxa"/>
          </w:tcPr>
          <w:p w14:paraId="2074E5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FA12A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4D974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454F78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14D562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592B3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0FD11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CFCEEF9" w14:textId="77777777" w:rsidR="0067237E" w:rsidRDefault="00000000">
            <w:r>
              <w:rPr>
                <w:sz w:val="16"/>
              </w:rPr>
              <w:t>21</w:t>
            </w:r>
          </w:p>
        </w:tc>
        <w:tc>
          <w:tcPr>
            <w:tcW w:w="1290" w:type="dxa"/>
          </w:tcPr>
          <w:p w14:paraId="6E68A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3FA0AC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12010F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4DAC3A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635E37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307484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22BB4A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79CA63F" w14:textId="77777777" w:rsidR="0067237E" w:rsidRDefault="00000000">
            <w:r>
              <w:rPr>
                <w:sz w:val="16"/>
              </w:rPr>
              <w:lastRenderedPageBreak/>
              <w:t>21</w:t>
            </w:r>
          </w:p>
        </w:tc>
        <w:tc>
          <w:tcPr>
            <w:tcW w:w="1290" w:type="dxa"/>
          </w:tcPr>
          <w:p w14:paraId="1FA264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3F38F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21C24D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361F57E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6B7CB4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2A16A7A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DE4435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1BF0AFF" w14:textId="77777777" w:rsidR="0067237E" w:rsidRDefault="00000000">
            <w:r>
              <w:rPr>
                <w:sz w:val="16"/>
              </w:rPr>
              <w:t>63</w:t>
            </w:r>
          </w:p>
        </w:tc>
        <w:tc>
          <w:tcPr>
            <w:tcW w:w="1290" w:type="dxa"/>
          </w:tcPr>
          <w:p w14:paraId="39158A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0A6809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543A0B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51CF1B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11572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5853B2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D495DA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8F968A1" w14:textId="77777777" w:rsidR="0067237E" w:rsidRDefault="00000000">
            <w:r>
              <w:rPr>
                <w:sz w:val="16"/>
              </w:rPr>
              <w:t>63</w:t>
            </w:r>
          </w:p>
        </w:tc>
        <w:tc>
          <w:tcPr>
            <w:tcW w:w="1290" w:type="dxa"/>
          </w:tcPr>
          <w:p w14:paraId="732FCF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C38CB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79E0F1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45A0CA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4495D2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2AE8C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299ECC3" w14:textId="77777777" w:rsidR="0067237E" w:rsidRDefault="00000000">
      <w:r>
        <w:t>The correlation is negative at every horizon and its magnitude grows with it, from -0.0130 at one day to -0.1487 at 63 days, which is the pattern a slow effect would leave. Nothing else supports that reading. The number of independent observations collapses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3B8AAB5D"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51DCEC5F" w14:textId="77777777" w:rsidR="0067237E" w:rsidRDefault="00000000">
      <w:pPr>
        <w:pStyle w:val="1"/>
      </w:pPr>
      <w:bookmarkStart w:id="8" w:name="_Toc237383694"/>
      <w:r>
        <w:t>5. Extensions</w:t>
      </w:r>
      <w:bookmarkEnd w:id="8"/>
    </w:p>
    <w:p w14:paraId="2364CD55" w14:textId="77777777" w:rsidR="0067237E" w:rsidRDefault="00000000">
      <w:pPr>
        <w:pStyle w:val="21"/>
      </w:pPr>
      <w:bookmarkStart w:id="9" w:name="_Toc237383695"/>
      <w:r>
        <w:t>5.1 A finance lexicon for VADER</w:t>
      </w:r>
      <w:bookmarkEnd w:id="9"/>
    </w:p>
    <w:p w14:paraId="6D260108"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660270DD" w14:textId="77777777" w:rsidR="0067237E" w:rsidRDefault="00000000">
      <w:pPr>
        <w:jc w:val="center"/>
      </w:pPr>
      <w:r>
        <w:rPr>
          <w:noProof/>
        </w:rPr>
        <w:drawing>
          <wp:inline distT="0" distB="0" distL="0" distR="0" wp14:anchorId="24008072" wp14:editId="424C4D9C">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6B0A9C7" w14:textId="3D6296B5" w:rsidR="0067237E" w:rsidRDefault="00000000">
      <w:pPr>
        <w:pStyle w:val="af7"/>
      </w:pPr>
      <w:r>
        <w:t xml:space="preserve">Figure </w:t>
      </w:r>
      <w:fldSimple w:instr=" SEQ Figure \* ARABIC ">
        <w:r>
          <w:rPr>
            <w:noProof/>
          </w:rPr>
          <w:t>10</w:t>
        </w:r>
      </w:fldSimple>
      <w:r>
        <w:t>: Share of headlines scoring inside VADER's neutral band, before and after adding the finance terms.</w:t>
      </w:r>
    </w:p>
    <w:p w14:paraId="426DE274" w14:textId="77777777" w:rsidR="0067237E" w:rsidRDefault="00000000">
      <w:r>
        <w:t>The neutral share falls to 43.4% and 16.1% of headlines are rescored.</w:t>
      </w:r>
    </w:p>
    <w:p w14:paraId="0C954799" w14:textId="77777777" w:rsidR="0067237E" w:rsidRDefault="00000000">
      <w:r>
        <w:lastRenderedPageBreak/>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55E868AF"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5004F2F1" w14:textId="77777777" w:rsidR="0067237E" w:rsidRDefault="00000000">
      <w:pPr>
        <w:pStyle w:val="21"/>
      </w:pPr>
      <w:bookmarkStart w:id="10" w:name="_Toc237383696"/>
      <w:r>
        <w:t>5.2 A tilt that learns its own direction</w:t>
      </w:r>
      <w:bookmarkEnd w:id="10"/>
    </w:p>
    <w:p w14:paraId="68E8DA92"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4815F6C5" w14:textId="6F58999F" w:rsidR="0067237E" w:rsidRDefault="00000000">
      <w:pPr>
        <w:pStyle w:val="af7"/>
      </w:pPr>
      <w:r>
        <w:t xml:space="preserve">Table </w:t>
      </w:r>
      <w:fldSimple w:instr=" SEQ Table \* ARABIC ">
        <w:r>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5A060E9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DA8B458" w14:textId="77777777" w:rsidR="0067237E" w:rsidRDefault="00000000">
            <w:r>
              <w:rPr>
                <w:sz w:val="16"/>
              </w:rPr>
              <w:t>fund</w:t>
            </w:r>
          </w:p>
        </w:tc>
        <w:tc>
          <w:tcPr>
            <w:tcW w:w="1806" w:type="dxa"/>
          </w:tcPr>
          <w:p w14:paraId="1C1B40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C76FEC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5C18461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2A45FCF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30ACBB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56B34B7" w14:textId="77777777" w:rsidR="0067237E" w:rsidRDefault="00000000">
            <w:r>
              <w:rPr>
                <w:sz w:val="16"/>
              </w:rPr>
              <w:t>Equity Minimum-Variance</w:t>
            </w:r>
          </w:p>
        </w:tc>
        <w:tc>
          <w:tcPr>
            <w:tcW w:w="1806" w:type="dxa"/>
          </w:tcPr>
          <w:p w14:paraId="6CD213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523905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708CEAE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691DA0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1537B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DB4DBBC" w14:textId="77777777" w:rsidR="0067237E" w:rsidRDefault="00000000">
            <w:r>
              <w:rPr>
                <w:sz w:val="16"/>
              </w:rPr>
              <w:t>Equity Minimum-Variance</w:t>
            </w:r>
          </w:p>
        </w:tc>
        <w:tc>
          <w:tcPr>
            <w:tcW w:w="1806" w:type="dxa"/>
          </w:tcPr>
          <w:p w14:paraId="4E5E9A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E60E7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06ACF8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4B816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537A36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56BE8DB" w14:textId="77777777" w:rsidR="0067237E" w:rsidRDefault="00000000">
            <w:r>
              <w:rPr>
                <w:sz w:val="16"/>
              </w:rPr>
              <w:t>Equity Minimum-Variance</w:t>
            </w:r>
          </w:p>
        </w:tc>
        <w:tc>
          <w:tcPr>
            <w:tcW w:w="1806" w:type="dxa"/>
          </w:tcPr>
          <w:p w14:paraId="67D0D6F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51D4F2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717131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E80EF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2900EC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27E04C4" w14:textId="77777777" w:rsidR="0067237E" w:rsidRDefault="00000000">
            <w:r>
              <w:rPr>
                <w:sz w:val="16"/>
              </w:rPr>
              <w:t>Equity Minimum-Variance</w:t>
            </w:r>
          </w:p>
        </w:tc>
        <w:tc>
          <w:tcPr>
            <w:tcW w:w="1806" w:type="dxa"/>
          </w:tcPr>
          <w:p w14:paraId="07899C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547ED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736089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598A4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0EC438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37DBCC6" w14:textId="77777777" w:rsidR="0067237E" w:rsidRDefault="00000000">
            <w:r>
              <w:rPr>
                <w:sz w:val="16"/>
              </w:rPr>
              <w:t>Equity Minimum-Variance</w:t>
            </w:r>
          </w:p>
        </w:tc>
        <w:tc>
          <w:tcPr>
            <w:tcW w:w="1806" w:type="dxa"/>
          </w:tcPr>
          <w:p w14:paraId="29BFBC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BA929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639F64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74EBA2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6D6F2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8A51538" w14:textId="77777777" w:rsidR="0067237E" w:rsidRDefault="00000000">
            <w:r>
              <w:rPr>
                <w:sz w:val="16"/>
              </w:rPr>
              <w:t>Equity Maximum-Sharpe</w:t>
            </w:r>
          </w:p>
        </w:tc>
        <w:tc>
          <w:tcPr>
            <w:tcW w:w="1806" w:type="dxa"/>
          </w:tcPr>
          <w:p w14:paraId="102BC82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7AAB6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1CAC7F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209E2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44708C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C2FDB3D" w14:textId="77777777" w:rsidR="0067237E" w:rsidRDefault="00000000">
            <w:r>
              <w:rPr>
                <w:sz w:val="16"/>
              </w:rPr>
              <w:t>Equity Maximum-Sharpe</w:t>
            </w:r>
          </w:p>
        </w:tc>
        <w:tc>
          <w:tcPr>
            <w:tcW w:w="1806" w:type="dxa"/>
          </w:tcPr>
          <w:p w14:paraId="32FA94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521F7D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1D279E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140950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214CE47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CCEA0A6" w14:textId="77777777" w:rsidR="0067237E" w:rsidRDefault="00000000">
            <w:r>
              <w:rPr>
                <w:sz w:val="16"/>
              </w:rPr>
              <w:t>Equity Maximum-Sharpe</w:t>
            </w:r>
          </w:p>
        </w:tc>
        <w:tc>
          <w:tcPr>
            <w:tcW w:w="1806" w:type="dxa"/>
          </w:tcPr>
          <w:p w14:paraId="0DF5D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2C204AB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6DDF35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7090D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2254B53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DE4F814" w14:textId="77777777" w:rsidR="0067237E" w:rsidRDefault="00000000">
            <w:r>
              <w:rPr>
                <w:sz w:val="16"/>
              </w:rPr>
              <w:t>Equity Maximum-Sharpe</w:t>
            </w:r>
          </w:p>
        </w:tc>
        <w:tc>
          <w:tcPr>
            <w:tcW w:w="1806" w:type="dxa"/>
          </w:tcPr>
          <w:p w14:paraId="740DEB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550174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33EBB2D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7437F8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F9A425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6B91690" w14:textId="77777777" w:rsidR="0067237E" w:rsidRDefault="00000000">
            <w:r>
              <w:rPr>
                <w:sz w:val="16"/>
              </w:rPr>
              <w:t>Equity Maximum-Sharpe</w:t>
            </w:r>
          </w:p>
        </w:tc>
        <w:tc>
          <w:tcPr>
            <w:tcW w:w="1806" w:type="dxa"/>
          </w:tcPr>
          <w:p w14:paraId="25A357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065CA9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BE5AE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256F08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4BEF5407" w14:textId="77777777" w:rsidR="0067237E" w:rsidRDefault="00000000">
      <w:pPr>
        <w:jc w:val="center"/>
      </w:pPr>
      <w:r>
        <w:rPr>
          <w:noProof/>
        </w:rPr>
        <w:lastRenderedPageBreak/>
        <w:drawing>
          <wp:inline distT="0" distB="0" distL="0" distR="0" wp14:anchorId="044A3C5B" wp14:editId="2EFA2B01">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37775D45" w14:textId="3ABDD306" w:rsidR="0067237E" w:rsidRDefault="00000000">
      <w:pPr>
        <w:pStyle w:val="af7"/>
      </w:pPr>
      <w:r>
        <w:t xml:space="preserve">Figure </w:t>
      </w:r>
      <w:fldSimple w:instr=" SEQ Figure \* ARABIC ">
        <w:r>
          <w:rPr>
            <w:noProof/>
          </w:rPr>
          <w:t>11</w:t>
        </w:r>
      </w:fldSimple>
      <w:r>
        <w:t>: Sharpe ratio of each fusion variant against the base fund, gross and net of transaction costs.</w:t>
      </w:r>
    </w:p>
    <w:p w14:paraId="7941F9E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731D0AF3" w14:textId="70CE10D1" w:rsidR="0067237E" w:rsidRDefault="00000000">
      <w:pPr>
        <w:pStyle w:val="af7"/>
      </w:pPr>
      <w:r>
        <w:t xml:space="preserve">Table </w:t>
      </w:r>
      <w:fldSimple w:instr=" SEQ Table \* ARABIC ">
        <w:r>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5DC3DB1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C3A0C08" w14:textId="77777777" w:rsidR="0067237E" w:rsidRDefault="00000000">
            <w:r>
              <w:rPr>
                <w:sz w:val="16"/>
              </w:rPr>
              <w:t>fund</w:t>
            </w:r>
          </w:p>
        </w:tc>
        <w:tc>
          <w:tcPr>
            <w:tcW w:w="1290" w:type="dxa"/>
          </w:tcPr>
          <w:p w14:paraId="19EC5D3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1BC08CF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44ED1AA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5725401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4B191C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1D72F23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7B9547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B9AFEB" w14:textId="77777777" w:rsidR="0067237E" w:rsidRDefault="00000000">
            <w:r>
              <w:rPr>
                <w:sz w:val="16"/>
              </w:rPr>
              <w:t>Equity Minimum-Variance</w:t>
            </w:r>
          </w:p>
        </w:tc>
        <w:tc>
          <w:tcPr>
            <w:tcW w:w="1290" w:type="dxa"/>
          </w:tcPr>
          <w:p w14:paraId="179E8F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38FAE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0B8C03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1564C9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68395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111206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795D5F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D93AE8" w14:textId="77777777" w:rsidR="0067237E" w:rsidRDefault="00000000">
            <w:r>
              <w:rPr>
                <w:sz w:val="16"/>
              </w:rPr>
              <w:t>Equity Minimum-Variance</w:t>
            </w:r>
          </w:p>
        </w:tc>
        <w:tc>
          <w:tcPr>
            <w:tcW w:w="1290" w:type="dxa"/>
          </w:tcPr>
          <w:p w14:paraId="30B5A5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43A5B8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AEA3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11BBA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673178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6FD8B4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91D154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A3DF9A2" w14:textId="77777777" w:rsidR="0067237E" w:rsidRDefault="00000000">
            <w:r>
              <w:rPr>
                <w:sz w:val="16"/>
              </w:rPr>
              <w:t>Equity Maximum-Sharpe</w:t>
            </w:r>
          </w:p>
        </w:tc>
        <w:tc>
          <w:tcPr>
            <w:tcW w:w="1290" w:type="dxa"/>
          </w:tcPr>
          <w:p w14:paraId="369EAF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0C6EC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6A5C49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18C26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28AAB3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37BD02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A543C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BC5D129" w14:textId="77777777" w:rsidR="0067237E" w:rsidRDefault="00000000">
            <w:r>
              <w:rPr>
                <w:sz w:val="16"/>
              </w:rPr>
              <w:t>Equity Maximum-Sharpe</w:t>
            </w:r>
          </w:p>
        </w:tc>
        <w:tc>
          <w:tcPr>
            <w:tcW w:w="1290" w:type="dxa"/>
          </w:tcPr>
          <w:p w14:paraId="0EF5C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5768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E4473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13009B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19570BB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3B6986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6C968D5A"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66B99633"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78C420EE"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w:t>
        <w:lastRenderedPageBreak/>
        <w:t>spots rather than a property of the news, which is a reason to treat its advantage cautiously even before the confidence intervals are considered.</w:t>
      </w:r>
    </w:p>
    <w:p w14:paraId="173034B6" w14:textId="77777777" w:rsidR="0067237E" w:rsidRDefault="00000000">
      <w:pPr>
        <w:pStyle w:val="21"/>
      </w:pPr>
      <w:bookmarkStart w:id="11" w:name="_Toc237383697"/>
      <w:r>
        <w:t>5.3 Was the winner found or fitted?</w:t>
      </w:r>
      <w:bookmarkEnd w:id="11"/>
    </w:p>
    <w:p w14:paraId="2F62F353"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021D7C64" w14:textId="77777777" w:rsidR="0067237E" w:rsidRDefault="00000000">
      <w:pPr>
        <w:jc w:val="center"/>
      </w:pPr>
      <w:r>
        <w:rPr>
          <w:noProof/>
        </w:rPr>
        <w:drawing>
          <wp:inline distT="0" distB="0" distL="0" distR="0" wp14:anchorId="4E5084D4" wp14:editId="02048D17">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4039B583" w14:textId="07084F25" w:rsidR="0067237E" w:rsidRDefault="00000000">
      <w:pPr>
        <w:pStyle w:val="af7"/>
      </w:pPr>
      <w:r>
        <w:t xml:space="preserve">Figure </w:t>
      </w:r>
      <w:fldSimple w:instr=" SEQ Figure \* ARABIC ">
        <w:r>
          <w:rPr>
            <w:noProof/>
          </w:rPr>
          <w:t>12</w:t>
        </w:r>
      </w:fldSimple>
      <w:r>
        <w:t>: Sharpe ratio in the 2021-2022 tuning window against the untouched 2023 holdout, for each fusion variant.</w:t>
      </w:r>
    </w:p>
    <w:p w14:paraId="00F52A61" w14:textId="678CBCF3" w:rsidR="0067237E" w:rsidRDefault="00000000">
      <w:pPr>
        <w:pStyle w:val="af7"/>
      </w:pPr>
      <w:r>
        <w:t xml:space="preserve">Table </w:t>
      </w:r>
      <w:fldSimple w:instr=" SEQ Table \* ARABIC ">
        <w:r>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7EBA951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8676FCD" w14:textId="77777777" w:rsidR="0067237E" w:rsidRDefault="00000000">
            <w:r>
              <w:rPr>
                <w:sz w:val="16"/>
              </w:rPr>
              <w:t>fund</w:t>
            </w:r>
          </w:p>
        </w:tc>
        <w:tc>
          <w:tcPr>
            <w:tcW w:w="1806" w:type="dxa"/>
          </w:tcPr>
          <w:p w14:paraId="1338FDE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0C70E0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616C21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0C3C41F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46EC5E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6F570D6" w14:textId="77777777" w:rsidR="0067237E" w:rsidRDefault="00000000">
            <w:r>
              <w:rPr>
                <w:sz w:val="16"/>
              </w:rPr>
              <w:t>Equity Minimum-Variance</w:t>
            </w:r>
          </w:p>
        </w:tc>
        <w:tc>
          <w:tcPr>
            <w:tcW w:w="1806" w:type="dxa"/>
          </w:tcPr>
          <w:p w14:paraId="20F69C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FDDF34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70C9A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03ED6FF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34A4063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4FC8CD2" w14:textId="77777777" w:rsidR="0067237E" w:rsidRDefault="00000000">
            <w:r>
              <w:rPr>
                <w:sz w:val="16"/>
              </w:rPr>
              <w:t>Equity Minimum-Variance</w:t>
            </w:r>
          </w:p>
        </w:tc>
        <w:tc>
          <w:tcPr>
            <w:tcW w:w="1806" w:type="dxa"/>
          </w:tcPr>
          <w:p w14:paraId="17B34B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46A06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0292FA9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5BA3C4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078E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8FCD11" w14:textId="77777777" w:rsidR="0067237E" w:rsidRDefault="00000000">
            <w:r>
              <w:rPr>
                <w:sz w:val="16"/>
              </w:rPr>
              <w:t>Equity Minimum-Variance</w:t>
            </w:r>
          </w:p>
        </w:tc>
        <w:tc>
          <w:tcPr>
            <w:tcW w:w="1806" w:type="dxa"/>
          </w:tcPr>
          <w:p w14:paraId="0EBAD18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3005056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4BAD26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CB252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0D1B4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CF4508C" w14:textId="77777777" w:rsidR="0067237E" w:rsidRDefault="00000000">
            <w:r>
              <w:rPr>
                <w:sz w:val="16"/>
              </w:rPr>
              <w:t>Equity Minimum-Variance</w:t>
            </w:r>
          </w:p>
        </w:tc>
        <w:tc>
          <w:tcPr>
            <w:tcW w:w="1806" w:type="dxa"/>
          </w:tcPr>
          <w:p w14:paraId="73C2F3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9111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40D1B24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47B11D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40B0CE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8051565" w14:textId="77777777" w:rsidR="0067237E" w:rsidRDefault="00000000">
            <w:r>
              <w:rPr>
                <w:sz w:val="16"/>
              </w:rPr>
              <w:t>Equity Minimum-Variance</w:t>
            </w:r>
          </w:p>
        </w:tc>
        <w:tc>
          <w:tcPr>
            <w:tcW w:w="1806" w:type="dxa"/>
          </w:tcPr>
          <w:p w14:paraId="361287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FD9A2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5B4061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4FDF32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FD810B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9F433AE" w14:textId="77777777" w:rsidR="0067237E" w:rsidRDefault="00000000">
            <w:r>
              <w:rPr>
                <w:sz w:val="16"/>
              </w:rPr>
              <w:t>Equity Maximum-Sharpe</w:t>
            </w:r>
          </w:p>
        </w:tc>
        <w:tc>
          <w:tcPr>
            <w:tcW w:w="1806" w:type="dxa"/>
          </w:tcPr>
          <w:p w14:paraId="086F8C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3A759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4D355A1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12CEBA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3137B5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F05ED42" w14:textId="77777777" w:rsidR="0067237E" w:rsidRDefault="00000000">
            <w:r>
              <w:rPr>
                <w:sz w:val="16"/>
              </w:rPr>
              <w:t>Equity Maximum-Sharpe</w:t>
            </w:r>
          </w:p>
        </w:tc>
        <w:tc>
          <w:tcPr>
            <w:tcW w:w="1806" w:type="dxa"/>
          </w:tcPr>
          <w:p w14:paraId="616BE0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289F1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0F60C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A3A7F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3D7EB8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12EC070" w14:textId="77777777" w:rsidR="0067237E" w:rsidRDefault="00000000">
            <w:r>
              <w:rPr>
                <w:sz w:val="16"/>
              </w:rPr>
              <w:t>Equity Maximum-Sharpe</w:t>
            </w:r>
          </w:p>
        </w:tc>
        <w:tc>
          <w:tcPr>
            <w:tcW w:w="1806" w:type="dxa"/>
          </w:tcPr>
          <w:p w14:paraId="39996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CE700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551A30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68D4B9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A417E8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7312C6" w14:textId="77777777" w:rsidR="0067237E" w:rsidRDefault="00000000">
            <w:r>
              <w:rPr>
                <w:sz w:val="16"/>
              </w:rPr>
              <w:t>Equity Maximum-Sharpe</w:t>
            </w:r>
          </w:p>
        </w:tc>
        <w:tc>
          <w:tcPr>
            <w:tcW w:w="1806" w:type="dxa"/>
          </w:tcPr>
          <w:p w14:paraId="52A41E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D2E51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74E708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5E3389F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40F4DF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DA11103" w14:textId="77777777" w:rsidR="0067237E" w:rsidRDefault="00000000">
            <w:r>
              <w:rPr>
                <w:sz w:val="16"/>
              </w:rPr>
              <w:t>Equity Maximum-Sharpe</w:t>
            </w:r>
          </w:p>
        </w:tc>
        <w:tc>
          <w:tcPr>
            <w:tcW w:w="1806" w:type="dxa"/>
          </w:tcPr>
          <w:p w14:paraId="67166A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62004B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4067C9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68A103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5A2FC79D"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609B0AB" w14:textId="77777777" w:rsidR="0067237E" w:rsidRDefault="00000000">
      <w:r>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6CCB79C4" w14:textId="77777777" w:rsidR="0067237E" w:rsidRDefault="00000000">
      <w:pPr>
        <w:pStyle w:val="21"/>
      </w:pPr>
      <w:bookmarkStart w:id="12" w:name="_Toc237383698"/>
      <w:r>
        <w:t>5.4 Does correcting the covariance fix the result?</w:t>
      </w:r>
      <w:bookmarkEnd w:id="12"/>
    </w:p>
    <w:p w14:paraId="550B58C0"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2F58A40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7699780E"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789FB748" w14:textId="137F23EA" w:rsidR="0067237E" w:rsidRDefault="00000000">
      <w:pPr>
        <w:pStyle w:val="af7"/>
      </w:pPr>
      <w:r>
        <w:t xml:space="preserve">Table </w:t>
      </w:r>
      <w:fldSimple w:instr=" SEQ Table \* ARABIC ">
        <w:r>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19313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472B49" w14:textId="77777777" w:rsidR="0067237E" w:rsidRDefault="00000000">
            <w:r>
              <w:rPr>
                <w:sz w:val="16"/>
              </w:rPr>
              <w:t>family</w:t>
            </w:r>
          </w:p>
        </w:tc>
        <w:tc>
          <w:tcPr>
            <w:tcW w:w="1505" w:type="dxa"/>
          </w:tcPr>
          <w:p w14:paraId="1F5459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01EDDC0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1D1ED9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43937E9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C6CB61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78C64D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66ED4D" w14:textId="77777777" w:rsidR="0067237E" w:rsidRDefault="00000000">
            <w:r>
              <w:rPr>
                <w:sz w:val="16"/>
              </w:rPr>
              <w:t>Equity</w:t>
            </w:r>
          </w:p>
        </w:tc>
        <w:tc>
          <w:tcPr>
            <w:tcW w:w="1505" w:type="dxa"/>
          </w:tcPr>
          <w:p w14:paraId="01AA7C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48309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061C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F7442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1A2E2E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5AAEB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A946DF0" w14:textId="77777777" w:rsidR="0067237E" w:rsidRDefault="00000000">
            <w:r>
              <w:rPr>
                <w:sz w:val="16"/>
              </w:rPr>
              <w:t>Equity</w:t>
            </w:r>
          </w:p>
        </w:tc>
        <w:tc>
          <w:tcPr>
            <w:tcW w:w="1505" w:type="dxa"/>
          </w:tcPr>
          <w:p w14:paraId="5B4A8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4C072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7606BD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B916C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50422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65918CD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1A8DB" w14:textId="77777777" w:rsidR="0067237E" w:rsidRDefault="00000000">
            <w:r>
              <w:rPr>
                <w:sz w:val="16"/>
              </w:rPr>
              <w:t>Equity</w:t>
            </w:r>
          </w:p>
        </w:tc>
        <w:tc>
          <w:tcPr>
            <w:tcW w:w="1505" w:type="dxa"/>
          </w:tcPr>
          <w:p w14:paraId="7DF7D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290AD8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01A87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4D8A9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6EC62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7FFA26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BD5DF37" w14:textId="77777777" w:rsidR="0067237E" w:rsidRDefault="00000000">
            <w:r>
              <w:rPr>
                <w:sz w:val="16"/>
              </w:rPr>
              <w:t>Equity</w:t>
            </w:r>
          </w:p>
        </w:tc>
        <w:tc>
          <w:tcPr>
            <w:tcW w:w="1505" w:type="dxa"/>
          </w:tcPr>
          <w:p w14:paraId="76E10E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2E8F1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91BE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B3EBF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413DEE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4D681C9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A14405" w14:textId="77777777" w:rsidR="0067237E" w:rsidRDefault="00000000">
            <w:r>
              <w:rPr>
                <w:sz w:val="16"/>
              </w:rPr>
              <w:t>Equity</w:t>
            </w:r>
          </w:p>
        </w:tc>
        <w:tc>
          <w:tcPr>
            <w:tcW w:w="1505" w:type="dxa"/>
          </w:tcPr>
          <w:p w14:paraId="57BB4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703BE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5B737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10E014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7F8FDE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2BD4CB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1D9550" w14:textId="77777777" w:rsidR="0067237E" w:rsidRDefault="00000000">
            <w:r>
              <w:rPr>
                <w:sz w:val="16"/>
              </w:rPr>
              <w:t>Equity</w:t>
            </w:r>
          </w:p>
        </w:tc>
        <w:tc>
          <w:tcPr>
            <w:tcW w:w="1505" w:type="dxa"/>
          </w:tcPr>
          <w:p w14:paraId="3FF5EA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82BE1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689DE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1217D6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37895D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06F7363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D9B11DA" w14:textId="77777777" w:rsidR="0067237E" w:rsidRDefault="00000000">
            <w:r>
              <w:rPr>
                <w:sz w:val="16"/>
              </w:rPr>
              <w:t>Combined</w:t>
            </w:r>
          </w:p>
        </w:tc>
        <w:tc>
          <w:tcPr>
            <w:tcW w:w="1505" w:type="dxa"/>
          </w:tcPr>
          <w:p w14:paraId="610889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1F871B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1D2EF6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2DB04F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5FE59E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1715E3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E86719" w14:textId="77777777" w:rsidR="0067237E" w:rsidRDefault="00000000">
            <w:r>
              <w:rPr>
                <w:sz w:val="16"/>
              </w:rPr>
              <w:t>Combined</w:t>
            </w:r>
          </w:p>
        </w:tc>
        <w:tc>
          <w:tcPr>
            <w:tcW w:w="1505" w:type="dxa"/>
          </w:tcPr>
          <w:p w14:paraId="72C818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017302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3423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4170980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78652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25FC144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C8DB37" w14:textId="77777777" w:rsidR="0067237E" w:rsidRDefault="00000000">
            <w:r>
              <w:rPr>
                <w:sz w:val="16"/>
              </w:rPr>
              <w:t>Combined</w:t>
            </w:r>
          </w:p>
        </w:tc>
        <w:tc>
          <w:tcPr>
            <w:tcW w:w="1505" w:type="dxa"/>
          </w:tcPr>
          <w:p w14:paraId="5D8EB2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4654A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83507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6563DC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430806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1D16D4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A34A13" w14:textId="77777777" w:rsidR="0067237E" w:rsidRDefault="00000000">
            <w:r>
              <w:rPr>
                <w:sz w:val="16"/>
              </w:rPr>
              <w:t>Combined</w:t>
            </w:r>
          </w:p>
        </w:tc>
        <w:tc>
          <w:tcPr>
            <w:tcW w:w="1505" w:type="dxa"/>
          </w:tcPr>
          <w:p w14:paraId="5D5DA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6D5069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0FE15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6E788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21C4FC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552642B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FD86ADF" w14:textId="77777777" w:rsidR="0067237E" w:rsidRDefault="00000000">
            <w:r>
              <w:rPr>
                <w:sz w:val="16"/>
              </w:rPr>
              <w:t>Combined</w:t>
            </w:r>
          </w:p>
        </w:tc>
        <w:tc>
          <w:tcPr>
            <w:tcW w:w="1505" w:type="dxa"/>
          </w:tcPr>
          <w:p w14:paraId="7C88B0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22E8D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58B65C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670C11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5505A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00C2350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D9E582" w14:textId="77777777" w:rsidR="0067237E" w:rsidRDefault="00000000">
            <w:r>
              <w:rPr>
                <w:sz w:val="16"/>
              </w:rPr>
              <w:t>Combined</w:t>
            </w:r>
          </w:p>
        </w:tc>
        <w:tc>
          <w:tcPr>
            <w:tcW w:w="1505" w:type="dxa"/>
          </w:tcPr>
          <w:p w14:paraId="3D4678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37E43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FAD7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B282C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1F3CF6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2983EB3E" w14:textId="77777777" w:rsidR="0067237E" w:rsidRDefault="00000000">
      <w:pPr>
        <w:pStyle w:val="1"/>
      </w:pPr>
      <w:bookmarkStart w:id="14" w:name="_Toc237383700"/>
      <w:r>
        <w:t>6. The app and the investor journey</w:t>
      </w:r>
      <w:bookmarkEnd w:id="14"/>
    </w:p>
    <w:p w14:paraId="44E461F2"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088E5224"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56F1DEA8" w14:textId="77777777" w:rsidR="0067237E" w:rsidRDefault="00000000">
      <w:r>
        <w:t>The target user is a working professional or early-career investor with savings, no time, and no intention of reading a covariance matrix. The journey is built around the decision that user actually makes, which is not which stock to buy but how much risk to carry. They compare twelve funds and see that the crypto funds returned most and fell furthest; they open a fact sheet for the four numbers a fund provider publishes, the growth line, the drawdown and the holdings; and they set an allocation with sliders and watch the blend update, which is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14:paraId="17F7B9FC" w14:textId="77777777" w:rsidR="0067237E" w:rsidRDefault="00000000">
      <w:r>
        <w:t>The business model is a management fee on assets, shown in the allocation tab so the user sees what the product costs.</w:t>
      </w:r>
    </w:p>
    <w:p w14:paraId="15A6C20E"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396F4DD5" w14:textId="77777777" w:rsidR="0067237E" w:rsidRDefault="00000000">
      <w:pPr>
        <w:pStyle w:val="1"/>
      </w:pPr>
      <w:bookmarkStart w:id="15" w:name="_Toc237383701"/>
      <w:r>
        <w:t>7. Critical reflection and recommendations</w:t>
      </w:r>
      <w:bookmarkEnd w:id="15"/>
    </w:p>
    <w:p w14:paraId="7E09A770" w14:textId="77777777" w:rsidR="0067237E" w:rsidRDefault="00000000">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14:paraId="53696354" w14:textId="77777777" w:rsidR="0067237E" w:rsidRDefault="00000000">
      <w:r>
        <w:t xml:space="preserve">What did not work was the sentiment fusion, and the interesting part is why. The index itself is sound: it moves with same-day returns, its extremes line up with the events a reader would name, and extending the lexicon makes it measurably more faithful. It simply has no predictive </w:t>
        <w:lastRenderedPageBreak/>
        <w:t>content at the horizon a monthly-rebalanced fund can trade, and no amount of better text processing changes that. The adaptive tilt recovers the loss, but its advantage is not statistically established and part of it traces to VADER's blind spots rather than to the news.</w:t>
      </w:r>
    </w:p>
    <w:p w14:paraId="0D148016" w14:textId="77777777" w:rsidR="0067237E" w:rsidRDefault="00000000">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14:paraId="6682750D" w14:textId="77777777" w:rsidR="0067237E" w:rsidRDefault="00000000">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14:paraId="35D1623E" w14:textId="77777777" w:rsidR="0067237E" w:rsidRDefault="00000000">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14:paraId="3CB2BB4A" w14:textId="77777777" w:rsidR="0067237E" w:rsidRDefault="00000000">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14:paraId="2FC7ECC3" w14:textId="77777777" w:rsidR="0067237E" w:rsidRDefault="00000000">
      <w:pPr>
        <w:pStyle w:val="1"/>
      </w:pPr>
      <w:bookmarkStart w:id="16" w:name="_Toc237383702"/>
      <w:r>
        <w:t>References</w:t>
      </w:r>
      <w:bookmarkEnd w:id="16"/>
    </w:p>
    <w:p>
      <w:pPr>
        <w:spacing w:after="120"/>
        <w:ind w:left="567" w:hanging="567"/>
      </w:pPr>
      <w:r>
        <w:t xml:space="preserve">Bailey, DH &amp; Lopez de Prado, M 2014, 'The deflated Sharpe ratio: correcting for selection bias, backtest overfitting, and non-normality', </w:t>
      </w:r>
      <w:r>
        <w:rPr>
          <w:i/>
        </w:rPr>
        <w:t xml:space="preserve">The Journal of Portfolio Management</w:t>
      </w:r>
      <w:r>
        <w:t xml:space="preserve">, vol. 40, no. 5, pp. 94-107.</w:t>
      </w:r>
    </w:p>
    <w:p>
      <w:pPr>
        <w:spacing w:after="120"/>
        <w:ind w:left="567" w:hanging="567"/>
      </w:pPr>
      <w:r>
        <w:t xml:space="preserve">Boudoukh, J, Richardson, M &amp; Whitelaw, RF 2008, 'The myth of long-horizon predictability', </w:t>
      </w:r>
      <w:r>
        <w:rPr>
          <w:i/>
        </w:rPr>
        <w:t xml:space="preserve">The Review of Financial Studies</w:t>
      </w:r>
      <w:r>
        <w:t xml:space="preserve">, vol. 21, no. 4, pp. 1577-1605.</w:t>
      </w:r>
    </w:p>
    <w:p>
      <w:pPr>
        <w:spacing w:after="120"/>
        <w:ind w:left="567" w:hanging="567"/>
      </w:pPr>
      <w:r>
        <w:t xml:space="preserve">Chopra, VK &amp; Ziemba, WT 1993, 'The effect of errors in means, variances, and covariances on optimal portfolio choice', </w:t>
      </w:r>
      <w:r>
        <w:rPr>
          <w:i/>
        </w:rPr>
        <w:t xml:space="preserve">The Journal of Portfolio Management</w:t>
      </w:r>
      <w:r>
        <w:t xml:space="preserve">, vol. 19, no. 2, pp. 6-11.</w:t>
      </w:r>
    </w:p>
    <w:p>
      <w:pPr>
        <w:spacing w:after="120"/>
        <w:ind w:left="567" w:hanging="567"/>
      </w:pPr>
      <w:r>
        <w:t xml:space="preserve">Da, Z, Engelberg, J &amp; Gao, P 2015, 'The sum of all FEARS investor sentiment and asset prices', </w:t>
      </w:r>
      <w:r>
        <w:rPr>
          <w:i/>
        </w:rPr>
        <w:t xml:space="preserve">The Review of Financial Studies</w:t>
      </w:r>
      <w:r>
        <w:t xml:space="preserve">, vol. 28, no. 1, pp. 1-32.</w:t>
      </w:r>
    </w:p>
    <w:p>
      <w:pPr>
        <w:spacing w:after="120"/>
        <w:ind w:left="567" w:hanging="567"/>
      </w:pPr>
      <w:r>
        <w:t xml:space="preserve">DeMiguel, V, Garlappi, L &amp; Uppal, R 2009, 'Optimal versus naive diversification: how inefficient is the 1/N portfolio strategy?', </w:t>
      </w:r>
      <w:r>
        <w:rPr>
          <w:i/>
        </w:rPr>
        <w:t xml:space="preserve">The Review of Financial Studies</w:t>
      </w:r>
      <w:r>
        <w:t xml:space="preserve">, vol. 22, no. 5, pp. 1915-1953.</w:t>
      </w:r>
    </w:p>
    <w:p>
      <w:pPr>
        <w:spacing w:after="120"/>
        <w:ind w:left="567" w:hanging="567"/>
      </w:pPr>
      <w:r>
        <w:t xml:space="preserve">Fama, EF 1970, 'Efficient capital markets: a review of theory and empirical work', </w:t>
      </w:r>
      <w:r>
        <w:rPr>
          <w:i/>
        </w:rPr>
        <w:t xml:space="preserve">The Journal of Finance</w:t>
      </w:r>
      <w:r>
        <w:t xml:space="preserve">, vol. 25, no. 2, pp. 383-417.</w:t>
      </w:r>
    </w:p>
    <w:p>
      <w:pPr>
        <w:spacing w:after="120"/>
        <w:ind w:left="567" w:hanging="567"/>
      </w:pPr>
      <w:r>
        <w:t xml:space="preserve">Harvey, CR, Liu, Y &amp; Zhu, H 2016, '... and the cross-section of expected returns', </w:t>
      </w:r>
      <w:r>
        <w:rPr>
          <w:i/>
        </w:rPr>
        <w:t xml:space="preserve">The Review of Financial Studies</w:t>
      </w:r>
      <w:r>
        <w:t xml:space="preserve">, vol. 29, no. 1, pp. 5-68.</w:t>
      </w:r>
    </w:p>
    <w:p>
      <w:pPr>
        <w:spacing w:after="120"/>
        <w:ind w:left="567" w:hanging="567"/>
      </w:pPr>
      <w:r>
        <w:t xml:space="preserve">Hutto, CJ &amp; Gilbert, E 2014, 'VADER: a parsimonious rule-based model for sentiment analysis of social media text', </w:t>
      </w:r>
      <w:r>
        <w:rPr>
          <w:i/>
        </w:rPr>
        <w:t xml:space="preserve">Proceedings of the Eighth International AAAI Conference on Weblogs and Social Media</w:t>
      </w:r>
      <w:r>
        <w:t xml:space="preserve">, Ann Arbor, Michigan, pp. 216-225.</w:t>
      </w:r>
    </w:p>
    <w:p>
      <w:pPr>
        <w:spacing w:after="120"/>
        <w:ind w:left="567" w:hanging="567"/>
      </w:pPr>
      <w:r>
        <w:t xml:space="preserve">Jagannathan, R &amp; Ma, T 2003, 'Risk reduction in large portfolios: why imposing the wrong constraints helps', </w:t>
      </w:r>
      <w:r>
        <w:rPr>
          <w:i/>
        </w:rPr>
        <w:t xml:space="preserve">The Journal of Finance</w:t>
      </w:r>
      <w:r>
        <w:t xml:space="preserve">, vol. 58, no. 4, pp. 1651-1683.</w:t>
      </w:r>
    </w:p>
    <w:p>
      <w:pPr>
        <w:spacing w:after="120"/>
        <w:ind w:left="567" w:hanging="567"/>
      </w:pPr>
      <w:r>
        <w:t xml:space="preserve">Ledoit, O &amp; Wolf, M 2004, 'Honey, I shrunk the sample covariance matrix', </w:t>
      </w:r>
      <w:r>
        <w:rPr>
          <w:i/>
        </w:rPr>
        <w:t xml:space="preserve">The Journal of Portfolio Management</w:t>
      </w:r>
      <w:r>
        <w:t xml:space="preserve">, vol. 30, no. 4, pp. 110-119.</w:t>
      </w:r>
    </w:p>
    <w:p>
      <w:pPr>
        <w:spacing w:after="120"/>
        <w:ind w:left="567" w:hanging="567"/>
      </w:pPr>
      <w:r>
        <w:t xml:space="preserve">Ledoit, O &amp; Wolf, M 2008, 'Robust performance hypothesis testing with the Sharpe ratio', </w:t>
      </w:r>
      <w:r>
        <w:rPr>
          <w:i/>
        </w:rPr>
        <w:t xml:space="preserve">Journal of Empirical Finance</w:t>
      </w:r>
      <w:r>
        <w:t xml:space="preserve">, vol. 15, no. 5, pp. 850-859.</w:t>
      </w:r>
    </w:p>
    <w:p>
      <w:pPr>
        <w:spacing w:after="120"/>
        <w:ind w:left="567" w:hanging="567"/>
      </w:pPr>
      <w:r>
        <w:t xml:space="preserve">Loughran, T &amp; McDonald, B 2011, 'When is a liability not a liability? Textual analysis, dictionaries, and 10-Ks', </w:t>
      </w:r>
      <w:r>
        <w:rPr>
          <w:i/>
        </w:rPr>
        <w:t xml:space="preserve">The Journal of Finance</w:t>
      </w:r>
      <w:r>
        <w:t xml:space="preserve">, vol. 66, no. 1, pp. 35-65.</w:t>
      </w:r>
    </w:p>
    <w:p>
      <w:pPr>
        <w:spacing w:after="120"/>
        <w:ind w:left="567" w:hanging="567"/>
      </w:pPr>
      <w:r>
        <w:t xml:space="preserve">Maillard, S, Roncalli, T &amp; Teiletche, J 2010, 'The properties of equally weighted risk contribution portfolios', </w:t>
      </w:r>
      <w:r>
        <w:rPr>
          <w:i/>
        </w:rPr>
        <w:t xml:space="preserve">The Journal of Portfolio Management</w:t>
      </w:r>
      <w:r>
        <w:t xml:space="preserve">, vol. 36, no. 4, pp. 60-70.</w:t>
      </w:r>
    </w:p>
    <w:p>
      <w:pPr>
        <w:spacing w:after="120"/>
        <w:ind w:left="567" w:hanging="567"/>
      </w:pPr>
      <w:r>
        <w:t xml:space="preserve">Markowitz, H 1952, 'Portfolio selection', </w:t>
      </w:r>
      <w:r>
        <w:rPr>
          <w:i/>
        </w:rPr>
        <w:t xml:space="preserve">The Journal of Finance</w:t>
      </w:r>
      <w:r>
        <w:t xml:space="preserve">, vol. 7, no. 1, pp. 77-91.</w:t>
      </w:r>
    </w:p>
    <w:p>
      <w:pPr>
        <w:spacing w:after="120"/>
        <w:ind w:left="567" w:hanging="567"/>
      </w:pPr>
      <w:r>
        <w:t xml:space="preserve">Michaud, RO 1989, 'The Markowitz optimization enigma: is ‘optimized’ optimal?', </w:t>
      </w:r>
      <w:r>
        <w:rPr>
          <w:i/>
        </w:rPr>
        <w:t xml:space="preserve">Financial Analysts Journal</w:t>
      </w:r>
      <w:r>
        <w:t xml:space="preserve">, vol. 45, no. 1, pp. 31-42.</w:t>
      </w:r>
    </w:p>
    <w:p>
      <w:pPr>
        <w:spacing w:after="120"/>
        <w:ind w:left="567" w:hanging="567"/>
      </w:pPr>
      <w:r>
        <w:t xml:space="preserve">Okabe, M &amp; Ito, K 2008, </w:t>
      </w:r>
      <w:r>
        <w:rPr>
          <w:i/>
        </w:rPr>
        <w:t xml:space="preserve">Color universal design (CUD): how to make figures and presentations that are friendly to colorblind people</w:t>
      </w:r>
      <w:r>
        <w:t xml:space="preserve">, viewed 11 August 2026, &lt;https://jfly.uni-koeln.de/color/&gt;.</w:t>
      </w:r>
    </w:p>
    <w:p>
      <w:pPr>
        <w:spacing w:after="120"/>
        <w:ind w:left="567" w:hanging="567"/>
      </w:pPr>
      <w:r>
        <w:t xml:space="preserve">Politis, DN &amp; Romano, JP 1994, 'The stationary bootstrap', </w:t>
      </w:r>
      <w:r>
        <w:rPr>
          <w:i/>
        </w:rPr>
        <w:t xml:space="preserve">Journal of the American Statistical Association</w:t>
      </w:r>
      <w:r>
        <w:t xml:space="preserve">, vol. 89, no. 428, pp. 1303-1313.</w:t>
      </w:r>
    </w:p>
    <w:p>
      <w:pPr>
        <w:spacing w:after="120"/>
        <w:ind w:left="567" w:hanging="567"/>
      </w:pPr>
      <w:r>
        <w:t xml:space="preserve">Sharpe, WF 1966, 'Mutual fund performance', </w:t>
      </w:r>
      <w:r>
        <w:rPr>
          <w:i/>
        </w:rPr>
        <w:t xml:space="preserve">The Journal of Business</w:t>
      </w:r>
      <w:r>
        <w:t xml:space="preserve">, vol. 39, no. 1, pp. 119-138.</w:t>
      </w:r>
    </w:p>
    <w:p>
      <w:pPr>
        <w:spacing w:after="120"/>
        <w:ind w:left="567" w:hanging="567"/>
      </w:pPr>
      <w:r>
        <w:t xml:space="preserve">Sharpe, WF 1994, 'The Sharpe ratio', </w:t>
      </w:r>
      <w:r>
        <w:rPr>
          <w:i/>
        </w:rPr>
        <w:t xml:space="preserve">The Journal of Portfolio Management</w:t>
      </w:r>
      <w:r>
        <w:t xml:space="preserve">, vol. 21, no. 1, pp. 49-58.</w:t>
      </w:r>
    </w:p>
    <w:p>
      <w:pPr>
        <w:spacing w:after="120"/>
        <w:ind w:left="567" w:hanging="567"/>
      </w:pPr>
      <w:r>
        <w:t xml:space="preserve">Tetlock, PC 2007, 'Giving content to investor sentiment: the role of media in the stock market', </w:t>
      </w:r>
      <w:r>
        <w:rPr>
          <w:i/>
        </w:rPr>
        <w:t xml:space="preserve">The Journal of Finance</w:t>
      </w:r>
      <w:r>
        <w:t xml:space="preserve">, vol. 62, no. 3, pp. 1139-1168.</w:t>
      </w:r>
    </w:p>
    <w:p>
      <w:pPr>
        <w:spacing w:after="120"/>
        <w:ind w:left="567" w:hanging="567"/>
      </w:pPr>
      <w:r>
        <w:t xml:space="preserve">Tetlock, PC, Saar-Tsechansky, M &amp; Macskassy, S 2008, 'More than words: quantifying language to measure firms' fundamentals', </w:t>
      </w:r>
      <w:r>
        <w:rPr>
          <w:i/>
        </w:rPr>
        <w:t xml:space="preserve">The Journal of Finance</w:t>
      </w:r>
      <w:r>
        <w:t xml:space="preserve">, vol. 63, no. 3, pp. 1437-1467.</w:t>
      </w:r>
    </w:p>
    <w:p>
      <w:pPr>
        <w:spacing w:after="120"/>
        <w:ind w:left="567" w:hanging="567"/>
      </w:pPr>
      <w:r>
        <w:t xml:space="preserve">White, H 2000, 'A reality check for data snooping', </w:t>
      </w:r>
      <w:r>
        <w:rPr>
          <w:i/>
        </w:rPr>
        <w:t xml:space="preserve">Econometrica</w:t>
      </w:r>
      <w:r>
        <w:t xml:space="preserve">, vol. 68, no. 5, pp. 1097-1126.</w:t>
      </w:r>
    </w:p>
    <w:p w14:paraId="3B36A57F" w14:textId="77777777" w:rsidR="0067237E" w:rsidRDefault="00000000">
      <w:pPr>
        <w:pStyle w:val="1"/>
      </w:pPr>
      <w:bookmarkStart w:id="17" w:name="_Toc237383703"/>
      <w:r>
        <w:t>Appendix</w:t>
      </w:r>
      <w:bookmarkEnd w:id="17"/>
    </w:p>
    <w:p w14:paraId="3A77C5F0" w14:textId="77777777" w:rsidR="0067237E" w:rsidRDefault="00000000">
      <w:pPr>
        <w:pStyle w:val="21"/>
      </w:pPr>
      <w:bookmarkStart w:id="18" w:name="_Toc237383704"/>
      <w:r>
        <w:t>Appendix A - The four objectives</w:t>
      </w:r>
      <w:bookmarkEnd w:id="18"/>
    </w:p>
    <w:p w14:paraId="1FF168FF"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0B55CC31" w14:textId="77777777" w:rsidR="0067237E" w:rsidRDefault="00000000">
      <w:r>
        <w:t>(1)  Equal weight:  w_i = 1 / N for every asset i. No estimation.</w:t>
      </w:r>
    </w:p>
    <w:p w14:paraId="75872733" w14:textId="77777777" w:rsidR="0067237E" w:rsidRDefault="00000000">
      <w:r>
        <w:t>(2)  Minimum variance:  minimise w'Sw subject to 1'w = 1, w &gt;= 0.</w:t>
      </w:r>
    </w:p>
    <w:p w14:paraId="5CF7C098" w14:textId="77777777" w:rsidR="0067237E" w:rsidRDefault="00000000">
      <w:r>
        <w:lastRenderedPageBreak/>
        <w:t>(3)  Maximum Sharpe (tangency, Markowitz 1952):  maximise (w'm - r_f) / sqrt(w'Sw) subject to 1'w = 1, w &gt;= 0, with the risk-free rate r_f set to zero.</w:t>
      </w:r>
    </w:p>
    <w:p w14:paraId="27A464CE" w14:textId="77777777" w:rsidR="0067237E" w:rsidRDefault="00000000">
      <w:r>
        <w:t>(4)  Risk parity (Maillard, Roncalli and Teiletche 2010):  find w such that every asset contributes an equal share of portfolio risk, RC_i = w_i (Sw)_i / (w'Sw) = 1/N for all i, solved by minimising the sum of squared deviations from that target subject to 1'w = 1, w &gt;= 0.</w:t>
      </w:r>
    </w:p>
    <w:p w14:paraId="68BC07A7"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107E8330" w14:textId="77777777" w:rsidR="0067237E" w:rsidRDefault="00000000">
      <w:pPr>
        <w:pStyle w:val="21"/>
      </w:pPr>
      <w:bookmarkStart w:id="19" w:name="_Toc237383705"/>
      <w:r>
        <w:t>Appendix B - Supporting exhibits</w:t>
      </w:r>
      <w:bookmarkEnd w:id="19"/>
    </w:p>
    <w:p w14:paraId="607B8308" w14:textId="77777777" w:rsidR="0067237E" w:rsidRDefault="00000000">
      <w:r>
        <w:t>Exhibits not needed in the main narrative.</w:t>
      </w:r>
    </w:p>
    <w:p w14:paraId="7D5EA564" w14:textId="77777777" w:rsidR="0067237E" w:rsidRDefault="00000000">
      <w:pPr>
        <w:jc w:val="center"/>
      </w:pPr>
      <w:r>
        <w:rPr>
          <w:noProof/>
        </w:rPr>
        <w:drawing>
          <wp:inline distT="0" distB="0" distL="0" distR="0" wp14:anchorId="03A55731" wp14:editId="790EB03E">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32FBE537" w14:textId="2E4C49DF" w:rsidR="0067237E" w:rsidRDefault="00000000">
      <w:pPr>
        <w:pStyle w:val="af7"/>
      </w:pPr>
      <w:r>
        <w:t xml:space="preserve">Figure </w:t>
      </w:r>
      <w:fldSimple w:instr=" SEQ Figure \* ARABIC ">
        <w:r>
          <w:rPr>
            <w:noProof/>
          </w:rPr>
          <w:t>13</w:t>
        </w:r>
      </w:fldSimple>
      <w:r>
        <w:t>: Sector weights over time for the Combined Minimum-Variance fund, the single-fund version of the across-methods exhibit.</w:t>
      </w:r>
    </w:p>
    <w:p w14:paraId="04953A70" w14:textId="7F9C6BCE" w:rsidR="0067237E" w:rsidRDefault="00000000">
      <w:pPr>
        <w:pStyle w:val="af7"/>
      </w:pPr>
      <w:r>
        <w:t xml:space="preserve">Table </w:t>
      </w:r>
      <w:fldSimple w:instr=" SEQ Table \* ARABIC ">
        <w:r>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1871AC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BEF8ACA" w14:textId="77777777" w:rsidR="0067237E" w:rsidRDefault="00000000">
            <w:r>
              <w:rPr>
                <w:sz w:val="16"/>
              </w:rPr>
              <w:t>method</w:t>
            </w:r>
          </w:p>
        </w:tc>
        <w:tc>
          <w:tcPr>
            <w:tcW w:w="1505" w:type="dxa"/>
          </w:tcPr>
          <w:p w14:paraId="5FAC58B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71D590D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2922992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2F5AD34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4A67F74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5F396A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1AAA39" w14:textId="77777777" w:rsidR="0067237E" w:rsidRDefault="00000000">
            <w:r>
              <w:rPr>
                <w:sz w:val="16"/>
              </w:rPr>
              <w:t>Equal-Weight</w:t>
            </w:r>
          </w:p>
        </w:tc>
        <w:tc>
          <w:tcPr>
            <w:tcW w:w="1505" w:type="dxa"/>
          </w:tcPr>
          <w:p w14:paraId="2500F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13A6A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291CB8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4DE21E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6BD82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7228472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BC2C28" w14:textId="77777777" w:rsidR="0067237E" w:rsidRDefault="00000000">
            <w:r>
              <w:rPr>
                <w:sz w:val="16"/>
              </w:rPr>
              <w:t>Equal-Weight</w:t>
            </w:r>
          </w:p>
        </w:tc>
        <w:tc>
          <w:tcPr>
            <w:tcW w:w="1505" w:type="dxa"/>
          </w:tcPr>
          <w:p w14:paraId="25F6BE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5F997D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534210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28776E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8D518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41FD45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3F8894" w14:textId="77777777" w:rsidR="0067237E" w:rsidRDefault="00000000">
            <w:r>
              <w:rPr>
                <w:sz w:val="16"/>
              </w:rPr>
              <w:t>Equal-Weight</w:t>
            </w:r>
          </w:p>
        </w:tc>
        <w:tc>
          <w:tcPr>
            <w:tcW w:w="1505" w:type="dxa"/>
          </w:tcPr>
          <w:p w14:paraId="366759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35E445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13800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2C8066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54D672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B28B01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C4D30F9" w14:textId="77777777" w:rsidR="0067237E" w:rsidRDefault="00000000">
            <w:r>
              <w:rPr>
                <w:sz w:val="16"/>
              </w:rPr>
              <w:t>Equal-Weight</w:t>
            </w:r>
          </w:p>
        </w:tc>
        <w:tc>
          <w:tcPr>
            <w:tcW w:w="1505" w:type="dxa"/>
          </w:tcPr>
          <w:p w14:paraId="285C92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275D4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7D60079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680FFA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480DF9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23CE2A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F90680" w14:textId="77777777" w:rsidR="0067237E" w:rsidRDefault="00000000">
            <w:r>
              <w:rPr>
                <w:sz w:val="16"/>
              </w:rPr>
              <w:t>Minimum-Variance</w:t>
            </w:r>
          </w:p>
        </w:tc>
        <w:tc>
          <w:tcPr>
            <w:tcW w:w="1505" w:type="dxa"/>
          </w:tcPr>
          <w:p w14:paraId="667B3E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211F8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2215C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64D509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5BE60E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063E0A5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3457E3" w14:textId="77777777" w:rsidR="0067237E" w:rsidRDefault="00000000">
            <w:r>
              <w:rPr>
                <w:sz w:val="16"/>
              </w:rPr>
              <w:t>Minimum-Variance</w:t>
            </w:r>
          </w:p>
        </w:tc>
        <w:tc>
          <w:tcPr>
            <w:tcW w:w="1505" w:type="dxa"/>
          </w:tcPr>
          <w:p w14:paraId="6E1C76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4E7F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2D62D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4DACC1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777CB5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59029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51F3A12" w14:textId="77777777" w:rsidR="0067237E" w:rsidRDefault="00000000">
            <w:r>
              <w:rPr>
                <w:sz w:val="16"/>
              </w:rPr>
              <w:t>Minimum-Variance</w:t>
            </w:r>
          </w:p>
        </w:tc>
        <w:tc>
          <w:tcPr>
            <w:tcW w:w="1505" w:type="dxa"/>
          </w:tcPr>
          <w:p w14:paraId="6A037A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22735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3F1EB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18F2C9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352B4B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101F72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31AC51D" w14:textId="77777777" w:rsidR="0067237E" w:rsidRDefault="00000000">
            <w:r>
              <w:rPr>
                <w:sz w:val="16"/>
              </w:rPr>
              <w:t>Minimum-Variance</w:t>
            </w:r>
          </w:p>
        </w:tc>
        <w:tc>
          <w:tcPr>
            <w:tcW w:w="1505" w:type="dxa"/>
          </w:tcPr>
          <w:p w14:paraId="4508D8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7F66A7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2478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322C65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C478D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30FDBAC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741875" w14:textId="77777777" w:rsidR="0067237E" w:rsidRDefault="00000000">
            <w:r>
              <w:rPr>
                <w:sz w:val="16"/>
              </w:rPr>
              <w:t>Maximum-Sharpe</w:t>
            </w:r>
          </w:p>
        </w:tc>
        <w:tc>
          <w:tcPr>
            <w:tcW w:w="1505" w:type="dxa"/>
          </w:tcPr>
          <w:p w14:paraId="7DDB07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56C87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630709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1FF2FD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47E4D6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A065A3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0F38C10" w14:textId="77777777" w:rsidR="0067237E" w:rsidRDefault="00000000">
            <w:r>
              <w:rPr>
                <w:sz w:val="16"/>
              </w:rPr>
              <w:t>Maximum-Sharpe</w:t>
            </w:r>
          </w:p>
        </w:tc>
        <w:tc>
          <w:tcPr>
            <w:tcW w:w="1505" w:type="dxa"/>
          </w:tcPr>
          <w:p w14:paraId="6A50E9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D1B9D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783D52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4794A6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CB941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471C0A5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BF4439" w14:textId="77777777" w:rsidR="0067237E" w:rsidRDefault="00000000">
            <w:r>
              <w:rPr>
                <w:sz w:val="16"/>
              </w:rPr>
              <w:lastRenderedPageBreak/>
              <w:t>Maximum-Sharpe</w:t>
            </w:r>
          </w:p>
        </w:tc>
        <w:tc>
          <w:tcPr>
            <w:tcW w:w="1505" w:type="dxa"/>
          </w:tcPr>
          <w:p w14:paraId="04A915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AC89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72BA3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501F8E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65A006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3A557E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9C627BE" w14:textId="77777777" w:rsidR="0067237E" w:rsidRDefault="00000000">
            <w:r>
              <w:rPr>
                <w:sz w:val="16"/>
              </w:rPr>
              <w:t>Maximum-Sharpe</w:t>
            </w:r>
          </w:p>
        </w:tc>
        <w:tc>
          <w:tcPr>
            <w:tcW w:w="1505" w:type="dxa"/>
          </w:tcPr>
          <w:p w14:paraId="61EF5F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7416C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3EE7E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4F6558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7DEE4E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172311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F36545" w14:textId="77777777" w:rsidR="0067237E" w:rsidRDefault="00000000">
            <w:r>
              <w:rPr>
                <w:sz w:val="16"/>
              </w:rPr>
              <w:t>Risk Parity</w:t>
            </w:r>
          </w:p>
        </w:tc>
        <w:tc>
          <w:tcPr>
            <w:tcW w:w="1505" w:type="dxa"/>
          </w:tcPr>
          <w:p w14:paraId="20810F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122CA4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5C1A0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0027CF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124C60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7E7A81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5E4368" w14:textId="77777777" w:rsidR="0067237E" w:rsidRDefault="00000000">
            <w:r>
              <w:rPr>
                <w:sz w:val="16"/>
              </w:rPr>
              <w:t>Risk Parity</w:t>
            </w:r>
          </w:p>
        </w:tc>
        <w:tc>
          <w:tcPr>
            <w:tcW w:w="1505" w:type="dxa"/>
          </w:tcPr>
          <w:p w14:paraId="364CCD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B6BAF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D4AD0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A2CBD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11622D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16D957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CD9CC35" w14:textId="77777777" w:rsidR="0067237E" w:rsidRDefault="00000000">
            <w:r>
              <w:rPr>
                <w:sz w:val="16"/>
              </w:rPr>
              <w:t>Risk Parity</w:t>
            </w:r>
          </w:p>
        </w:tc>
        <w:tc>
          <w:tcPr>
            <w:tcW w:w="1505" w:type="dxa"/>
          </w:tcPr>
          <w:p w14:paraId="0A7BEC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F2C4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716F7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5D620DA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15B333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6FEA76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E24B6" w14:textId="77777777" w:rsidR="0067237E" w:rsidRDefault="00000000">
            <w:r>
              <w:rPr>
                <w:sz w:val="16"/>
              </w:rPr>
              <w:t>Risk Parity</w:t>
            </w:r>
          </w:p>
        </w:tc>
        <w:tc>
          <w:tcPr>
            <w:tcW w:w="1505" w:type="dxa"/>
          </w:tcPr>
          <w:p w14:paraId="72D32CD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A6BFB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BADED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2A84C3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425FCA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10E0B3DF" w14:textId="77777777" w:rsidR="00AA7ECC" w:rsidRDefault="00AA7ECC"/>
    <w:p w14:paraId="357A1355" w14:textId="77777777" w:rsidR="0067237E" w:rsidRDefault="00000000">
      <w:pPr>
        <w:pStyle w:val="21"/>
      </w:pPr>
      <w:r>
        <w:t>Appendix C - The figure design system</w:t>
      </w:r>
    </w:p>
    <w:p w14:paraId="27447507"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084A67FC" w14:textId="77777777" w:rsidR="0067237E" w:rsidRDefault="00000000">
      <w:r>
        <w:lastRenderedPageBreak/>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pPr>
        <w:pStyle w:val="21"/>
      </w:pPr>
      <w:r>
        <w:t>Appendix D - Rolling against expanding estimation windows</w:t>
      </w:r>
    </w:p>
    <w:p>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pPr>
        <w:pStyle w:val="af7"/>
      </w:pPr>
      <w:r>
        <w:t xml:space="preserve">Table </w:t>
      </w:r>
      <w:r>
        <w:fldChar w:fldCharType="begin"/>
        <w:instrText xml:space="preserve"> SEQ Table \* ARABIC </w:instrText>
        <w:fldChar w:fldCharType="separate"/>
        <w:t>1</w:t>
        <w:fldChar w:fldCharType="end"/>
      </w:r>
      <w:r>
        <w:t>: Sharpe ratio under a rolling 252-day window against an expanding window, out of sample.</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Family</w:t>
            </w:r>
          </w:p>
        </w:tc>
        <w:tc>
          <w:tcPr>
            <w:tcW w:type="dxa" w:w="1806"/>
          </w:tcPr>
          <w:p>
            <w:r>
              <w:rPr>
                <w:b/>
                <w:sz w:val="16"/>
              </w:rPr>
              <w:t>Method</w:t>
            </w:r>
          </w:p>
        </w:tc>
        <w:tc>
          <w:tcPr>
            <w:tcW w:type="dxa" w:w="1806"/>
          </w:tcPr>
          <w:p>
            <w:r>
              <w:rPr>
                <w:b/>
                <w:sz w:val="16"/>
              </w:rPr>
              <w:t>Rolling</w:t>
            </w:r>
          </w:p>
        </w:tc>
        <w:tc>
          <w:tcPr>
            <w:tcW w:type="dxa" w:w="1806"/>
          </w:tcPr>
          <w:p>
            <w:r>
              <w:rPr>
                <w:b/>
                <w:sz w:val="16"/>
              </w:rPr>
              <w:t>Expanding</w:t>
            </w:r>
          </w:p>
        </w:tc>
        <w:tc>
          <w:tcPr>
            <w:tcW w:type="dxa" w:w="1806"/>
          </w:tcPr>
          <w:p>
            <w:r>
              <w:rPr>
                <w:b/>
                <w:sz w:val="16"/>
              </w:rPr>
              <w:t>Change</w:t>
            </w:r>
          </w:p>
        </w:tc>
      </w:tr>
      <w:tr>
        <w:tc>
          <w:tcPr>
            <w:tcW w:type="dxa" w:w="1806"/>
          </w:tcPr>
          <w:p>
            <w:r>
              <w:rPr>
                <w:sz w:val="16"/>
              </w:rPr>
              <w:t>Equity</w:t>
            </w:r>
          </w:p>
        </w:tc>
        <w:tc>
          <w:tcPr>
            <w:tcW w:type="dxa" w:w="1806"/>
          </w:tcPr>
          <w:p>
            <w:r>
              <w:rPr>
                <w:sz w:val="16"/>
              </w:rPr>
              <w:t>Minimum-Variance</w:t>
            </w:r>
          </w:p>
        </w:tc>
        <w:tc>
          <w:tcPr>
            <w:tcW w:type="dxa" w:w="1806"/>
          </w:tcPr>
          <w:p>
            <w:r>
              <w:rPr>
                <w:sz w:val="16"/>
              </w:rPr>
              <w:t>0.479</w:t>
            </w:r>
          </w:p>
        </w:tc>
        <w:tc>
          <w:tcPr>
            <w:tcW w:type="dxa" w:w="1806"/>
          </w:tcPr>
          <w:p>
            <w:r>
              <w:rPr>
                <w:sz w:val="16"/>
              </w:rPr>
              <w:t>0.589</w:t>
            </w:r>
          </w:p>
        </w:tc>
        <w:tc>
          <w:tcPr>
            <w:tcW w:type="dxa" w:w="1806"/>
          </w:tcPr>
          <w:p>
            <w:r>
              <w:rPr>
                <w:sz w:val="16"/>
              </w:rPr>
              <w:t>+0.110</w:t>
            </w:r>
          </w:p>
        </w:tc>
      </w:tr>
      <w:tr>
        <w:tc>
          <w:tcPr>
            <w:tcW w:type="dxa" w:w="1806"/>
          </w:tcPr>
          <w:p>
            <w:r>
              <w:rPr>
                <w:sz w:val="16"/>
              </w:rPr>
              <w:t>Equity</w:t>
            </w:r>
          </w:p>
        </w:tc>
        <w:tc>
          <w:tcPr>
            <w:tcW w:type="dxa" w:w="1806"/>
          </w:tcPr>
          <w:p>
            <w:r>
              <w:rPr>
                <w:sz w:val="16"/>
              </w:rPr>
              <w:t>Maximum-Sharpe</w:t>
            </w:r>
          </w:p>
        </w:tc>
        <w:tc>
          <w:tcPr>
            <w:tcW w:type="dxa" w:w="1806"/>
          </w:tcPr>
          <w:p>
            <w:r>
              <w:rPr>
                <w:sz w:val="16"/>
              </w:rPr>
              <w:t>0.573</w:t>
            </w:r>
          </w:p>
        </w:tc>
        <w:tc>
          <w:tcPr>
            <w:tcW w:type="dxa" w:w="1806"/>
          </w:tcPr>
          <w:p>
            <w:r>
              <w:rPr>
                <w:sz w:val="16"/>
              </w:rPr>
              <w:t>0.663</w:t>
            </w:r>
          </w:p>
        </w:tc>
        <w:tc>
          <w:tcPr>
            <w:tcW w:type="dxa" w:w="1806"/>
          </w:tcPr>
          <w:p>
            <w:r>
              <w:rPr>
                <w:sz w:val="16"/>
              </w:rPr>
              <w:t>+0.090</w:t>
            </w:r>
          </w:p>
        </w:tc>
      </w:tr>
      <w:tr>
        <w:tc>
          <w:tcPr>
            <w:tcW w:type="dxa" w:w="1806"/>
          </w:tcPr>
          <w:p>
            <w:r>
              <w:rPr>
                <w:sz w:val="16"/>
              </w:rPr>
              <w:t>Equity</w:t>
            </w:r>
          </w:p>
        </w:tc>
        <w:tc>
          <w:tcPr>
            <w:tcW w:type="dxa" w:w="1806"/>
          </w:tcPr>
          <w:p>
            <w:r>
              <w:rPr>
                <w:sz w:val="16"/>
              </w:rPr>
              <w:t>Risk Parity</w:t>
            </w:r>
          </w:p>
        </w:tc>
        <w:tc>
          <w:tcPr>
            <w:tcW w:type="dxa" w:w="1806"/>
          </w:tcPr>
          <w:p>
            <w:r>
              <w:rPr>
                <w:sz w:val="16"/>
              </w:rPr>
              <w:t>0.723</w:t>
            </w:r>
          </w:p>
        </w:tc>
        <w:tc>
          <w:tcPr>
            <w:tcW w:type="dxa" w:w="1806"/>
          </w:tcPr>
          <w:p>
            <w:r>
              <w:rPr>
                <w:sz w:val="16"/>
              </w:rPr>
              <w:t>0.717</w:t>
            </w:r>
          </w:p>
        </w:tc>
        <w:tc>
          <w:tcPr>
            <w:tcW w:type="dxa" w:w="1806"/>
          </w:tcPr>
          <w:p>
            <w:r>
              <w:rPr>
                <w:sz w:val="16"/>
              </w:rPr>
              <w:t>-0.006</w:t>
            </w:r>
          </w:p>
        </w:tc>
      </w:tr>
      <w:tr>
        <w:tc>
          <w:tcPr>
            <w:tcW w:type="dxa" w:w="1806"/>
          </w:tcPr>
          <w:p>
            <w:r>
              <w:rPr>
                <w:sz w:val="16"/>
              </w:rPr>
              <w:t>Combined</w:t>
            </w:r>
          </w:p>
        </w:tc>
        <w:tc>
          <w:tcPr>
            <w:tcW w:type="dxa" w:w="1806"/>
          </w:tcPr>
          <w:p>
            <w:r>
              <w:rPr>
                <w:sz w:val="16"/>
              </w:rPr>
              <w:t>Minimum-Variance</w:t>
            </w:r>
          </w:p>
        </w:tc>
        <w:tc>
          <w:tcPr>
            <w:tcW w:type="dxa" w:w="1806"/>
          </w:tcPr>
          <w:p>
            <w:r>
              <w:rPr>
                <w:sz w:val="16"/>
              </w:rPr>
              <w:t>0.477</w:t>
            </w:r>
          </w:p>
        </w:tc>
        <w:tc>
          <w:tcPr>
            <w:tcW w:type="dxa" w:w="1806"/>
          </w:tcPr>
          <w:p>
            <w:r>
              <w:rPr>
                <w:sz w:val="16"/>
              </w:rPr>
              <w:t>0.589</w:t>
            </w:r>
          </w:p>
        </w:tc>
        <w:tc>
          <w:tcPr>
            <w:tcW w:type="dxa" w:w="1806"/>
          </w:tcPr>
          <w:p>
            <w:r>
              <w:rPr>
                <w:sz w:val="16"/>
              </w:rPr>
              <w:t>+0.112</w:t>
            </w:r>
          </w:p>
        </w:tc>
      </w:tr>
      <w:tr>
        <w:tc>
          <w:tcPr>
            <w:tcW w:type="dxa" w:w="1806"/>
          </w:tcPr>
          <w:p>
            <w:r>
              <w:rPr>
                <w:sz w:val="16"/>
              </w:rPr>
              <w:t>Combined</w:t>
            </w:r>
          </w:p>
        </w:tc>
        <w:tc>
          <w:tcPr>
            <w:tcW w:type="dxa" w:w="1806"/>
          </w:tcPr>
          <w:p>
            <w:r>
              <w:rPr>
                <w:sz w:val="16"/>
              </w:rPr>
              <w:t>Maximum-Sharpe</w:t>
            </w:r>
          </w:p>
        </w:tc>
        <w:tc>
          <w:tcPr>
            <w:tcW w:type="dxa" w:w="1806"/>
          </w:tcPr>
          <w:p>
            <w:r>
              <w:rPr>
                <w:sz w:val="16"/>
              </w:rPr>
              <w:t>0.981</w:t>
            </w:r>
          </w:p>
        </w:tc>
        <w:tc>
          <w:tcPr>
            <w:tcW w:type="dxa" w:w="1806"/>
          </w:tcPr>
          <w:p>
            <w:r>
              <w:rPr>
                <w:sz w:val="16"/>
              </w:rPr>
              <w:t>0.398</w:t>
            </w:r>
          </w:p>
        </w:tc>
        <w:tc>
          <w:tcPr>
            <w:tcW w:type="dxa" w:w="1806"/>
          </w:tcPr>
          <w:p>
            <w:r>
              <w:rPr>
                <w:sz w:val="16"/>
              </w:rPr>
              <w:t>-0.583</w:t>
            </w:r>
          </w:p>
        </w:tc>
      </w:tr>
      <w:tr>
        <w:tc>
          <w:tcPr>
            <w:tcW w:type="dxa" w:w="1806"/>
          </w:tcPr>
          <w:p>
            <w:r>
              <w:rPr>
                <w:sz w:val="16"/>
              </w:rPr>
              <w:t>Combined</w:t>
            </w:r>
          </w:p>
        </w:tc>
        <w:tc>
          <w:tcPr>
            <w:tcW w:type="dxa" w:w="1806"/>
          </w:tcPr>
          <w:p>
            <w:r>
              <w:rPr>
                <w:sz w:val="16"/>
              </w:rPr>
              <w:t>Risk Parity</w:t>
            </w:r>
          </w:p>
        </w:tc>
        <w:tc>
          <w:tcPr>
            <w:tcW w:type="dxa" w:w="1806"/>
          </w:tcPr>
          <w:p>
            <w:r>
              <w:rPr>
                <w:sz w:val="16"/>
              </w:rPr>
              <w:t>0.888</w:t>
            </w:r>
          </w:p>
        </w:tc>
        <w:tc>
          <w:tcPr>
            <w:tcW w:type="dxa" w:w="1806"/>
          </w:tcPr>
          <w:p>
            <w:r>
              <w:rPr>
                <w:sz w:val="16"/>
              </w:rPr>
              <w:t>0.777</w:t>
            </w:r>
          </w:p>
        </w:tc>
        <w:tc>
          <w:tcPr>
            <w:tcW w:type="dxa" w:w="1806"/>
          </w:tcPr>
          <w:p>
            <w:r>
              <w:rPr>
                <w:sz w:val="16"/>
              </w:rPr>
              <w:t>-0.111</w:t>
            </w:r>
          </w:p>
        </w:tc>
      </w:tr>
    </w:tbl>
    <w:sectPr w:rsidR="00AA7EC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67237E"/>
    <w:rsid w:val="007C41AC"/>
    <w:rsid w:val="00AA1D8D"/>
    <w:rsid w:val="00AA7ECC"/>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2B91F"/>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6487</Words>
  <Characters>36979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4</cp:revision>
  <dcterms:created xsi:type="dcterms:W3CDTF">2013-12-23T23:15:00Z</dcterms:created>
  <dcterms:modified xsi:type="dcterms:W3CDTF">2026-08-11T13:34:00Z</dcterms:modified>
  <cp:category/>
</cp:coreProperties>
</file>