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the tilt direction an estimate rather than an assumption recovers the loss and more, though bootstrap intervals for that improvement span zero. The funds, fact sheets and analytics are delivered as a deployed Streamlit application reading precomputed results.</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keeps the funds responsive to a change in regime at the cost of a noisier estimate. Rebalancing monthly balances the same tension the other way: often enough to act on a changed covariance estimate, rarely enough not to pay for chasing noise. Long-only weights match what the product is, a fund an ordinary investor can buy, and they bound the damage an extreme estimate can do, because a weight cannot go below zero however attractive the optimiser finds a short position. Jagannathan and Ma (2003) show that a no-short-sale constraint acts on a minimum-variance problem in the same way as shrinking the most extreme covariance estimates, so the constraint buys statistical stability as well as investability.</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actually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as the product schedule because it is the best net outcome for the fund most sensitive to the decision and within a few hundredths of the best for every other fund.</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to supply 50 expected returns and a 50-by-50 covariance matrix, and a year of daily data is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that concentration are not the product of the optimisation;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the same universe and the same dates producing three different funds. Minimum variance concentrates in healthcare and consumer staples and its crypto band is almost invisible: minimising variance means avoiding the most volatile assets available, whatever their return. Maximum Sharpe swings between sectors and carries a wide crypto band, chasing mean estimates that change sharply from month to month. Risk parity is nearly static, because relative volatilities are far more stable than relative means. The visual stability of each panel is a direct picture of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therefore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at once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explicitly in the allocation tab so the user can see what the product costs them.</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  w_i = 1 / N for every asset i. No estimation.</w:t>
      </w:r>
    </w:p>
    <w:p w14:paraId="75872733" w14:textId="77777777" w:rsidR="0067237E" w:rsidRDefault="00000000">
      <w:r>
        <w:t>(2)  Minimum variance:  minimise w'Sw subject to 1'w = 1, w &gt;= 0.</w:t>
      </w:r>
    </w:p>
    <w:p w14:paraId="5CF7C098" w14:textId="77777777" w:rsidR="0067237E" w:rsidRDefault="00000000">
      <w:r>
        <w:lastRenderedPageBreak/>
        <w:t>(3)  Maximum Sharpe (tangency, Markowitz 1952):  maximise (w'm - r_f) / sqrt(w'Sw) subject to 1'w = 1, w &gt;= 0, with the risk-free rate r_f set to zero.</w:t>
      </w:r>
    </w:p>
    <w:p w14:paraId="27A464CE" w14:textId="77777777" w:rsidR="0067237E" w:rsidRDefault="00000000">
      <w:r>
        <w:t>(4)  Risk parity (Maillard, Roncalli and Teiletche 2010):  find w such that every asset contributes an equal share of portfolio risk, RC_i = w_i (Sw)_i / (w'Sw) = 1/N for all i, solved by minimising the sum of squared deviations from that target subject to 1'w = 1, w &gt;= 0.</w:t>
      </w:r>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