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and the holdings; and they set an allocation with sliders and watch the blend update,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w:t>
      </w:r>
      <m:oMathPara>
        <m:oMath>
          <m:sSub>
            <m:e>
              <m:r>
                <m:t xml:space="preserve">w</m:t>
              </m:r>
            </m:e>
            <m:sub>
              <m:r>
                <m:t xml:space="preserve">i</m:t>
              </m:r>
            </m:sub>
          </m:sSub>
          <m:r>
            <m:rPr>
              <m:nor/>
            </m:rPr>
            <m:t xml:space="preserve"> = </m:t>
          </m:r>
          <m:f>
            <m:num>
              <m:r>
                <m:t xml:space="preserve">1</m:t>
              </m:r>
            </m:num>
            <m:den>
              <m:r>
                <m:t xml:space="preserve">N</m:t>
              </m:r>
            </m:den>
          </m:f>
          <m:r>
            <m:rPr>
              <m:nor/>
            </m:rPr>
            <m:t xml:space="preserve">   for every asset </m:t>
          </m:r>
          <m:r>
            <m:t xml:space="preserve">i</m:t>
          </m:r>
        </m:oMath>
      </m:oMathPara>
    </w:p>
    <w:p w14:paraId="75872733" w14:textId="77777777" w:rsidR="0067237E" w:rsidRDefault="00000000">
      <w:r>
        <w:t>(2)  Minimum variance:</w:t>
      </w:r>
      <m:oMathPara>
        <m:oMath>
          <m:sSub>
            <m:e>
              <m:r>
                <m:rPr>
                  <m:nor/>
                </m:rPr>
                <m:t xml:space="preserve">min</m:t>
              </m:r>
            </m:e>
            <m:sub>
              <m:r>
                <m:rPr>
                  <m:sty m:val="b"/>
                </m:rPr>
                <m:t xml:space="preserve">w</m:t>
              </m:r>
            </m:sub>
          </m:sSub>
          <m:r>
            <m:rPr>
              <m:nor/>
            </m:rPr>
            <m:t xml:space="preserve"> </m:t>
          </m:r>
          <m:sSup>
            <m:e>
              <m:r>
                <m:rPr>
                  <m:sty m:val="b"/>
                </m:rPr>
                <m:t xml:space="preserve">w</m:t>
              </m:r>
            </m:e>
            <m:sup>
              <m:r>
                <m:rPr>
                  <m:nor/>
                </m:rPr>
                <m:t xml:space="preserve">T</m:t>
              </m:r>
            </m:sup>
          </m:sSup>
          <m:r>
            <m:rPr>
              <m:sty m:val="b"/>
            </m:rPr>
            <m:t xml:space="preserve">Σ</m:t>
          </m:r>
          <m:r>
            <m:rPr>
              <m:sty m:val="b"/>
            </m:rPr>
            <m:t xml:space="preserve">w</m:t>
          </m:r>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5CF7C098" w14:textId="77777777" w:rsidR="0067237E" w:rsidRDefault="00000000">
      <w:r>
        <w:t>(3)  Maximum Sharpe:</w:t>
      </w:r>
      <m:oMathPara>
        <m:oMath>
          <m:sSub>
            <m:e>
              <m:r>
                <m:rPr>
                  <m:nor/>
                </m:rPr>
                <m:t xml:space="preserve">max</m:t>
              </m:r>
            </m:e>
            <m:sub>
              <m:r>
                <m:rPr>
                  <m:sty m:val="b"/>
                </m:rPr>
                <m:t xml:space="preserve">w</m:t>
              </m:r>
            </m:sub>
          </m:sSub>
          <m:r>
            <m:rPr>
              <m:nor/>
            </m:rPr>
            <m:t xml:space="preserve"> </m:t>
          </m:r>
          <m:f>
            <m:num>
              <m:sSup>
                <m:e>
                  <m:r>
                    <m:rPr>
                      <m:sty m:val="b"/>
                    </m:rPr>
                    <m:t xml:space="preserve">w</m:t>
                  </m:r>
                </m:e>
                <m:sup>
                  <m:r>
                    <m:rPr>
                      <m:nor/>
                    </m:rPr>
                    <m:t xml:space="preserve">T</m:t>
                  </m:r>
                </m:sup>
              </m:sSup>
              <m:r>
                <m:rPr>
                  <m:sty m:val="b"/>
                </m:rPr>
                <m:t xml:space="preserve">μ</m:t>
              </m:r>
              <m:r>
                <m:rPr>
                  <m:nor/>
                </m:rPr>
                <m:t xml:space="preserve"> − </m:t>
              </m:r>
              <m:sSub>
                <m:e>
                  <m:r>
                    <m:t xml:space="preserve">r</m:t>
                  </m:r>
                </m:e>
                <m:sub>
                  <m:r>
                    <m:rPr>
                      <m:nor/>
                    </m:rPr>
                    <m:t xml:space="preserve">f</m:t>
                  </m:r>
                </m:sub>
              </m:sSub>
            </m:num>
            <m:den>
              <m:rad>
                <m:radPr>
                  <m:degHide m:val="1"/>
                </m:radPr>
                <m:deg/>
                <m:e>
                  <m:sSup>
                    <m:e>
                      <m:r>
                        <m:rPr>
                          <m:sty m:val="b"/>
                        </m:rPr>
                        <m:t xml:space="preserve">w</m:t>
                      </m:r>
                    </m:e>
                    <m:sup>
                      <m:r>
                        <m:rPr>
                          <m:nor/>
                        </m:rPr>
                        <m:t xml:space="preserve">T</m:t>
                      </m:r>
                    </m:sup>
                  </m:sSup>
                  <m:r>
                    <m:rPr>
                      <m:sty m:val="b"/>
                    </m:rPr>
                    <m:t xml:space="preserve">Σ</m:t>
                  </m:r>
                  <m:r>
                    <m:rPr>
                      <m:sty m:val="b"/>
                    </m:rPr>
                    <m:t xml:space="preserve">w</m:t>
                  </m:r>
                </m:e>
              </m:rad>
            </m:den>
          </m:f>
          <m:r>
            <m:rPr>
              <m:nor/>
            </m:rPr>
            <m:t xml:space="preserve">   subject to   </m:t>
          </m:r>
          <m:sSup>
            <m:e>
              <m:r>
                <m:rPr>
                  <m:sty m:val="b"/>
                </m:rPr>
                <m:t xml:space="preserve">1</m:t>
              </m:r>
            </m:e>
            <m:sup>
              <m:r>
                <m:rPr>
                  <m:nor/>
                </m:rPr>
                <m:t xml:space="preserve">T</m:t>
              </m:r>
            </m:sup>
          </m:sSup>
          <m:r>
            <m:rPr>
              <m:sty m:val="b"/>
            </m:rPr>
            <m:t xml:space="preserve">w</m:t>
          </m:r>
          <m:r>
            <m:rPr>
              <m:nor/>
            </m:rPr>
            <m:t xml:space="preserve"> = 1</m:t>
          </m:r>
          <m:r>
            <m:rPr>
              <m:nor/>
            </m:rPr>
            <m:t xml:space="preserve">, </m:t>
          </m:r>
          <m:r>
            <m:rPr>
              <m:sty m:val="b"/>
            </m:rPr>
            <m:t xml:space="preserve">w</m:t>
          </m:r>
          <m:r>
            <m:rPr>
              <m:nor/>
            </m:rPr>
            <m:t xml:space="preserve"> ≥ </m:t>
          </m:r>
          <m:r>
            <m:t xml:space="preserve">0</m:t>
          </m:r>
        </m:oMath>
      </m:oMathPara>
    </w:p>
    <w:p w14:paraId="27A464CE" w14:textId="77777777" w:rsidR="0067237E" w:rsidRDefault="00000000">
      <w:r>
        <w:t>(4)  Risk parity:</w:t>
      </w:r>
      <m:oMathPara>
        <m:oMath>
          <m:sSub>
            <m:e>
              <m:r>
                <m:rPr>
                  <m:nor/>
                </m:rPr>
                <m:t xml:space="preserve">RC</m:t>
              </m:r>
            </m:e>
            <m:sub>
              <m:r>
                <m:t xml:space="preserve">i</m:t>
              </m:r>
            </m:sub>
          </m:sSub>
          <m:r>
            <m:rPr>
              <m:nor/>
            </m:rPr>
            <m:t xml:space="preserve"> = </m:t>
          </m:r>
          <m:f>
            <m:num>
              <m:sSub>
                <m:e>
                  <m:r>
                    <m:t xml:space="preserve">w</m:t>
                  </m:r>
                </m:e>
                <m:sub>
                  <m:r>
                    <m:t xml:space="preserve">i</m:t>
                  </m:r>
                </m:sub>
              </m:sSub>
              <m:sSub>
                <m:e>
                  <m:d>
                    <m:dPr>
                      <m:begChr m:val="("/>
                      <m:endChr m:val=")"/>
                    </m:dPr>
                    <m:e>
                      <m:r>
                        <m:rPr>
                          <m:sty m:val="b"/>
                        </m:rPr>
                        <m:t xml:space="preserve">Σ</m:t>
                      </m:r>
                      <m:r>
                        <m:rPr>
                          <m:sty m:val="b"/>
                        </m:rPr>
                        <m:t xml:space="preserve">w</m:t>
                      </m:r>
                    </m:e>
                  </m:d>
                </m:e>
                <m:sub>
                  <m:r>
                    <m:t xml:space="preserve">i</m:t>
                  </m:r>
                </m:sub>
              </m:sSub>
            </m:num>
            <m:den>
              <m:sSup>
                <m:e>
                  <m:r>
                    <m:rPr>
                      <m:sty m:val="b"/>
                    </m:rPr>
                    <m:t xml:space="preserve">w</m:t>
                  </m:r>
                </m:e>
                <m:sup>
                  <m:r>
                    <m:rPr>
                      <m:nor/>
                    </m:rPr>
                    <m:t xml:space="preserve">T</m:t>
                  </m:r>
                </m:sup>
              </m:sSup>
              <m:r>
                <m:rPr>
                  <m:sty m:val="b"/>
                </m:rPr>
                <m:t xml:space="preserve">Σ</m:t>
              </m:r>
              <m:r>
                <m:rPr>
                  <m:sty m:val="b"/>
                </m:rPr>
                <m:t xml:space="preserve">w</m:t>
              </m:r>
            </m:den>
          </m:f>
          <m:r>
            <m:rPr>
              <m:nor/>
            </m:rPr>
            <m:t xml:space="preserve"> = </m:t>
          </m:r>
          <m:f>
            <m:num>
              <m:r>
                <m:t xml:space="preserve">1</m:t>
              </m:r>
            </m:num>
            <m:den>
              <m:r>
                <m:t xml:space="preserve">N</m:t>
              </m:r>
            </m:den>
          </m:f>
          <m:r>
            <m:rPr>
              <m:nor/>
            </m:rPr>
            <m:t xml:space="preserve">   for all </m:t>
          </m:r>
          <m:r>
            <m:t xml:space="preserve">i</m:t>
          </m:r>
        </m:oMath>
      </m:oMathPara>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p>
      <w:r>
        <w:t>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pPr>
        <w:pStyle w:val="af7"/>
      </w:pPr>
      <w:r>
        <w:t xml:space="preserve">Table </w:t>
      </w:r>
      <w:r>
        <w:fldChar w:fldCharType="begin"/>
        <w:instrText xml:space="preserve"> SEQ Table \* ARABIC </w:instrText>
        <w:fldChar w:fldCharType="separate"/>
        <w:t>1</w:t>
        <w:fldChar w:fldCharType="end"/>
      </w:r>
      <w:r>
        <w:t>: These funds on an expanding window against the Sharpe ratios published by the course reference implementation.</w:t>
      </w:r>
    </w:p>
    <w:tbl>
      <w:tblPr>
        <w:tblStyle w:val="-11"/>
        <w:tblW w:type="auto" w:w="0"/>
        <w:tblLook w:firstColumn="1" w:firstRow="1" w:lastColumn="0" w:lastRow="0" w:noHBand="0" w:noVBand="1" w:val="04A0"/>
      </w:tblPr>
      <w:tblGrid>
        <w:gridCol w:w="2257"/>
        <w:gridCol w:w="2257"/>
        <w:gridCol w:w="2257"/>
        <w:gridCol w:w="2257"/>
      </w:tblGrid>
      <w:tr>
        <w:tc>
          <w:tcPr>
            <w:tcW w:type="dxa" w:w="2257"/>
          </w:tcPr>
          <w:p>
            <w:r>
              <w:rPr>
                <w:b/>
                <w:sz w:val="16"/>
              </w:rPr>
              <w:t>Fund</w:t>
            </w:r>
          </w:p>
        </w:tc>
        <w:tc>
          <w:tcPr>
            <w:tcW w:type="dxa" w:w="2257"/>
          </w:tcPr>
          <w:p>
            <w:r>
              <w:rPr>
                <w:b/>
                <w:sz w:val="16"/>
              </w:rPr>
              <w:t>Reference</w:t>
            </w:r>
          </w:p>
        </w:tc>
        <w:tc>
          <w:tcPr>
            <w:tcW w:type="dxa" w:w="2257"/>
          </w:tcPr>
          <w:p>
            <w:r>
              <w:rPr>
                <w:b/>
                <w:sz w:val="16"/>
              </w:rPr>
              <w:t>This project, expanding</w:t>
            </w:r>
          </w:p>
        </w:tc>
        <w:tc>
          <w:tcPr>
            <w:tcW w:type="dxa" w:w="2257"/>
          </w:tcPr>
          <w:p>
            <w:r>
              <w:rPr>
                <w:b/>
                <w:sz w:val="16"/>
              </w:rPr>
              <w:t>Difference</w:t>
            </w:r>
          </w:p>
        </w:tc>
      </w:tr>
      <w:tr>
        <w:tc>
          <w:tcPr>
            <w:tcW w:type="dxa" w:w="2257"/>
          </w:tcPr>
          <w:p>
            <w:r>
              <w:rPr>
                <w:sz w:val="16"/>
              </w:rPr>
              <w:t>Combined Maximum-Sharpe</w:t>
            </w:r>
          </w:p>
        </w:tc>
        <w:tc>
          <w:tcPr>
            <w:tcW w:type="dxa" w:w="2257"/>
          </w:tcPr>
          <w:p>
            <w:r>
              <w:rPr>
                <w:sz w:val="16"/>
              </w:rPr>
              <w:t>0.40</w:t>
            </w:r>
          </w:p>
        </w:tc>
        <w:tc>
          <w:tcPr>
            <w:tcW w:type="dxa" w:w="2257"/>
          </w:tcPr>
          <w:p>
            <w:r>
              <w:rPr>
                <w:sz w:val="16"/>
              </w:rPr>
              <w:t>0.398</w:t>
            </w:r>
          </w:p>
        </w:tc>
        <w:tc>
          <w:tcPr>
            <w:tcW w:type="dxa" w:w="2257"/>
          </w:tcPr>
          <w:p>
            <w:r>
              <w:rPr>
                <w:sz w:val="16"/>
              </w:rPr>
              <w:t>0.002</w:t>
            </w:r>
          </w:p>
        </w:tc>
      </w:tr>
      <w:tr>
        <w:tc>
          <w:tcPr>
            <w:tcW w:type="dxa" w:w="2257"/>
          </w:tcPr>
          <w:p>
            <w:r>
              <w:rPr>
                <w:sz w:val="16"/>
              </w:rPr>
              <w:t>Combined Risk Parity</w:t>
            </w:r>
          </w:p>
        </w:tc>
        <w:tc>
          <w:tcPr>
            <w:tcW w:type="dxa" w:w="2257"/>
          </w:tcPr>
          <w:p>
            <w:r>
              <w:rPr>
                <w:sz w:val="16"/>
              </w:rPr>
              <w:t>0.78</w:t>
            </w:r>
          </w:p>
        </w:tc>
        <w:tc>
          <w:tcPr>
            <w:tcW w:type="dxa" w:w="2257"/>
          </w:tcPr>
          <w:p>
            <w:r>
              <w:rPr>
                <w:sz w:val="16"/>
              </w:rPr>
              <w:t>0.777</w:t>
            </w:r>
          </w:p>
        </w:tc>
        <w:tc>
          <w:tcPr>
            <w:tcW w:type="dxa" w:w="2257"/>
          </w:tcPr>
          <w:p>
            <w:r>
              <w:rPr>
                <w:sz w:val="16"/>
              </w:rPr>
              <w:t>0.003</w:t>
            </w:r>
          </w:p>
        </w:tc>
      </w:tr>
      <w:tr>
        <w:tc>
          <w:tcPr>
            <w:tcW w:type="dxa" w:w="2257"/>
          </w:tcPr>
          <w:p>
            <w:r>
              <w:rPr>
                <w:sz w:val="16"/>
              </w:rPr>
              <w:t>Combined Minimum-Variance</w:t>
            </w:r>
          </w:p>
        </w:tc>
        <w:tc>
          <w:tcPr>
            <w:tcW w:type="dxa" w:w="2257"/>
          </w:tcPr>
          <w:p>
            <w:r>
              <w:rPr>
                <w:sz w:val="16"/>
              </w:rPr>
              <w:t>0.61</w:t>
            </w:r>
          </w:p>
        </w:tc>
        <w:tc>
          <w:tcPr>
            <w:tcW w:type="dxa" w:w="2257"/>
          </w:tcPr>
          <w:p>
            <w:r>
              <w:rPr>
                <w:sz w:val="16"/>
              </w:rPr>
              <w:t>0.589</w:t>
            </w:r>
          </w:p>
        </w:tc>
        <w:tc>
          <w:tcPr>
            <w:tcW w:type="dxa" w:w="2257"/>
          </w:tcPr>
          <w:p>
            <w:r>
              <w:rPr>
                <w:sz w:val="16"/>
              </w:rPr>
              <w:t>0.021</w:t>
            </w:r>
          </w:p>
        </w:tc>
      </w:tr>
      <w:tr>
        <w:tc>
          <w:tcPr>
            <w:tcW w:type="dxa" w:w="2257"/>
          </w:tcPr>
          <w:p>
            <w:r>
              <w:rPr>
                <w:sz w:val="16"/>
              </w:rPr>
              <w:t>Equity Minimum-Variance</w:t>
            </w:r>
          </w:p>
        </w:tc>
        <w:tc>
          <w:tcPr>
            <w:tcW w:type="dxa" w:w="2257"/>
          </w:tcPr>
          <w:p>
            <w:r>
              <w:rPr>
                <w:sz w:val="16"/>
              </w:rPr>
              <w:t>0.62</w:t>
            </w:r>
          </w:p>
        </w:tc>
        <w:tc>
          <w:tcPr>
            <w:tcW w:type="dxa" w:w="2257"/>
          </w:tcPr>
          <w:p>
            <w:r>
              <w:rPr>
                <w:sz w:val="16"/>
              </w:rPr>
              <w:t>0.589</w:t>
            </w:r>
          </w:p>
        </w:tc>
        <w:tc>
          <w:tcPr>
            <w:tcW w:type="dxa" w:w="2257"/>
          </w:tcPr>
          <w:p>
            <w:r>
              <w:rPr>
                <w:sz w:val="16"/>
              </w:rPr>
              <w:t>0.031</w:t>
            </w:r>
          </w:p>
        </w:tc>
      </w:tr>
      <w:tr>
        <w:tc>
          <w:tcPr>
            <w:tcW w:type="dxa" w:w="2257"/>
          </w:tcPr>
          <w:p>
            <w:r>
              <w:rPr>
                <w:sz w:val="16"/>
              </w:rPr>
              <w:t>Equity Risk Parity</w:t>
            </w:r>
          </w:p>
        </w:tc>
        <w:tc>
          <w:tcPr>
            <w:tcW w:type="dxa" w:w="2257"/>
          </w:tcPr>
          <w:p>
            <w:r>
              <w:rPr>
                <w:sz w:val="16"/>
              </w:rPr>
              <w:t>0.75</w:t>
            </w:r>
          </w:p>
        </w:tc>
        <w:tc>
          <w:tcPr>
            <w:tcW w:type="dxa" w:w="2257"/>
          </w:tcPr>
          <w:p>
            <w:r>
              <w:rPr>
                <w:sz w:val="16"/>
              </w:rPr>
              <w:t>0.717</w:t>
            </w:r>
          </w:p>
        </w:tc>
        <w:tc>
          <w:tcPr>
            <w:tcW w:type="dxa" w:w="2257"/>
          </w:tcPr>
          <w:p>
            <w:r>
              <w:rPr>
                <w:sz w:val="16"/>
              </w:rPr>
              <w:t>0.033</w:t>
            </w:r>
          </w:p>
        </w:tc>
      </w:tr>
      <w:tr>
        <w:tc>
          <w:tcPr>
            <w:tcW w:type="dxa" w:w="2257"/>
          </w:tcPr>
          <w:p>
            <w:r>
              <w:rPr>
                <w:sz w:val="16"/>
              </w:rPr>
              <w:t>Equity Maximum-Sharpe</w:t>
            </w:r>
          </w:p>
        </w:tc>
        <w:tc>
          <w:tcPr>
            <w:tcW w:type="dxa" w:w="2257"/>
          </w:tcPr>
          <w:p>
            <w:r>
              <w:rPr>
                <w:sz w:val="16"/>
              </w:rPr>
              <w:t>0.72</w:t>
            </w:r>
          </w:p>
        </w:tc>
        <w:tc>
          <w:tcPr>
            <w:tcW w:type="dxa" w:w="2257"/>
          </w:tcPr>
          <w:p>
            <w:r>
              <w:rPr>
                <w:sz w:val="16"/>
              </w:rPr>
              <w:t>0.663</w:t>
            </w:r>
          </w:p>
        </w:tc>
        <w:tc>
          <w:tcPr>
            <w:tcW w:type="dxa" w:w="2257"/>
          </w:tcPr>
          <w:p>
            <w:r>
              <w:rPr>
                <w:sz w:val="16"/>
              </w:rPr>
              <w:t>0.057</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