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627A4" w14:textId="77777777" w:rsidR="0067237E" w:rsidRDefault="00000000">
      <w:pPr>
        <w:pStyle w:val="aa"/>
      </w:pPr>
      <w:r>
        <w:t>Spotlight: Systematic Multi-Asset Funds with News-Sentiment Analytics</w:t>
      </w:r>
    </w:p>
    <w:p w14:paraId="3C4BAD06" w14:textId="77777777" w:rsidR="0067237E" w:rsidRDefault="00000000">
      <w:r>
        <w:t>Nuo Chen (z5640476)</w:t>
      </w:r>
    </w:p>
    <w:p w14:paraId="3E398EFB" w14:textId="77777777" w:rsidR="0067237E" w:rsidRDefault="00000000">
      <w:r>
        <w:t>FINS5545 Financial Market Data Literacy - Part B</w:t>
      </w:r>
    </w:p>
    <w:p w14:paraId="412EF7D1" w14:textId="77777777" w:rsidR="0067237E" w:rsidRDefault="00000000">
      <w:pPr>
        <w:pStyle w:val="1"/>
      </w:pPr>
      <w:bookmarkStart w:id="0" w:name="_Toc237449966"/>
      <w:r>
        <w:t>Abstract</w:t>
      </w:r>
      <w:bookmarkEnd w:id="0"/>
    </w:p>
    <w:p w14:paraId="41E5F573" w14:textId="77777777" w:rsidR="0067237E" w:rsidRDefault="00000000">
      <w:r>
        <w:t>Spotlight offers twelve systematic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are the most concentrated, the most heavily traded, and the worst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its direction an estimate rather than an assumption recovers the loss, though bootstrap intervals for that improvement span zero. The funds, fact sheets and analytics ship as a deployed Streamlit application.</w:t>
      </w:r>
    </w:p>
    <w:p w14:paraId="2E062587" w14:textId="77777777" w:rsidR="0067237E" w:rsidRDefault="00000000">
      <w:pPr>
        <w:pStyle w:val="1"/>
      </w:pPr>
      <w:bookmarkStart w:id="1" w:name="_Toc237449967"/>
      <w:r>
        <w:t>Contents</w:t>
      </w:r>
      <w:bookmarkEnd w:id="1"/>
    </w:p>
    <w:p w14:paraId="6AEE5F1A" w14:textId="255E2EC6" w:rsidR="00DD0DF7" w:rsidRDefault="00000000">
      <w:pPr>
        <w:pStyle w:val="TOC1"/>
        <w:tabs>
          <w:tab w:val="right" w:leader="dot" w:pos="9019"/>
        </w:tabs>
        <w:rPr>
          <w:rFonts w:asciiTheme="minorHAnsi" w:hAnsiTheme="minorHAnsi"/>
          <w:noProof/>
          <w:kern w:val="2"/>
          <w:szCs w:val="24"/>
          <w:lang w:eastAsia="zh-CN"/>
          <w14:ligatures w14:val="standardContextual"/>
        </w:rPr>
      </w:pPr>
      <w:r>
        <w:fldChar w:fldCharType="begin"/>
      </w:r>
      <w:r>
        <w:instrText xml:space="preserve"> TOC \o "1-2" \h \z \u </w:instrText>
      </w:r>
      <w:r>
        <w:fldChar w:fldCharType="separate"/>
      </w:r>
      <w:hyperlink w:anchor="_Toc237449966" w:history="1">
        <w:r w:rsidR="00DD0DF7" w:rsidRPr="00A123B5">
          <w:rPr>
            <w:rStyle w:val="aff9"/>
            <w:noProof/>
          </w:rPr>
          <w:t>Abstract</w:t>
        </w:r>
        <w:r w:rsidR="00DD0DF7">
          <w:rPr>
            <w:noProof/>
            <w:webHidden/>
          </w:rPr>
          <w:tab/>
        </w:r>
        <w:r w:rsidR="00DD0DF7">
          <w:rPr>
            <w:noProof/>
            <w:webHidden/>
          </w:rPr>
          <w:fldChar w:fldCharType="begin"/>
        </w:r>
        <w:r w:rsidR="00DD0DF7">
          <w:rPr>
            <w:noProof/>
            <w:webHidden/>
          </w:rPr>
          <w:instrText xml:space="preserve"> PAGEREF _Toc237449966 \h </w:instrText>
        </w:r>
        <w:r w:rsidR="00DD0DF7">
          <w:rPr>
            <w:noProof/>
            <w:webHidden/>
          </w:rPr>
        </w:r>
        <w:r w:rsidR="00DD0DF7">
          <w:rPr>
            <w:noProof/>
            <w:webHidden/>
          </w:rPr>
          <w:fldChar w:fldCharType="separate"/>
        </w:r>
        <w:r w:rsidR="00EC0521">
          <w:rPr>
            <w:noProof/>
            <w:webHidden/>
          </w:rPr>
          <w:t>1</w:t>
        </w:r>
        <w:r w:rsidR="00DD0DF7">
          <w:rPr>
            <w:noProof/>
            <w:webHidden/>
          </w:rPr>
          <w:fldChar w:fldCharType="end"/>
        </w:r>
      </w:hyperlink>
    </w:p>
    <w:p w14:paraId="55C350E5" w14:textId="36B6633D" w:rsidR="00DD0DF7" w:rsidRDefault="00DD0DF7">
      <w:pPr>
        <w:pStyle w:val="TOC1"/>
        <w:tabs>
          <w:tab w:val="right" w:leader="dot" w:pos="9019"/>
        </w:tabs>
        <w:rPr>
          <w:rFonts w:asciiTheme="minorHAnsi" w:hAnsiTheme="minorHAnsi"/>
          <w:noProof/>
          <w:kern w:val="2"/>
          <w:szCs w:val="24"/>
          <w:lang w:eastAsia="zh-CN"/>
          <w14:ligatures w14:val="standardContextual"/>
        </w:rPr>
      </w:pPr>
      <w:hyperlink w:anchor="_Toc237449967" w:history="1">
        <w:r w:rsidRPr="00A123B5">
          <w:rPr>
            <w:rStyle w:val="aff9"/>
            <w:noProof/>
          </w:rPr>
          <w:t>Contents</w:t>
        </w:r>
        <w:r>
          <w:rPr>
            <w:noProof/>
            <w:webHidden/>
          </w:rPr>
          <w:tab/>
        </w:r>
        <w:r>
          <w:rPr>
            <w:noProof/>
            <w:webHidden/>
          </w:rPr>
          <w:fldChar w:fldCharType="begin"/>
        </w:r>
        <w:r>
          <w:rPr>
            <w:noProof/>
            <w:webHidden/>
          </w:rPr>
          <w:instrText xml:space="preserve"> PAGEREF _Toc237449967 \h </w:instrText>
        </w:r>
        <w:r>
          <w:rPr>
            <w:noProof/>
            <w:webHidden/>
          </w:rPr>
        </w:r>
        <w:r>
          <w:rPr>
            <w:noProof/>
            <w:webHidden/>
          </w:rPr>
          <w:fldChar w:fldCharType="separate"/>
        </w:r>
        <w:r w:rsidR="00EC0521">
          <w:rPr>
            <w:noProof/>
            <w:webHidden/>
          </w:rPr>
          <w:t>1</w:t>
        </w:r>
        <w:r>
          <w:rPr>
            <w:noProof/>
            <w:webHidden/>
          </w:rPr>
          <w:fldChar w:fldCharType="end"/>
        </w:r>
      </w:hyperlink>
    </w:p>
    <w:p w14:paraId="410342F9" w14:textId="2B3A5E84" w:rsidR="00DD0DF7" w:rsidRDefault="00DD0DF7">
      <w:pPr>
        <w:pStyle w:val="TOC1"/>
        <w:tabs>
          <w:tab w:val="right" w:leader="dot" w:pos="9019"/>
        </w:tabs>
        <w:rPr>
          <w:rFonts w:asciiTheme="minorHAnsi" w:hAnsiTheme="minorHAnsi"/>
          <w:noProof/>
          <w:kern w:val="2"/>
          <w:szCs w:val="24"/>
          <w:lang w:eastAsia="zh-CN"/>
          <w14:ligatures w14:val="standardContextual"/>
        </w:rPr>
      </w:pPr>
      <w:hyperlink w:anchor="_Toc237449968" w:history="1">
        <w:r w:rsidRPr="00A123B5">
          <w:rPr>
            <w:rStyle w:val="aff9"/>
            <w:noProof/>
          </w:rPr>
          <w:t>1. The funds and the backtest design</w:t>
        </w:r>
        <w:r>
          <w:rPr>
            <w:noProof/>
            <w:webHidden/>
          </w:rPr>
          <w:tab/>
        </w:r>
        <w:r>
          <w:rPr>
            <w:noProof/>
            <w:webHidden/>
          </w:rPr>
          <w:fldChar w:fldCharType="begin"/>
        </w:r>
        <w:r>
          <w:rPr>
            <w:noProof/>
            <w:webHidden/>
          </w:rPr>
          <w:instrText xml:space="preserve"> PAGEREF _Toc237449968 \h </w:instrText>
        </w:r>
        <w:r>
          <w:rPr>
            <w:noProof/>
            <w:webHidden/>
          </w:rPr>
        </w:r>
        <w:r>
          <w:rPr>
            <w:noProof/>
            <w:webHidden/>
          </w:rPr>
          <w:fldChar w:fldCharType="separate"/>
        </w:r>
        <w:r w:rsidR="00EC0521">
          <w:rPr>
            <w:noProof/>
            <w:webHidden/>
          </w:rPr>
          <w:t>2</w:t>
        </w:r>
        <w:r>
          <w:rPr>
            <w:noProof/>
            <w:webHidden/>
          </w:rPr>
          <w:fldChar w:fldCharType="end"/>
        </w:r>
      </w:hyperlink>
    </w:p>
    <w:p w14:paraId="352D25DF" w14:textId="74B8CFDC" w:rsidR="00DD0DF7" w:rsidRDefault="00DD0DF7">
      <w:pPr>
        <w:pStyle w:val="TOC2"/>
        <w:tabs>
          <w:tab w:val="right" w:leader="dot" w:pos="9019"/>
        </w:tabs>
        <w:ind w:left="440"/>
        <w:rPr>
          <w:rFonts w:asciiTheme="minorHAnsi" w:hAnsiTheme="minorHAnsi"/>
          <w:noProof/>
          <w:kern w:val="2"/>
          <w:szCs w:val="24"/>
          <w:lang w:eastAsia="zh-CN"/>
          <w14:ligatures w14:val="standardContextual"/>
        </w:rPr>
      </w:pPr>
      <w:hyperlink w:anchor="_Toc237449969" w:history="1">
        <w:r w:rsidRPr="00A123B5">
          <w:rPr>
            <w:rStyle w:val="aff9"/>
            <w:noProof/>
          </w:rPr>
          <w:t>How often the funds trade</w:t>
        </w:r>
        <w:r>
          <w:rPr>
            <w:noProof/>
            <w:webHidden/>
          </w:rPr>
          <w:tab/>
        </w:r>
        <w:r>
          <w:rPr>
            <w:noProof/>
            <w:webHidden/>
          </w:rPr>
          <w:fldChar w:fldCharType="begin"/>
        </w:r>
        <w:r>
          <w:rPr>
            <w:noProof/>
            <w:webHidden/>
          </w:rPr>
          <w:instrText xml:space="preserve"> PAGEREF _Toc237449969 \h </w:instrText>
        </w:r>
        <w:r>
          <w:rPr>
            <w:noProof/>
            <w:webHidden/>
          </w:rPr>
        </w:r>
        <w:r>
          <w:rPr>
            <w:noProof/>
            <w:webHidden/>
          </w:rPr>
          <w:fldChar w:fldCharType="separate"/>
        </w:r>
        <w:r w:rsidR="00EC0521">
          <w:rPr>
            <w:noProof/>
            <w:webHidden/>
          </w:rPr>
          <w:t>3</w:t>
        </w:r>
        <w:r>
          <w:rPr>
            <w:noProof/>
            <w:webHidden/>
          </w:rPr>
          <w:fldChar w:fldCharType="end"/>
        </w:r>
      </w:hyperlink>
    </w:p>
    <w:p w14:paraId="2012A691" w14:textId="53180CAA" w:rsidR="00DD0DF7" w:rsidRDefault="00DD0DF7">
      <w:pPr>
        <w:pStyle w:val="TOC1"/>
        <w:tabs>
          <w:tab w:val="right" w:leader="dot" w:pos="9019"/>
        </w:tabs>
        <w:rPr>
          <w:rFonts w:asciiTheme="minorHAnsi" w:hAnsiTheme="minorHAnsi"/>
          <w:noProof/>
          <w:kern w:val="2"/>
          <w:szCs w:val="24"/>
          <w:lang w:eastAsia="zh-CN"/>
          <w14:ligatures w14:val="standardContextual"/>
        </w:rPr>
      </w:pPr>
      <w:hyperlink w:anchor="_Toc237449970" w:history="1">
        <w:r w:rsidRPr="00A123B5">
          <w:rPr>
            <w:rStyle w:val="aff9"/>
            <w:noProof/>
          </w:rPr>
          <w:t>2. Out-of-sample results and fund fact sheets</w:t>
        </w:r>
        <w:r>
          <w:rPr>
            <w:noProof/>
            <w:webHidden/>
          </w:rPr>
          <w:tab/>
        </w:r>
        <w:r>
          <w:rPr>
            <w:noProof/>
            <w:webHidden/>
          </w:rPr>
          <w:fldChar w:fldCharType="begin"/>
        </w:r>
        <w:r>
          <w:rPr>
            <w:noProof/>
            <w:webHidden/>
          </w:rPr>
          <w:instrText xml:space="preserve"> PAGEREF _Toc237449970 \h </w:instrText>
        </w:r>
        <w:r>
          <w:rPr>
            <w:noProof/>
            <w:webHidden/>
          </w:rPr>
        </w:r>
        <w:r>
          <w:rPr>
            <w:noProof/>
            <w:webHidden/>
          </w:rPr>
          <w:fldChar w:fldCharType="separate"/>
        </w:r>
        <w:r w:rsidR="00EC0521">
          <w:rPr>
            <w:noProof/>
            <w:webHidden/>
          </w:rPr>
          <w:t>4</w:t>
        </w:r>
        <w:r>
          <w:rPr>
            <w:noProof/>
            <w:webHidden/>
          </w:rPr>
          <w:fldChar w:fldCharType="end"/>
        </w:r>
      </w:hyperlink>
    </w:p>
    <w:p w14:paraId="068CD841" w14:textId="1F2FE371" w:rsidR="00DD0DF7" w:rsidRDefault="00DD0DF7">
      <w:pPr>
        <w:pStyle w:val="TOC1"/>
        <w:tabs>
          <w:tab w:val="right" w:leader="dot" w:pos="9019"/>
        </w:tabs>
        <w:rPr>
          <w:rFonts w:asciiTheme="minorHAnsi" w:hAnsiTheme="minorHAnsi"/>
          <w:noProof/>
          <w:kern w:val="2"/>
          <w:szCs w:val="24"/>
          <w:lang w:eastAsia="zh-CN"/>
          <w14:ligatures w14:val="standardContextual"/>
        </w:rPr>
      </w:pPr>
      <w:hyperlink w:anchor="_Toc237449971" w:history="1">
        <w:r w:rsidRPr="00A123B5">
          <w:rPr>
            <w:rStyle w:val="aff9"/>
            <w:noProof/>
          </w:rPr>
          <w:t>3. The news-sentiment index</w:t>
        </w:r>
        <w:r>
          <w:rPr>
            <w:noProof/>
            <w:webHidden/>
          </w:rPr>
          <w:tab/>
        </w:r>
        <w:r>
          <w:rPr>
            <w:noProof/>
            <w:webHidden/>
          </w:rPr>
          <w:fldChar w:fldCharType="begin"/>
        </w:r>
        <w:r>
          <w:rPr>
            <w:noProof/>
            <w:webHidden/>
          </w:rPr>
          <w:instrText xml:space="preserve"> PAGEREF _Toc237449971 \h </w:instrText>
        </w:r>
        <w:r>
          <w:rPr>
            <w:noProof/>
            <w:webHidden/>
          </w:rPr>
        </w:r>
        <w:r>
          <w:rPr>
            <w:noProof/>
            <w:webHidden/>
          </w:rPr>
          <w:fldChar w:fldCharType="separate"/>
        </w:r>
        <w:r w:rsidR="00EC0521">
          <w:rPr>
            <w:noProof/>
            <w:webHidden/>
          </w:rPr>
          <w:t>7</w:t>
        </w:r>
        <w:r>
          <w:rPr>
            <w:noProof/>
            <w:webHidden/>
          </w:rPr>
          <w:fldChar w:fldCharType="end"/>
        </w:r>
      </w:hyperlink>
    </w:p>
    <w:p w14:paraId="6450E557" w14:textId="0FB69AFE" w:rsidR="00DD0DF7" w:rsidRDefault="00DD0DF7">
      <w:pPr>
        <w:pStyle w:val="TOC1"/>
        <w:tabs>
          <w:tab w:val="right" w:leader="dot" w:pos="9019"/>
        </w:tabs>
        <w:rPr>
          <w:rFonts w:asciiTheme="minorHAnsi" w:hAnsiTheme="minorHAnsi"/>
          <w:noProof/>
          <w:kern w:val="2"/>
          <w:szCs w:val="24"/>
          <w:lang w:eastAsia="zh-CN"/>
          <w14:ligatures w14:val="standardContextual"/>
        </w:rPr>
      </w:pPr>
      <w:hyperlink w:anchor="_Toc237449972" w:history="1">
        <w:r w:rsidRPr="00A123B5">
          <w:rPr>
            <w:rStyle w:val="aff9"/>
            <w:noProof/>
          </w:rPr>
          <w:t>4. Fusion: does sentiment improve the funds?</w:t>
        </w:r>
        <w:r>
          <w:rPr>
            <w:noProof/>
            <w:webHidden/>
          </w:rPr>
          <w:tab/>
        </w:r>
        <w:r>
          <w:rPr>
            <w:noProof/>
            <w:webHidden/>
          </w:rPr>
          <w:fldChar w:fldCharType="begin"/>
        </w:r>
        <w:r>
          <w:rPr>
            <w:noProof/>
            <w:webHidden/>
          </w:rPr>
          <w:instrText xml:space="preserve"> PAGEREF _Toc237449972 \h </w:instrText>
        </w:r>
        <w:r>
          <w:rPr>
            <w:noProof/>
            <w:webHidden/>
          </w:rPr>
        </w:r>
        <w:r>
          <w:rPr>
            <w:noProof/>
            <w:webHidden/>
          </w:rPr>
          <w:fldChar w:fldCharType="separate"/>
        </w:r>
        <w:r w:rsidR="00EC0521">
          <w:rPr>
            <w:noProof/>
            <w:webHidden/>
          </w:rPr>
          <w:t>9</w:t>
        </w:r>
        <w:r>
          <w:rPr>
            <w:noProof/>
            <w:webHidden/>
          </w:rPr>
          <w:fldChar w:fldCharType="end"/>
        </w:r>
      </w:hyperlink>
    </w:p>
    <w:p w14:paraId="0E7B2F7F" w14:textId="13ED7DC9" w:rsidR="00DD0DF7" w:rsidRDefault="00DD0DF7">
      <w:pPr>
        <w:pStyle w:val="TOC2"/>
        <w:tabs>
          <w:tab w:val="right" w:leader="dot" w:pos="9019"/>
        </w:tabs>
        <w:ind w:left="440"/>
        <w:rPr>
          <w:rFonts w:asciiTheme="minorHAnsi" w:hAnsiTheme="minorHAnsi"/>
          <w:noProof/>
          <w:kern w:val="2"/>
          <w:szCs w:val="24"/>
          <w:lang w:eastAsia="zh-CN"/>
          <w14:ligatures w14:val="standardContextual"/>
        </w:rPr>
      </w:pPr>
      <w:hyperlink w:anchor="_Toc237449973" w:history="1">
        <w:r w:rsidRPr="00A123B5">
          <w:rPr>
            <w:rStyle w:val="aff9"/>
            <w:noProof/>
          </w:rPr>
          <w:t>Is the signal there at a slower frequency?</w:t>
        </w:r>
        <w:r>
          <w:rPr>
            <w:noProof/>
            <w:webHidden/>
          </w:rPr>
          <w:tab/>
        </w:r>
        <w:r>
          <w:rPr>
            <w:noProof/>
            <w:webHidden/>
          </w:rPr>
          <w:fldChar w:fldCharType="begin"/>
        </w:r>
        <w:r>
          <w:rPr>
            <w:noProof/>
            <w:webHidden/>
          </w:rPr>
          <w:instrText xml:space="preserve"> PAGEREF _Toc237449973 \h </w:instrText>
        </w:r>
        <w:r>
          <w:rPr>
            <w:noProof/>
            <w:webHidden/>
          </w:rPr>
        </w:r>
        <w:r>
          <w:rPr>
            <w:noProof/>
            <w:webHidden/>
          </w:rPr>
          <w:fldChar w:fldCharType="separate"/>
        </w:r>
        <w:r w:rsidR="00EC0521">
          <w:rPr>
            <w:noProof/>
            <w:webHidden/>
          </w:rPr>
          <w:t>11</w:t>
        </w:r>
        <w:r>
          <w:rPr>
            <w:noProof/>
            <w:webHidden/>
          </w:rPr>
          <w:fldChar w:fldCharType="end"/>
        </w:r>
      </w:hyperlink>
    </w:p>
    <w:p w14:paraId="26D9DC67" w14:textId="11CB5220" w:rsidR="00DD0DF7" w:rsidRDefault="00DD0DF7">
      <w:pPr>
        <w:pStyle w:val="TOC1"/>
        <w:tabs>
          <w:tab w:val="right" w:leader="dot" w:pos="9019"/>
        </w:tabs>
        <w:rPr>
          <w:rFonts w:asciiTheme="minorHAnsi" w:hAnsiTheme="minorHAnsi"/>
          <w:noProof/>
          <w:kern w:val="2"/>
          <w:szCs w:val="24"/>
          <w:lang w:eastAsia="zh-CN"/>
          <w14:ligatures w14:val="standardContextual"/>
        </w:rPr>
      </w:pPr>
      <w:hyperlink w:anchor="_Toc237449974" w:history="1">
        <w:r w:rsidRPr="00A123B5">
          <w:rPr>
            <w:rStyle w:val="aff9"/>
            <w:noProof/>
          </w:rPr>
          <w:t>5. Extensions</w:t>
        </w:r>
        <w:r>
          <w:rPr>
            <w:noProof/>
            <w:webHidden/>
          </w:rPr>
          <w:tab/>
        </w:r>
        <w:r>
          <w:rPr>
            <w:noProof/>
            <w:webHidden/>
          </w:rPr>
          <w:fldChar w:fldCharType="begin"/>
        </w:r>
        <w:r>
          <w:rPr>
            <w:noProof/>
            <w:webHidden/>
          </w:rPr>
          <w:instrText xml:space="preserve"> PAGEREF _Toc237449974 \h </w:instrText>
        </w:r>
        <w:r>
          <w:rPr>
            <w:noProof/>
            <w:webHidden/>
          </w:rPr>
        </w:r>
        <w:r>
          <w:rPr>
            <w:noProof/>
            <w:webHidden/>
          </w:rPr>
          <w:fldChar w:fldCharType="separate"/>
        </w:r>
        <w:r w:rsidR="00EC0521">
          <w:rPr>
            <w:noProof/>
            <w:webHidden/>
          </w:rPr>
          <w:t>12</w:t>
        </w:r>
        <w:r>
          <w:rPr>
            <w:noProof/>
            <w:webHidden/>
          </w:rPr>
          <w:fldChar w:fldCharType="end"/>
        </w:r>
      </w:hyperlink>
    </w:p>
    <w:p w14:paraId="0EE916EA" w14:textId="49DB0E7B" w:rsidR="00DD0DF7" w:rsidRDefault="00DD0DF7">
      <w:pPr>
        <w:pStyle w:val="TOC2"/>
        <w:tabs>
          <w:tab w:val="right" w:leader="dot" w:pos="9019"/>
        </w:tabs>
        <w:ind w:left="440"/>
        <w:rPr>
          <w:rFonts w:asciiTheme="minorHAnsi" w:hAnsiTheme="minorHAnsi"/>
          <w:noProof/>
          <w:kern w:val="2"/>
          <w:szCs w:val="24"/>
          <w:lang w:eastAsia="zh-CN"/>
          <w14:ligatures w14:val="standardContextual"/>
        </w:rPr>
      </w:pPr>
      <w:hyperlink w:anchor="_Toc237449975" w:history="1">
        <w:r w:rsidRPr="00A123B5">
          <w:rPr>
            <w:rStyle w:val="aff9"/>
            <w:noProof/>
          </w:rPr>
          <w:t>5.1 A finance lexicon for VADER</w:t>
        </w:r>
        <w:r>
          <w:rPr>
            <w:noProof/>
            <w:webHidden/>
          </w:rPr>
          <w:tab/>
        </w:r>
        <w:r>
          <w:rPr>
            <w:noProof/>
            <w:webHidden/>
          </w:rPr>
          <w:fldChar w:fldCharType="begin"/>
        </w:r>
        <w:r>
          <w:rPr>
            <w:noProof/>
            <w:webHidden/>
          </w:rPr>
          <w:instrText xml:space="preserve"> PAGEREF _Toc237449975 \h </w:instrText>
        </w:r>
        <w:r>
          <w:rPr>
            <w:noProof/>
            <w:webHidden/>
          </w:rPr>
        </w:r>
        <w:r>
          <w:rPr>
            <w:noProof/>
            <w:webHidden/>
          </w:rPr>
          <w:fldChar w:fldCharType="separate"/>
        </w:r>
        <w:r w:rsidR="00EC0521">
          <w:rPr>
            <w:noProof/>
            <w:webHidden/>
          </w:rPr>
          <w:t>12</w:t>
        </w:r>
        <w:r>
          <w:rPr>
            <w:noProof/>
            <w:webHidden/>
          </w:rPr>
          <w:fldChar w:fldCharType="end"/>
        </w:r>
      </w:hyperlink>
    </w:p>
    <w:p w14:paraId="1F20CB07" w14:textId="43E67C51" w:rsidR="00DD0DF7" w:rsidRDefault="00DD0DF7">
      <w:pPr>
        <w:pStyle w:val="TOC2"/>
        <w:tabs>
          <w:tab w:val="right" w:leader="dot" w:pos="9019"/>
        </w:tabs>
        <w:ind w:left="440"/>
        <w:rPr>
          <w:rFonts w:asciiTheme="minorHAnsi" w:hAnsiTheme="minorHAnsi"/>
          <w:noProof/>
          <w:kern w:val="2"/>
          <w:szCs w:val="24"/>
          <w:lang w:eastAsia="zh-CN"/>
          <w14:ligatures w14:val="standardContextual"/>
        </w:rPr>
      </w:pPr>
      <w:hyperlink w:anchor="_Toc237449976" w:history="1">
        <w:r w:rsidRPr="00A123B5">
          <w:rPr>
            <w:rStyle w:val="aff9"/>
            <w:noProof/>
          </w:rPr>
          <w:t>5.2 A tilt that learns its own direction</w:t>
        </w:r>
        <w:r>
          <w:rPr>
            <w:noProof/>
            <w:webHidden/>
          </w:rPr>
          <w:tab/>
        </w:r>
        <w:r>
          <w:rPr>
            <w:noProof/>
            <w:webHidden/>
          </w:rPr>
          <w:fldChar w:fldCharType="begin"/>
        </w:r>
        <w:r>
          <w:rPr>
            <w:noProof/>
            <w:webHidden/>
          </w:rPr>
          <w:instrText xml:space="preserve"> PAGEREF _Toc237449976 \h </w:instrText>
        </w:r>
        <w:r>
          <w:rPr>
            <w:noProof/>
            <w:webHidden/>
          </w:rPr>
        </w:r>
        <w:r>
          <w:rPr>
            <w:noProof/>
            <w:webHidden/>
          </w:rPr>
          <w:fldChar w:fldCharType="separate"/>
        </w:r>
        <w:r w:rsidR="00EC0521">
          <w:rPr>
            <w:noProof/>
            <w:webHidden/>
          </w:rPr>
          <w:t>13</w:t>
        </w:r>
        <w:r>
          <w:rPr>
            <w:noProof/>
            <w:webHidden/>
          </w:rPr>
          <w:fldChar w:fldCharType="end"/>
        </w:r>
      </w:hyperlink>
    </w:p>
    <w:p w14:paraId="481991FA" w14:textId="24539D5D" w:rsidR="00DD0DF7" w:rsidRDefault="00DD0DF7">
      <w:pPr>
        <w:pStyle w:val="TOC2"/>
        <w:tabs>
          <w:tab w:val="right" w:leader="dot" w:pos="9019"/>
        </w:tabs>
        <w:ind w:left="440"/>
        <w:rPr>
          <w:rFonts w:asciiTheme="minorHAnsi" w:hAnsiTheme="minorHAnsi"/>
          <w:noProof/>
          <w:kern w:val="2"/>
          <w:szCs w:val="24"/>
          <w:lang w:eastAsia="zh-CN"/>
          <w14:ligatures w14:val="standardContextual"/>
        </w:rPr>
      </w:pPr>
      <w:hyperlink w:anchor="_Toc237449977" w:history="1">
        <w:r w:rsidRPr="00A123B5">
          <w:rPr>
            <w:rStyle w:val="aff9"/>
            <w:noProof/>
          </w:rPr>
          <w:t>5.3 Was the winner found or fitted?</w:t>
        </w:r>
        <w:r>
          <w:rPr>
            <w:noProof/>
            <w:webHidden/>
          </w:rPr>
          <w:tab/>
        </w:r>
        <w:r>
          <w:rPr>
            <w:noProof/>
            <w:webHidden/>
          </w:rPr>
          <w:fldChar w:fldCharType="begin"/>
        </w:r>
        <w:r>
          <w:rPr>
            <w:noProof/>
            <w:webHidden/>
          </w:rPr>
          <w:instrText xml:space="preserve"> PAGEREF _Toc237449977 \h </w:instrText>
        </w:r>
        <w:r>
          <w:rPr>
            <w:noProof/>
            <w:webHidden/>
          </w:rPr>
        </w:r>
        <w:r>
          <w:rPr>
            <w:noProof/>
            <w:webHidden/>
          </w:rPr>
          <w:fldChar w:fldCharType="separate"/>
        </w:r>
        <w:r w:rsidR="00EC0521">
          <w:rPr>
            <w:noProof/>
            <w:webHidden/>
          </w:rPr>
          <w:t>15</w:t>
        </w:r>
        <w:r>
          <w:rPr>
            <w:noProof/>
            <w:webHidden/>
          </w:rPr>
          <w:fldChar w:fldCharType="end"/>
        </w:r>
      </w:hyperlink>
    </w:p>
    <w:p w14:paraId="1801F3C6" w14:textId="4CF54775" w:rsidR="00DD0DF7" w:rsidRDefault="00DD0DF7">
      <w:pPr>
        <w:pStyle w:val="TOC2"/>
        <w:tabs>
          <w:tab w:val="right" w:leader="dot" w:pos="9019"/>
        </w:tabs>
        <w:ind w:left="440"/>
        <w:rPr>
          <w:rFonts w:asciiTheme="minorHAnsi" w:hAnsiTheme="minorHAnsi"/>
          <w:noProof/>
          <w:kern w:val="2"/>
          <w:szCs w:val="24"/>
          <w:lang w:eastAsia="zh-CN"/>
          <w14:ligatures w14:val="standardContextual"/>
        </w:rPr>
      </w:pPr>
      <w:hyperlink w:anchor="_Toc237449978" w:history="1">
        <w:r w:rsidRPr="00A123B5">
          <w:rPr>
            <w:rStyle w:val="aff9"/>
            <w:noProof/>
          </w:rPr>
          <w:t>5.4 Fear and greed as a timing overlay</w:t>
        </w:r>
        <w:r>
          <w:rPr>
            <w:noProof/>
            <w:webHidden/>
          </w:rPr>
          <w:tab/>
        </w:r>
        <w:r>
          <w:rPr>
            <w:noProof/>
            <w:webHidden/>
          </w:rPr>
          <w:fldChar w:fldCharType="begin"/>
        </w:r>
        <w:r>
          <w:rPr>
            <w:noProof/>
            <w:webHidden/>
          </w:rPr>
          <w:instrText xml:space="preserve"> PAGEREF _Toc237449978 \h </w:instrText>
        </w:r>
        <w:r>
          <w:rPr>
            <w:noProof/>
            <w:webHidden/>
          </w:rPr>
        </w:r>
        <w:r>
          <w:rPr>
            <w:noProof/>
            <w:webHidden/>
          </w:rPr>
          <w:fldChar w:fldCharType="separate"/>
        </w:r>
        <w:r w:rsidR="00EC0521">
          <w:rPr>
            <w:noProof/>
            <w:webHidden/>
          </w:rPr>
          <w:t>16</w:t>
        </w:r>
        <w:r>
          <w:rPr>
            <w:noProof/>
            <w:webHidden/>
          </w:rPr>
          <w:fldChar w:fldCharType="end"/>
        </w:r>
      </w:hyperlink>
    </w:p>
    <w:p w14:paraId="1DF19F24" w14:textId="740E0ADC" w:rsidR="00DD0DF7" w:rsidRDefault="00DD0DF7">
      <w:pPr>
        <w:pStyle w:val="TOC1"/>
        <w:tabs>
          <w:tab w:val="right" w:leader="dot" w:pos="9019"/>
        </w:tabs>
        <w:rPr>
          <w:rFonts w:asciiTheme="minorHAnsi" w:hAnsiTheme="minorHAnsi"/>
          <w:noProof/>
          <w:kern w:val="2"/>
          <w:szCs w:val="24"/>
          <w:lang w:eastAsia="zh-CN"/>
          <w14:ligatures w14:val="standardContextual"/>
        </w:rPr>
      </w:pPr>
      <w:hyperlink w:anchor="_Toc237449979" w:history="1">
        <w:r w:rsidRPr="00A123B5">
          <w:rPr>
            <w:rStyle w:val="aff9"/>
            <w:noProof/>
          </w:rPr>
          <w:t>6. The app and the investor journey</w:t>
        </w:r>
        <w:r>
          <w:rPr>
            <w:noProof/>
            <w:webHidden/>
          </w:rPr>
          <w:tab/>
        </w:r>
        <w:r>
          <w:rPr>
            <w:noProof/>
            <w:webHidden/>
          </w:rPr>
          <w:fldChar w:fldCharType="begin"/>
        </w:r>
        <w:r>
          <w:rPr>
            <w:noProof/>
            <w:webHidden/>
          </w:rPr>
          <w:instrText xml:space="preserve"> PAGEREF _Toc237449979 \h </w:instrText>
        </w:r>
        <w:r>
          <w:rPr>
            <w:noProof/>
            <w:webHidden/>
          </w:rPr>
        </w:r>
        <w:r>
          <w:rPr>
            <w:noProof/>
            <w:webHidden/>
          </w:rPr>
          <w:fldChar w:fldCharType="separate"/>
        </w:r>
        <w:r w:rsidR="00EC0521">
          <w:rPr>
            <w:noProof/>
            <w:webHidden/>
          </w:rPr>
          <w:t>17</w:t>
        </w:r>
        <w:r>
          <w:rPr>
            <w:noProof/>
            <w:webHidden/>
          </w:rPr>
          <w:fldChar w:fldCharType="end"/>
        </w:r>
      </w:hyperlink>
    </w:p>
    <w:p w14:paraId="5972E1FF" w14:textId="3F501722" w:rsidR="00DD0DF7" w:rsidRDefault="00DD0DF7">
      <w:pPr>
        <w:pStyle w:val="TOC1"/>
        <w:tabs>
          <w:tab w:val="right" w:leader="dot" w:pos="9019"/>
        </w:tabs>
        <w:rPr>
          <w:rFonts w:asciiTheme="minorHAnsi" w:hAnsiTheme="minorHAnsi"/>
          <w:noProof/>
          <w:kern w:val="2"/>
          <w:szCs w:val="24"/>
          <w:lang w:eastAsia="zh-CN"/>
          <w14:ligatures w14:val="standardContextual"/>
        </w:rPr>
      </w:pPr>
      <w:hyperlink w:anchor="_Toc237449980" w:history="1">
        <w:r w:rsidRPr="00A123B5">
          <w:rPr>
            <w:rStyle w:val="aff9"/>
            <w:noProof/>
          </w:rPr>
          <w:t>7. Critical reflection and recommendations</w:t>
        </w:r>
        <w:r>
          <w:rPr>
            <w:noProof/>
            <w:webHidden/>
          </w:rPr>
          <w:tab/>
        </w:r>
        <w:r>
          <w:rPr>
            <w:noProof/>
            <w:webHidden/>
          </w:rPr>
          <w:fldChar w:fldCharType="begin"/>
        </w:r>
        <w:r>
          <w:rPr>
            <w:noProof/>
            <w:webHidden/>
          </w:rPr>
          <w:instrText xml:space="preserve"> PAGEREF _Toc237449980 \h </w:instrText>
        </w:r>
        <w:r>
          <w:rPr>
            <w:noProof/>
            <w:webHidden/>
          </w:rPr>
        </w:r>
        <w:r>
          <w:rPr>
            <w:noProof/>
            <w:webHidden/>
          </w:rPr>
          <w:fldChar w:fldCharType="separate"/>
        </w:r>
        <w:r w:rsidR="00EC0521">
          <w:rPr>
            <w:noProof/>
            <w:webHidden/>
          </w:rPr>
          <w:t>17</w:t>
        </w:r>
        <w:r>
          <w:rPr>
            <w:noProof/>
            <w:webHidden/>
          </w:rPr>
          <w:fldChar w:fldCharType="end"/>
        </w:r>
      </w:hyperlink>
    </w:p>
    <w:p w14:paraId="2754DD23" w14:textId="182BDBF4" w:rsidR="00DD0DF7" w:rsidRDefault="00DD0DF7">
      <w:pPr>
        <w:pStyle w:val="TOC1"/>
        <w:tabs>
          <w:tab w:val="right" w:leader="dot" w:pos="9019"/>
        </w:tabs>
        <w:rPr>
          <w:rFonts w:asciiTheme="minorHAnsi" w:hAnsiTheme="minorHAnsi"/>
          <w:noProof/>
          <w:kern w:val="2"/>
          <w:szCs w:val="24"/>
          <w:lang w:eastAsia="zh-CN"/>
          <w14:ligatures w14:val="standardContextual"/>
        </w:rPr>
      </w:pPr>
      <w:hyperlink w:anchor="_Toc237449981" w:history="1">
        <w:r w:rsidRPr="00A123B5">
          <w:rPr>
            <w:rStyle w:val="aff9"/>
            <w:noProof/>
          </w:rPr>
          <w:t>References</w:t>
        </w:r>
        <w:r>
          <w:rPr>
            <w:noProof/>
            <w:webHidden/>
          </w:rPr>
          <w:tab/>
        </w:r>
        <w:r>
          <w:rPr>
            <w:noProof/>
            <w:webHidden/>
          </w:rPr>
          <w:fldChar w:fldCharType="begin"/>
        </w:r>
        <w:r>
          <w:rPr>
            <w:noProof/>
            <w:webHidden/>
          </w:rPr>
          <w:instrText xml:space="preserve"> PAGEREF _Toc237449981 \h </w:instrText>
        </w:r>
        <w:r>
          <w:rPr>
            <w:noProof/>
            <w:webHidden/>
          </w:rPr>
        </w:r>
        <w:r>
          <w:rPr>
            <w:noProof/>
            <w:webHidden/>
          </w:rPr>
          <w:fldChar w:fldCharType="separate"/>
        </w:r>
        <w:r w:rsidR="00EC0521">
          <w:rPr>
            <w:noProof/>
            <w:webHidden/>
          </w:rPr>
          <w:t>18</w:t>
        </w:r>
        <w:r>
          <w:rPr>
            <w:noProof/>
            <w:webHidden/>
          </w:rPr>
          <w:fldChar w:fldCharType="end"/>
        </w:r>
      </w:hyperlink>
    </w:p>
    <w:p w14:paraId="7DB457F6" w14:textId="0D0D2D7C" w:rsidR="00DD0DF7" w:rsidRDefault="00DD0DF7">
      <w:pPr>
        <w:pStyle w:val="TOC1"/>
        <w:tabs>
          <w:tab w:val="right" w:leader="dot" w:pos="9019"/>
        </w:tabs>
        <w:rPr>
          <w:rFonts w:asciiTheme="minorHAnsi" w:hAnsiTheme="minorHAnsi"/>
          <w:noProof/>
          <w:kern w:val="2"/>
          <w:szCs w:val="24"/>
          <w:lang w:eastAsia="zh-CN"/>
          <w14:ligatures w14:val="standardContextual"/>
        </w:rPr>
      </w:pPr>
      <w:hyperlink w:anchor="_Toc237449982" w:history="1">
        <w:r w:rsidRPr="00A123B5">
          <w:rPr>
            <w:rStyle w:val="aff9"/>
            <w:noProof/>
          </w:rPr>
          <w:t>Appendix</w:t>
        </w:r>
        <w:r>
          <w:rPr>
            <w:noProof/>
            <w:webHidden/>
          </w:rPr>
          <w:tab/>
        </w:r>
        <w:r>
          <w:rPr>
            <w:noProof/>
            <w:webHidden/>
          </w:rPr>
          <w:fldChar w:fldCharType="begin"/>
        </w:r>
        <w:r>
          <w:rPr>
            <w:noProof/>
            <w:webHidden/>
          </w:rPr>
          <w:instrText xml:space="preserve"> PAGEREF _Toc237449982 \h </w:instrText>
        </w:r>
        <w:r>
          <w:rPr>
            <w:noProof/>
            <w:webHidden/>
          </w:rPr>
        </w:r>
        <w:r>
          <w:rPr>
            <w:noProof/>
            <w:webHidden/>
          </w:rPr>
          <w:fldChar w:fldCharType="separate"/>
        </w:r>
        <w:r w:rsidR="00EC0521">
          <w:rPr>
            <w:noProof/>
            <w:webHidden/>
          </w:rPr>
          <w:t>19</w:t>
        </w:r>
        <w:r>
          <w:rPr>
            <w:noProof/>
            <w:webHidden/>
          </w:rPr>
          <w:fldChar w:fldCharType="end"/>
        </w:r>
      </w:hyperlink>
    </w:p>
    <w:p w14:paraId="0A9F66D1" w14:textId="2A403B01" w:rsidR="00DD0DF7" w:rsidRDefault="00DD0DF7">
      <w:pPr>
        <w:pStyle w:val="TOC2"/>
        <w:tabs>
          <w:tab w:val="right" w:leader="dot" w:pos="9019"/>
        </w:tabs>
        <w:ind w:left="440"/>
        <w:rPr>
          <w:rFonts w:asciiTheme="minorHAnsi" w:hAnsiTheme="minorHAnsi"/>
          <w:noProof/>
          <w:kern w:val="2"/>
          <w:szCs w:val="24"/>
          <w:lang w:eastAsia="zh-CN"/>
          <w14:ligatures w14:val="standardContextual"/>
        </w:rPr>
      </w:pPr>
      <w:hyperlink w:anchor="_Toc237449983" w:history="1">
        <w:r w:rsidRPr="00A123B5">
          <w:rPr>
            <w:rStyle w:val="aff9"/>
            <w:noProof/>
          </w:rPr>
          <w:t>Appendix A - The four objectives</w:t>
        </w:r>
        <w:r>
          <w:rPr>
            <w:noProof/>
            <w:webHidden/>
          </w:rPr>
          <w:tab/>
        </w:r>
        <w:r>
          <w:rPr>
            <w:noProof/>
            <w:webHidden/>
          </w:rPr>
          <w:fldChar w:fldCharType="begin"/>
        </w:r>
        <w:r>
          <w:rPr>
            <w:noProof/>
            <w:webHidden/>
          </w:rPr>
          <w:instrText xml:space="preserve"> PAGEREF _Toc237449983 \h </w:instrText>
        </w:r>
        <w:r>
          <w:rPr>
            <w:noProof/>
            <w:webHidden/>
          </w:rPr>
        </w:r>
        <w:r>
          <w:rPr>
            <w:noProof/>
            <w:webHidden/>
          </w:rPr>
          <w:fldChar w:fldCharType="separate"/>
        </w:r>
        <w:r w:rsidR="00EC0521">
          <w:rPr>
            <w:noProof/>
            <w:webHidden/>
          </w:rPr>
          <w:t>19</w:t>
        </w:r>
        <w:r>
          <w:rPr>
            <w:noProof/>
            <w:webHidden/>
          </w:rPr>
          <w:fldChar w:fldCharType="end"/>
        </w:r>
      </w:hyperlink>
    </w:p>
    <w:p w14:paraId="2038095D" w14:textId="76C2D27A" w:rsidR="00DD0DF7" w:rsidRDefault="00DD0DF7">
      <w:pPr>
        <w:pStyle w:val="TOC2"/>
        <w:tabs>
          <w:tab w:val="right" w:leader="dot" w:pos="9019"/>
        </w:tabs>
        <w:ind w:left="440"/>
        <w:rPr>
          <w:rFonts w:asciiTheme="minorHAnsi" w:hAnsiTheme="minorHAnsi"/>
          <w:noProof/>
          <w:kern w:val="2"/>
          <w:szCs w:val="24"/>
          <w:lang w:eastAsia="zh-CN"/>
          <w14:ligatures w14:val="standardContextual"/>
        </w:rPr>
      </w:pPr>
      <w:hyperlink w:anchor="_Toc237449984" w:history="1">
        <w:r w:rsidRPr="00A123B5">
          <w:rPr>
            <w:rStyle w:val="aff9"/>
            <w:noProof/>
          </w:rPr>
          <w:t>Appendix B - Supporting exhibits</w:t>
        </w:r>
        <w:r>
          <w:rPr>
            <w:noProof/>
            <w:webHidden/>
          </w:rPr>
          <w:tab/>
        </w:r>
        <w:r>
          <w:rPr>
            <w:noProof/>
            <w:webHidden/>
          </w:rPr>
          <w:fldChar w:fldCharType="begin"/>
        </w:r>
        <w:r>
          <w:rPr>
            <w:noProof/>
            <w:webHidden/>
          </w:rPr>
          <w:instrText xml:space="preserve"> PAGEREF _Toc237449984 \h </w:instrText>
        </w:r>
        <w:r>
          <w:rPr>
            <w:noProof/>
            <w:webHidden/>
          </w:rPr>
        </w:r>
        <w:r>
          <w:rPr>
            <w:noProof/>
            <w:webHidden/>
          </w:rPr>
          <w:fldChar w:fldCharType="separate"/>
        </w:r>
        <w:r w:rsidR="00EC0521">
          <w:rPr>
            <w:noProof/>
            <w:webHidden/>
          </w:rPr>
          <w:t>20</w:t>
        </w:r>
        <w:r>
          <w:rPr>
            <w:noProof/>
            <w:webHidden/>
          </w:rPr>
          <w:fldChar w:fldCharType="end"/>
        </w:r>
      </w:hyperlink>
    </w:p>
    <w:p w14:paraId="20CBF96C" w14:textId="5C2370F1" w:rsidR="00DD0DF7" w:rsidRDefault="00DD0DF7">
      <w:pPr>
        <w:pStyle w:val="TOC2"/>
        <w:tabs>
          <w:tab w:val="right" w:leader="dot" w:pos="9019"/>
        </w:tabs>
        <w:ind w:left="440"/>
        <w:rPr>
          <w:rFonts w:asciiTheme="minorHAnsi" w:hAnsiTheme="minorHAnsi"/>
          <w:noProof/>
          <w:kern w:val="2"/>
          <w:szCs w:val="24"/>
          <w:lang w:eastAsia="zh-CN"/>
          <w14:ligatures w14:val="standardContextual"/>
        </w:rPr>
      </w:pPr>
      <w:hyperlink w:anchor="_Toc237449985" w:history="1">
        <w:r w:rsidRPr="00A123B5">
          <w:rPr>
            <w:rStyle w:val="aff9"/>
            <w:noProof/>
          </w:rPr>
          <w:t>Appendix C - The figure design system</w:t>
        </w:r>
        <w:r>
          <w:rPr>
            <w:noProof/>
            <w:webHidden/>
          </w:rPr>
          <w:tab/>
        </w:r>
        <w:r>
          <w:rPr>
            <w:noProof/>
            <w:webHidden/>
          </w:rPr>
          <w:fldChar w:fldCharType="begin"/>
        </w:r>
        <w:r>
          <w:rPr>
            <w:noProof/>
            <w:webHidden/>
          </w:rPr>
          <w:instrText xml:space="preserve"> PAGEREF _Toc237449985 \h </w:instrText>
        </w:r>
        <w:r>
          <w:rPr>
            <w:noProof/>
            <w:webHidden/>
          </w:rPr>
        </w:r>
        <w:r>
          <w:rPr>
            <w:noProof/>
            <w:webHidden/>
          </w:rPr>
          <w:fldChar w:fldCharType="separate"/>
        </w:r>
        <w:r w:rsidR="00EC0521">
          <w:rPr>
            <w:noProof/>
            <w:webHidden/>
          </w:rPr>
          <w:t>21</w:t>
        </w:r>
        <w:r>
          <w:rPr>
            <w:noProof/>
            <w:webHidden/>
          </w:rPr>
          <w:fldChar w:fldCharType="end"/>
        </w:r>
      </w:hyperlink>
    </w:p>
    <w:p w14:paraId="4C2C6665" w14:textId="5584F14C" w:rsidR="00DD0DF7" w:rsidRDefault="00DD0DF7">
      <w:pPr>
        <w:pStyle w:val="TOC2"/>
        <w:tabs>
          <w:tab w:val="right" w:leader="dot" w:pos="9019"/>
        </w:tabs>
        <w:ind w:left="440"/>
        <w:rPr>
          <w:rFonts w:asciiTheme="minorHAnsi" w:hAnsiTheme="minorHAnsi"/>
          <w:noProof/>
          <w:kern w:val="2"/>
          <w:szCs w:val="24"/>
          <w:lang w:eastAsia="zh-CN"/>
          <w14:ligatures w14:val="standardContextual"/>
        </w:rPr>
      </w:pPr>
      <w:hyperlink w:anchor="_Toc237449986" w:history="1">
        <w:r w:rsidRPr="00A123B5">
          <w:rPr>
            <w:rStyle w:val="aff9"/>
            <w:noProof/>
          </w:rPr>
          <w:t>Appendix D - Rolling against expanding estimation windows</w:t>
        </w:r>
        <w:r>
          <w:rPr>
            <w:noProof/>
            <w:webHidden/>
          </w:rPr>
          <w:tab/>
        </w:r>
        <w:r>
          <w:rPr>
            <w:noProof/>
            <w:webHidden/>
          </w:rPr>
          <w:fldChar w:fldCharType="begin"/>
        </w:r>
        <w:r>
          <w:rPr>
            <w:noProof/>
            <w:webHidden/>
          </w:rPr>
          <w:instrText xml:space="preserve"> PAGEREF _Toc237449986 \h </w:instrText>
        </w:r>
        <w:r>
          <w:rPr>
            <w:noProof/>
            <w:webHidden/>
          </w:rPr>
        </w:r>
        <w:r>
          <w:rPr>
            <w:noProof/>
            <w:webHidden/>
          </w:rPr>
          <w:fldChar w:fldCharType="separate"/>
        </w:r>
        <w:r w:rsidR="00EC0521">
          <w:rPr>
            <w:noProof/>
            <w:webHidden/>
          </w:rPr>
          <w:t>21</w:t>
        </w:r>
        <w:r>
          <w:rPr>
            <w:noProof/>
            <w:webHidden/>
          </w:rPr>
          <w:fldChar w:fldCharType="end"/>
        </w:r>
      </w:hyperlink>
    </w:p>
    <w:p w14:paraId="5E611971" w14:textId="2656CECE" w:rsidR="00DD0DF7" w:rsidRDefault="00DD0DF7">
      <w:pPr>
        <w:pStyle w:val="TOC2"/>
        <w:tabs>
          <w:tab w:val="right" w:leader="dot" w:pos="9019"/>
        </w:tabs>
        <w:ind w:left="440"/>
        <w:rPr>
          <w:rFonts w:asciiTheme="minorHAnsi" w:hAnsiTheme="minorHAnsi"/>
          <w:noProof/>
          <w:kern w:val="2"/>
          <w:szCs w:val="24"/>
          <w:lang w:eastAsia="zh-CN"/>
          <w14:ligatures w14:val="standardContextual"/>
        </w:rPr>
      </w:pPr>
      <w:hyperlink w:anchor="_Toc237449987" w:history="1">
        <w:r w:rsidRPr="00A123B5">
          <w:rPr>
            <w:rStyle w:val="aff9"/>
            <w:noProof/>
          </w:rPr>
          <w:t>Appendix E - Does correcting the covariance fix the result?</w:t>
        </w:r>
        <w:r>
          <w:rPr>
            <w:noProof/>
            <w:webHidden/>
          </w:rPr>
          <w:tab/>
        </w:r>
        <w:r>
          <w:rPr>
            <w:noProof/>
            <w:webHidden/>
          </w:rPr>
          <w:fldChar w:fldCharType="begin"/>
        </w:r>
        <w:r>
          <w:rPr>
            <w:noProof/>
            <w:webHidden/>
          </w:rPr>
          <w:instrText xml:space="preserve"> PAGEREF _Toc237449987 \h </w:instrText>
        </w:r>
        <w:r>
          <w:rPr>
            <w:noProof/>
            <w:webHidden/>
          </w:rPr>
        </w:r>
        <w:r>
          <w:rPr>
            <w:noProof/>
            <w:webHidden/>
          </w:rPr>
          <w:fldChar w:fldCharType="separate"/>
        </w:r>
        <w:r w:rsidR="00EC0521">
          <w:rPr>
            <w:noProof/>
            <w:webHidden/>
          </w:rPr>
          <w:t>22</w:t>
        </w:r>
        <w:r>
          <w:rPr>
            <w:noProof/>
            <w:webHidden/>
          </w:rPr>
          <w:fldChar w:fldCharType="end"/>
        </w:r>
      </w:hyperlink>
    </w:p>
    <w:p w14:paraId="7A941C27" w14:textId="4E19DB57" w:rsidR="0067237E" w:rsidRDefault="00000000">
      <w:r>
        <w:fldChar w:fldCharType="end"/>
      </w:r>
    </w:p>
    <w:p w14:paraId="1F08FC81" w14:textId="77777777" w:rsidR="0067237E" w:rsidRDefault="00000000">
      <w:r>
        <w:t>Right-click and choose Update Field in Word to populate this.</w:t>
      </w:r>
    </w:p>
    <w:p w14:paraId="36CBAFC3" w14:textId="77777777" w:rsidR="0067237E" w:rsidRDefault="00000000">
      <w:pPr>
        <w:pStyle w:val="1"/>
      </w:pPr>
      <w:bookmarkStart w:id="2" w:name="_Toc237449968"/>
      <w:r>
        <w:t>1. The funds and the backtest design</w:t>
      </w:r>
      <w:bookmarkEnd w:id="2"/>
    </w:p>
    <w:p w14:paraId="3F22AFF2" w14:textId="77777777" w:rsidR="0067237E" w:rsidRDefault="00000000">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following Markowitz 1952), and risk parity (Maillard, Roncalli and Teiletche 2010). All are long only and fully invested, so weights are non-negative and sum to one.</w:t>
      </w:r>
    </w:p>
    <w:p w14:paraId="30C4A42B" w14:textId="77777777" w:rsidR="0067237E" w:rsidRDefault="00000000">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14:paraId="02DAC384" w14:textId="77777777" w:rsidR="0067237E" w:rsidRDefault="00000000">
      <w:r>
        <w:t>Two conventions are stated rather than assumed. The risk-free rate is zero, so the Sharpe ratio (Sharpe 1966, 1994)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14:paraId="1D8B53C8" w14:textId="77777777" w:rsidR="0067237E" w:rsidRDefault="00000000">
      <w:r>
        <w:t>The four objectives are stated formally in Appendix A, with every symbol defined.</w:t>
      </w:r>
    </w:p>
    <w:p w14:paraId="0519D550" w14:textId="77777777" w:rsidR="0067237E" w:rsidRDefault="00000000">
      <w:r>
        <w:t>Three design choices deserve defending. The estimation window rolls rather than expands, so the covariance matrix reflects the most recent year of trading rather than an average of the whole history, which trades a noisier estimate for responsiveness to a change in regime. Rebalancing monthly balances the same tension the other way: often enough to act on a changed covariance estimate, rarely enough not to pay for chasing noise. Long-only weights match what the product is and bound the damage an extreme estimate can do, since no weight can go below zero however attractive a short looks. Jagannathan and Ma (2003) show that a no-</w:t>
      </w:r>
      <w:r>
        <w:lastRenderedPageBreak/>
        <w:t>short-sale constraint acts on a minimum-variance problem in the same way as shrinking the most extreme covariance estimates, so the constraint buys statistical stability as well as investability. Appendix D tests that trade-off: an expanding window lifts the equity funds (+0.110 on minimum variance) and costs the flagship Combined Maximum-Sharpe fund 0.583, because it never forgets the crypto regime that ended in 2022.</w:t>
      </w:r>
    </w:p>
    <w:p w14:paraId="4B190447" w14:textId="77777777" w:rsidR="0067237E" w:rsidRDefault="00000000">
      <w:r>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14:paraId="19C5E3B3" w14:textId="77777777" w:rsidR="0067237E" w:rsidRDefault="00000000">
      <w:pPr>
        <w:pStyle w:val="21"/>
      </w:pPr>
      <w:bookmarkStart w:id="3" w:name="_Toc237449969"/>
      <w:r>
        <w:t>How often the funds trade</w:t>
      </w:r>
      <w:bookmarkEnd w:id="3"/>
    </w:p>
    <w:p w14:paraId="57BCFD94" w14:textId="77777777" w:rsidR="0067237E" w:rsidRDefault="00000000">
      <w:r>
        <w:t>Monthly rebalancing is a choice, so the alternatives were measured. Weekly, fortnightly, monthly and quarterly schedules were run for each method on the combined universe, gross and net of costs.</w:t>
      </w:r>
    </w:p>
    <w:p w14:paraId="0858EF69" w14:textId="77777777" w:rsidR="0067237E" w:rsidRDefault="00000000">
      <w:pPr>
        <w:jc w:val="center"/>
      </w:pPr>
      <w:r>
        <w:rPr>
          <w:noProof/>
        </w:rPr>
        <w:drawing>
          <wp:inline distT="0" distB="0" distL="0" distR="0" wp14:anchorId="3B3CDE11" wp14:editId="291FF829">
            <wp:extent cx="5577840" cy="2847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577840" cy="2847596"/>
                    </a:xfrm>
                    <a:prstGeom prst="rect">
                      <a:avLst/>
                    </a:prstGeom>
                  </pic:spPr>
                </pic:pic>
              </a:graphicData>
            </a:graphic>
          </wp:inline>
        </w:drawing>
      </w:r>
    </w:p>
    <w:p w14:paraId="56E53E0C" w14:textId="33E503E0" w:rsidR="0067237E" w:rsidRDefault="00000000">
      <w:pPr>
        <w:pStyle w:val="af7"/>
      </w:pPr>
      <w:r>
        <w:t xml:space="preserve">Figure </w:t>
      </w:r>
      <w:fldSimple w:instr=" SEQ Figure \* ARABIC ">
        <w:r w:rsidR="00EC0521">
          <w:rPr>
            <w:noProof/>
          </w:rPr>
          <w:t>1</w:t>
        </w:r>
      </w:fldSimple>
      <w:r>
        <w:t>: Sharpe ratio net of 10 bp of one-way turnover against annual turnover, for four rebalance schedules across the four combined funds. Out-of-sample, 2021-2023.</w:t>
      </w:r>
    </w:p>
    <w:p w14:paraId="338A4753" w14:textId="77777777" w:rsidR="0067237E" w:rsidRDefault="00000000">
      <w:r>
        <w:t>Best net-of-cost schedule by method: Equal-Weight fortnightly; Maximum-Sharpe monthly; Minimum-Variance weekly; Risk Parity fortnightly.</w:t>
      </w:r>
    </w:p>
    <w:p w14:paraId="5ADF0362" w14:textId="77777777" w:rsidR="0067237E" w:rsidRDefault="00000000">
      <w:r>
        <w:t>Quarterly rebalancing is worst for every method, which says the cost of holding a stale covariance estimate for three months exceeds the trading it saves. Above that floor the schedules separate by how much each method's weights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because it is the best net outcome for the fund most sensitive to the decision and within a few hundredths of the best for the rest.</w:t>
      </w:r>
    </w:p>
    <w:p w14:paraId="3891A456" w14:textId="77777777" w:rsidR="0067237E" w:rsidRDefault="00000000">
      <w:pPr>
        <w:pStyle w:val="1"/>
      </w:pPr>
      <w:bookmarkStart w:id="4" w:name="_Toc237449970"/>
      <w:r>
        <w:lastRenderedPageBreak/>
        <w:t>2. Out-of-sample results and fund fact sheets</w:t>
      </w:r>
      <w:bookmarkEnd w:id="4"/>
    </w:p>
    <w:p w14:paraId="465A59FF" w14:textId="7A9CB81C" w:rsidR="0067237E" w:rsidRDefault="00000000">
      <w:pPr>
        <w:pStyle w:val="af7"/>
      </w:pPr>
      <w:r>
        <w:t xml:space="preserve">Table </w:t>
      </w:r>
      <w:fldSimple w:instr=" SEQ Table \* ARABIC ">
        <w:r w:rsidR="00EC0521">
          <w:rPr>
            <w:noProof/>
          </w:rPr>
          <w:t>1</w:t>
        </w:r>
      </w:fldSimple>
      <w:r>
        <w:t>: Out-of-sample performance of all twelve funds. Annualised return is geometric; the Sharpe ratio uses the arithmetic mean with a zero risk-free rate. Equity and combined funds annualise on 252 days, crypto-only on 365. 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4D740141"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33B74EA" w14:textId="77777777" w:rsidR="0067237E" w:rsidRDefault="00000000">
            <w:r>
              <w:rPr>
                <w:sz w:val="16"/>
              </w:rPr>
              <w:t>fund</w:t>
            </w:r>
          </w:p>
        </w:tc>
        <w:tc>
          <w:tcPr>
            <w:tcW w:w="1505" w:type="dxa"/>
          </w:tcPr>
          <w:p w14:paraId="6B00F05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505" w:type="dxa"/>
          </w:tcPr>
          <w:p w14:paraId="1E11812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209410D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6B566B2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505" w:type="dxa"/>
          </w:tcPr>
          <w:p w14:paraId="6D5ABF9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r>
      <w:tr w:rsidR="0067237E" w14:paraId="3B50C3D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6103E2" w14:textId="77777777" w:rsidR="0067237E" w:rsidRDefault="00000000">
            <w:r>
              <w:rPr>
                <w:sz w:val="16"/>
              </w:rPr>
              <w:t>Combined Maximum-Sharpe</w:t>
            </w:r>
          </w:p>
        </w:tc>
        <w:tc>
          <w:tcPr>
            <w:tcW w:w="1505" w:type="dxa"/>
          </w:tcPr>
          <w:p w14:paraId="02DEFD2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0.240</w:t>
            </w:r>
          </w:p>
        </w:tc>
        <w:tc>
          <w:tcPr>
            <w:tcW w:w="1505" w:type="dxa"/>
          </w:tcPr>
          <w:p w14:paraId="3FA3556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78112BA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45C3F26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-0.258</w:t>
            </w:r>
          </w:p>
        </w:tc>
        <w:tc>
          <w:tcPr>
            <w:tcW w:w="1505" w:type="dxa"/>
          </w:tcPr>
          <w:p w14:paraId="0937C36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1.902</w:t>
            </w:r>
          </w:p>
        </w:tc>
      </w:tr>
      <w:tr w:rsidR="0067237E" w14:paraId="3722C3F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4755B55" w14:textId="77777777" w:rsidR="0067237E" w:rsidRDefault="00000000">
            <w:r>
              <w:rPr>
                <w:sz w:val="16"/>
              </w:rPr>
              <w:t>Combined Risk Parity</w:t>
            </w:r>
          </w:p>
        </w:tc>
        <w:tc>
          <w:tcPr>
            <w:tcW w:w="1505" w:type="dxa"/>
          </w:tcPr>
          <w:p w14:paraId="453D9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0.140</w:t>
            </w:r>
          </w:p>
        </w:tc>
        <w:tc>
          <w:tcPr>
            <w:tcW w:w="1505" w:type="dxa"/>
          </w:tcPr>
          <w:p w14:paraId="6617578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2885B91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2D1AD2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-0.195</w:t>
            </w:r>
          </w:p>
        </w:tc>
        <w:tc>
          <w:tcPr>
            <w:tcW w:w="1505" w:type="dxa"/>
          </w:tcPr>
          <w:p w14:paraId="79185F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1.478</w:t>
            </w:r>
          </w:p>
        </w:tc>
      </w:tr>
      <w:tr w:rsidR="0067237E" w14:paraId="2E5C787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BC44EAB" w14:textId="77777777" w:rsidR="0067237E" w:rsidRDefault="00000000">
            <w:r>
              <w:rPr>
                <w:sz w:val="16"/>
              </w:rPr>
              <w:t>Combined Equal-Weight</w:t>
            </w:r>
          </w:p>
        </w:tc>
        <w:tc>
          <w:tcPr>
            <w:tcW w:w="1505" w:type="dxa"/>
          </w:tcPr>
          <w:p w14:paraId="450AC69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c>
          <w:tcPr>
            <w:tcW w:w="1505" w:type="dxa"/>
          </w:tcPr>
          <w:p w14:paraId="497192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0.216</w:t>
            </w:r>
          </w:p>
        </w:tc>
        <w:tc>
          <w:tcPr>
            <w:tcW w:w="1505" w:type="dxa"/>
          </w:tcPr>
          <w:p w14:paraId="2502BE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755A520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-0.279</w:t>
            </w:r>
          </w:p>
        </w:tc>
        <w:tc>
          <w:tcPr>
            <w:tcW w:w="1505" w:type="dxa"/>
          </w:tcPr>
          <w:p w14:paraId="250AE7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1.524</w:t>
            </w:r>
          </w:p>
        </w:tc>
      </w:tr>
      <w:tr w:rsidR="0067237E" w14:paraId="205984D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C8563F7" w14:textId="77777777" w:rsidR="0067237E" w:rsidRDefault="00000000">
            <w:r>
              <w:rPr>
                <w:sz w:val="16"/>
              </w:rPr>
              <w:t>Combined Minimum-Variance</w:t>
            </w:r>
          </w:p>
        </w:tc>
        <w:tc>
          <w:tcPr>
            <w:tcW w:w="1505" w:type="dxa"/>
          </w:tcPr>
          <w:p w14:paraId="1458B7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2A78E9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505" w:type="dxa"/>
          </w:tcPr>
          <w:p w14:paraId="7B9F185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505" w:type="dxa"/>
          </w:tcPr>
          <w:p w14:paraId="2176A2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-0.154</w:t>
            </w:r>
          </w:p>
        </w:tc>
        <w:tc>
          <w:tcPr>
            <w:tcW w:w="1505" w:type="dxa"/>
          </w:tcPr>
          <w:p w14:paraId="5F56CF3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r w:rsidR="0067237E" w14:paraId="20E50F5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54A2DF5" w14:textId="77777777" w:rsidR="0067237E" w:rsidRDefault="00000000">
            <w:r>
              <w:rPr>
                <w:sz w:val="16"/>
              </w:rPr>
              <w:t>Crypto Risk Parity</w:t>
            </w:r>
          </w:p>
        </w:tc>
        <w:tc>
          <w:tcPr>
            <w:tcW w:w="1505" w:type="dxa"/>
          </w:tcPr>
          <w:p w14:paraId="29D1E18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0.443</w:t>
            </w:r>
          </w:p>
        </w:tc>
        <w:tc>
          <w:tcPr>
            <w:tcW w:w="1505" w:type="dxa"/>
          </w:tcPr>
          <w:p w14:paraId="73C5C3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04E9B59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0.862</w:t>
            </w:r>
          </w:p>
        </w:tc>
        <w:tc>
          <w:tcPr>
            <w:tcW w:w="1505" w:type="dxa"/>
          </w:tcPr>
          <w:p w14:paraId="14E8C6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410CBE1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3.004</w:t>
            </w:r>
          </w:p>
        </w:tc>
      </w:tr>
      <w:tr w:rsidR="0067237E" w14:paraId="617ED21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E8B0D33" w14:textId="77777777" w:rsidR="0067237E" w:rsidRDefault="00000000">
            <w:r>
              <w:rPr>
                <w:sz w:val="16"/>
              </w:rPr>
              <w:t>Crypto Equal-Weight</w:t>
            </w:r>
          </w:p>
        </w:tc>
        <w:tc>
          <w:tcPr>
            <w:tcW w:w="1505" w:type="dxa"/>
          </w:tcPr>
          <w:p w14:paraId="078609A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0.405</w:t>
            </w:r>
          </w:p>
        </w:tc>
        <w:tc>
          <w:tcPr>
            <w:tcW w:w="1505" w:type="dxa"/>
          </w:tcPr>
          <w:p w14:paraId="3C2D71B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0.819</w:t>
            </w:r>
          </w:p>
        </w:tc>
        <w:tc>
          <w:tcPr>
            <w:tcW w:w="1505" w:type="dxa"/>
          </w:tcPr>
          <w:p w14:paraId="36701A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0.829</w:t>
            </w:r>
          </w:p>
        </w:tc>
        <w:tc>
          <w:tcPr>
            <w:tcW w:w="1505" w:type="dxa"/>
          </w:tcPr>
          <w:p w14:paraId="05B0A4C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-0.816</w:t>
            </w:r>
          </w:p>
        </w:tc>
        <w:tc>
          <w:tcPr>
            <w:tcW w:w="1505" w:type="dxa"/>
          </w:tcPr>
          <w:p w14:paraId="64AD25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2.774</w:t>
            </w:r>
          </w:p>
        </w:tc>
      </w:tr>
      <w:tr w:rsidR="0067237E" w14:paraId="060EF0A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94EF235" w14:textId="77777777" w:rsidR="0067237E" w:rsidRDefault="00000000">
            <w:r>
              <w:rPr>
                <w:sz w:val="16"/>
              </w:rPr>
              <w:t>Crypto Minimum-Variance</w:t>
            </w:r>
          </w:p>
        </w:tc>
        <w:tc>
          <w:tcPr>
            <w:tcW w:w="1505" w:type="dxa"/>
          </w:tcPr>
          <w:p w14:paraId="44AEAF0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0.320</w:t>
            </w:r>
          </w:p>
        </w:tc>
        <w:tc>
          <w:tcPr>
            <w:tcW w:w="1505" w:type="dxa"/>
          </w:tcPr>
          <w:p w14:paraId="7C7D55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0.650</w:t>
            </w:r>
          </w:p>
        </w:tc>
        <w:tc>
          <w:tcPr>
            <w:tcW w:w="1505" w:type="dxa"/>
          </w:tcPr>
          <w:p w14:paraId="6F53F3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0.753</w:t>
            </w:r>
          </w:p>
        </w:tc>
        <w:tc>
          <w:tcPr>
            <w:tcW w:w="1505" w:type="dxa"/>
          </w:tcPr>
          <w:p w14:paraId="02B424A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-0.758</w:t>
            </w:r>
          </w:p>
        </w:tc>
        <w:tc>
          <w:tcPr>
            <w:tcW w:w="1505" w:type="dxa"/>
          </w:tcPr>
          <w:p w14:paraId="53EEAA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2.301</w:t>
            </w:r>
          </w:p>
        </w:tc>
      </w:tr>
      <w:tr w:rsidR="0067237E" w14:paraId="1674333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633EBFA" w14:textId="77777777" w:rsidR="0067237E" w:rsidRDefault="00000000">
            <w:r>
              <w:rPr>
                <w:sz w:val="16"/>
              </w:rPr>
              <w:t>Crypto Maximum-Sharpe</w:t>
            </w:r>
          </w:p>
        </w:tc>
        <w:tc>
          <w:tcPr>
            <w:tcW w:w="1505" w:type="dxa"/>
          </w:tcPr>
          <w:p w14:paraId="10F0821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-0.235</w:t>
            </w:r>
          </w:p>
        </w:tc>
        <w:tc>
          <w:tcPr>
            <w:tcW w:w="1505" w:type="dxa"/>
          </w:tcPr>
          <w:p w14:paraId="75BC06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0.798</w:t>
            </w:r>
          </w:p>
        </w:tc>
        <w:tc>
          <w:tcPr>
            <w:tcW w:w="1505" w:type="dxa"/>
          </w:tcPr>
          <w:p w14:paraId="4959C0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0.065</w:t>
            </w:r>
          </w:p>
        </w:tc>
        <w:tc>
          <w:tcPr>
            <w:tcW w:w="1505" w:type="dxa"/>
          </w:tcPr>
          <w:p w14:paraId="132936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-0.889</w:t>
            </w:r>
          </w:p>
        </w:tc>
        <w:tc>
          <w:tcPr>
            <w:tcW w:w="1505" w:type="dxa"/>
          </w:tcPr>
          <w:p w14:paraId="2F2416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0.447</w:t>
            </w:r>
          </w:p>
        </w:tc>
      </w:tr>
      <w:tr w:rsidR="0067237E" w14:paraId="29A04C6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2DE720C" w14:textId="77777777" w:rsidR="0067237E" w:rsidRDefault="00000000">
            <w:r>
              <w:rPr>
                <w:sz w:val="16"/>
              </w:rPr>
              <w:t>Equity Equal-Weight</w:t>
            </w:r>
          </w:p>
        </w:tc>
        <w:tc>
          <w:tcPr>
            <w:tcW w:w="1505" w:type="dxa"/>
          </w:tcPr>
          <w:p w14:paraId="2AC9E36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505" w:type="dxa"/>
          </w:tcPr>
          <w:p w14:paraId="1E25538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0.161</w:t>
            </w:r>
          </w:p>
        </w:tc>
        <w:tc>
          <w:tcPr>
            <w:tcW w:w="1505" w:type="dxa"/>
          </w:tcPr>
          <w:p w14:paraId="1902A84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0.819</w:t>
            </w:r>
          </w:p>
        </w:tc>
        <w:tc>
          <w:tcPr>
            <w:tcW w:w="1505" w:type="dxa"/>
          </w:tcPr>
          <w:p w14:paraId="15FF83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-0.202</w:t>
            </w:r>
          </w:p>
        </w:tc>
        <w:tc>
          <w:tcPr>
            <w:tcW w:w="1505" w:type="dxa"/>
          </w:tcPr>
          <w:p w14:paraId="0669F31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1.427</w:t>
            </w:r>
          </w:p>
        </w:tc>
      </w:tr>
      <w:tr w:rsidR="0067237E" w14:paraId="6CD186B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5A07725" w14:textId="77777777" w:rsidR="0067237E" w:rsidRDefault="00000000">
            <w:r>
              <w:rPr>
                <w:sz w:val="16"/>
              </w:rPr>
              <w:t>Equity Risk Parity</w:t>
            </w:r>
          </w:p>
        </w:tc>
        <w:tc>
          <w:tcPr>
            <w:tcW w:w="1505" w:type="dxa"/>
          </w:tcPr>
          <w:p w14:paraId="78078A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0.099</w:t>
            </w:r>
          </w:p>
        </w:tc>
        <w:tc>
          <w:tcPr>
            <w:tcW w:w="1505" w:type="dxa"/>
          </w:tcPr>
          <w:p w14:paraId="5466A0D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003440A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6FA203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-0.185</w:t>
            </w:r>
          </w:p>
        </w:tc>
        <w:tc>
          <w:tcPr>
            <w:tcW w:w="1505" w:type="dxa"/>
          </w:tcPr>
          <w:p w14:paraId="355A85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1.326</w:t>
            </w:r>
          </w:p>
        </w:tc>
      </w:tr>
      <w:tr w:rsidR="0067237E" w14:paraId="0563F9A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D2A8A67" w14:textId="77777777" w:rsidR="0067237E" w:rsidRDefault="00000000">
            <w:r>
              <w:rPr>
                <w:sz w:val="16"/>
              </w:rPr>
              <w:t>Equity Maximum-Sharpe</w:t>
            </w:r>
          </w:p>
        </w:tc>
        <w:tc>
          <w:tcPr>
            <w:tcW w:w="1505" w:type="dxa"/>
          </w:tcPr>
          <w:p w14:paraId="240C5C6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0.092</w:t>
            </w:r>
          </w:p>
        </w:tc>
        <w:tc>
          <w:tcPr>
            <w:tcW w:w="1505" w:type="dxa"/>
          </w:tcPr>
          <w:p w14:paraId="09426E4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548C975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3096DBB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-0.256</w:t>
            </w:r>
          </w:p>
        </w:tc>
        <w:tc>
          <w:tcPr>
            <w:tcW w:w="1505" w:type="dxa"/>
          </w:tcPr>
          <w:p w14:paraId="2678DA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1.299</w:t>
            </w:r>
          </w:p>
        </w:tc>
      </w:tr>
      <w:tr w:rsidR="0067237E" w14:paraId="13E8503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76C831B" w14:textId="77777777" w:rsidR="0067237E" w:rsidRDefault="00000000">
            <w:r>
              <w:rPr>
                <w:sz w:val="16"/>
              </w:rPr>
              <w:t>Equity Minimum-Variance</w:t>
            </w:r>
          </w:p>
        </w:tc>
        <w:tc>
          <w:tcPr>
            <w:tcW w:w="1505" w:type="dxa"/>
          </w:tcPr>
          <w:p w14:paraId="48EE99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04722C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0.127</w:t>
            </w:r>
          </w:p>
        </w:tc>
        <w:tc>
          <w:tcPr>
            <w:tcW w:w="1505" w:type="dxa"/>
          </w:tcPr>
          <w:p w14:paraId="2B33BD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7B0417B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505" w:type="dxa"/>
          </w:tcPr>
          <w:p w14:paraId="670DB5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bl>
    <w:p w14:paraId="525A8EFF" w14:textId="77777777" w:rsidR="0067237E" w:rsidRDefault="00000000">
      <w:r>
        <w:t>Equal weighting earns the highest Sharpe ratio of the four equity funds at 0.819, ahead of risk parity at 0.723, maximum Sharpe at 0.573 and minimum variance at 0.479. The ordering is not one story but two, and telling them apart matters more than the ranking does.</w:t>
      </w:r>
    </w:p>
    <w:p w14:paraId="772CA2E0" w14:textId="77777777" w:rsidR="0067237E" w:rsidRDefault="00000000">
      <w:r>
        <w:t>The first is sample noise. Every rebalance asks 252 days of returns for 50 expected returns and a 50-by-50 covariance matrix, a thin sample for that many quantities. Michaud (1989) calls the consequence error maximisation: an optimiser given noisy inputs overweights precisely those assets whose expected returns the sample has overstated and whose risks it has understated, so estimation error is amplified rather than diversified away.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Chopra and Ziemba (1993) find errors in expected returns roughly an order of magnitude more costly than errors in variances, which is consistent with maximum Sharpe - the one method here needing a mean estimate - being both the most concentrated fund and the most heavily traded. That turnover and concentration are not the optimisation working but a symptom of how noisy its inputs are.</w:t>
      </w:r>
    </w:p>
    <w:p w14:paraId="06716E34" w14:textId="77777777" w:rsidR="0067237E" w:rsidRDefault="00000000">
      <w:r>
        <w:t xml:space="preserve">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w:t>
      </w:r>
      <w:r>
        <w:lastRenderedPageBreak/>
        <w:t>surprising outcome but the expected one, and the question is less why optimisation lost than why anyone would have expected it to win at this sample size.</w:t>
      </w:r>
    </w:p>
    <w:p w14:paraId="489D79E9" w14:textId="77777777" w:rsidR="0067237E" w:rsidRDefault="00000000">
      <w:r>
        <w:t>The second force is not error at all. Minimum variance ranks last on the Sharpe ratio while achieving exactly what it was built to achieve: its 12.7% annualised volatility is the lowest of the four funds and its 15.3% maximum drawdown the shallowest. The objective never mentions return, so reading its last place as a failure of optimisation would be wrong. The fund solved its problem; the Sharpe ratio scores a different one.</w:t>
      </w:r>
    </w:p>
    <w:p w14:paraId="5C5AC240" w14:textId="77777777" w:rsidR="0067237E" w:rsidRDefault="00000000">
      <w:r>
        <w:t>That is a statement about who the fund is for rather than about whether it works. An investor ranking funds on risk-adjusted return should not hold it - at +5.4% a year it is the weakest equity 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14:paraId="20DAEC97" w14:textId="77777777" w:rsidR="0067237E" w:rsidRDefault="00000000">
      <w:r>
        <w:t>Whether that first force really is sample noise is testable, and Section 5.4 tests it by correcting the covariance estimate and re-running every fund.</w:t>
      </w:r>
    </w:p>
    <w:p w14:paraId="09B32072" w14:textId="77777777" w:rsidR="0067237E" w:rsidRDefault="00000000">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14:paraId="37F062BF" w14:textId="77777777" w:rsidR="0067237E" w:rsidRDefault="00000000">
      <w:pPr>
        <w:jc w:val="center"/>
      </w:pPr>
      <w:r>
        <w:rPr>
          <w:noProof/>
        </w:rPr>
        <w:drawing>
          <wp:inline distT="0" distB="0" distL="0" distR="0" wp14:anchorId="4A800965" wp14:editId="2CF552FD">
            <wp:extent cx="5577840" cy="28475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2847596"/>
                    </a:xfrm>
                    <a:prstGeom prst="rect">
                      <a:avLst/>
                    </a:prstGeom>
                  </pic:spPr>
                </pic:pic>
              </a:graphicData>
            </a:graphic>
          </wp:inline>
        </w:drawing>
      </w:r>
    </w:p>
    <w:p w14:paraId="1C090F1B" w14:textId="7005C01C" w:rsidR="0067237E" w:rsidRDefault="00000000">
      <w:pPr>
        <w:pStyle w:val="af7"/>
      </w:pPr>
      <w:r>
        <w:t xml:space="preserve">Figure </w:t>
      </w:r>
      <w:fldSimple w:instr=" SEQ Figure \* ARABIC ">
        <w:r w:rsidR="00EC0521">
          <w:rPr>
            <w:noProof/>
          </w:rPr>
          <w:t>2</w:t>
        </w:r>
      </w:fldSimple>
      <w:r>
        <w:t>: Growth of $1 invested at the first live backtest date in the four combined equity-plus-crypto funds.</w:t>
      </w:r>
    </w:p>
    <w:p w14:paraId="229550DB" w14:textId="77777777" w:rsidR="0067237E" w:rsidRDefault="00000000">
      <w:r>
        <w:t xml:space="preserve">The lines separate in the first quarter of 2021 and never reconverge. Maximum Sharpe pulls away early because its concentration paid during the crypto rally, keeps most of that lead </w:t>
      </w:r>
      <w:r>
        <w:lastRenderedPageBreak/>
        <w:t>through the 2022 drawdown, and ends well ahead. The path matters as much as the endpoint: the fund that ends highest also fell furthest, so choosing between it and risk parity is a choice about tolerance rather than about which manager is better.</w:t>
      </w:r>
    </w:p>
    <w:p w14:paraId="554BB76D" w14:textId="77777777" w:rsidR="0067237E" w:rsidRDefault="00000000">
      <w:pPr>
        <w:jc w:val="center"/>
      </w:pPr>
      <w:r>
        <w:rPr>
          <w:noProof/>
        </w:rPr>
        <w:drawing>
          <wp:inline distT="0" distB="0" distL="0" distR="0" wp14:anchorId="5A7D91F2" wp14:editId="1E54C92F">
            <wp:extent cx="5577840" cy="2847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2847596"/>
                    </a:xfrm>
                    <a:prstGeom prst="rect">
                      <a:avLst/>
                    </a:prstGeom>
                  </pic:spPr>
                </pic:pic>
              </a:graphicData>
            </a:graphic>
          </wp:inline>
        </w:drawing>
      </w:r>
    </w:p>
    <w:p w14:paraId="54C8B094" w14:textId="055D2F50" w:rsidR="0067237E" w:rsidRDefault="00000000">
      <w:pPr>
        <w:pStyle w:val="af7"/>
      </w:pPr>
      <w:r>
        <w:t xml:space="preserve">Figure </w:t>
      </w:r>
      <w:fldSimple w:instr=" SEQ Figure \* ARABIC ">
        <w:r w:rsidR="00EC0521">
          <w:rPr>
            <w:noProof/>
          </w:rPr>
          <w:t>3</w:t>
        </w:r>
      </w:fldSimple>
      <w:r>
        <w:t>: Sharpe ratio across all twelve funds, grouped by asset family.</w:t>
      </w:r>
    </w:p>
    <w:p w14:paraId="322B11C1" w14:textId="77777777" w:rsidR="0067237E" w:rsidRDefault="00000000">
      <w:r>
        <w:t>The crypto funds top the risk-adjusted table despite their drawdowns, because 2021 to 2023 was a period when crypto returns were large enough to compensate for their volatility - a statement about this sample, not the asset class. Within the equity funds the ordering runs against what optimisation theory promises: equal weighting at 0.819 beats every optimised rule. The combined funds sit between the two families, which is what diversification should produce, though it also means mixing crypto with equities lowered the Sharpe ratio against holding crypto alone over this window.</w:t>
      </w:r>
    </w:p>
    <w:p w14:paraId="3954F9D9" w14:textId="77777777" w:rsidR="0067237E" w:rsidRDefault="00000000">
      <w:pPr>
        <w:jc w:val="center"/>
      </w:pPr>
      <w:r>
        <w:rPr>
          <w:noProof/>
        </w:rPr>
        <w:drawing>
          <wp:inline distT="0" distB="0" distL="0" distR="0" wp14:anchorId="35B6C280" wp14:editId="3F508BB5">
            <wp:extent cx="5577840" cy="2399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2399741"/>
                    </a:xfrm>
                    <a:prstGeom prst="rect">
                      <a:avLst/>
                    </a:prstGeom>
                  </pic:spPr>
                </pic:pic>
              </a:graphicData>
            </a:graphic>
          </wp:inline>
        </w:drawing>
      </w:r>
    </w:p>
    <w:p w14:paraId="0C01C06B" w14:textId="468C9395" w:rsidR="0067237E" w:rsidRDefault="00000000">
      <w:pPr>
        <w:pStyle w:val="af7"/>
      </w:pPr>
      <w:r>
        <w:t xml:space="preserve">Figure </w:t>
      </w:r>
      <w:fldSimple w:instr=" SEQ Figure \* ARABIC ">
        <w:r w:rsidR="00EC0521">
          <w:rPr>
            <w:noProof/>
          </w:rPr>
          <w:t>4</w:t>
        </w:r>
      </w:fldSimple>
      <w:r>
        <w:t>: Drawdown of the Combined Maximum-Sharpe fund from its running peak.</w:t>
      </w:r>
    </w:p>
    <w:p w14:paraId="3A3F8065" w14:textId="77777777" w:rsidR="0067237E" w:rsidRDefault="00000000">
      <w:r>
        <w:t>The fund lost 25.8% from its peak and took most of a year to recover. An investor who bought at the high watched a quarter of their capital disappear before any of the eventual return arrived, which is what a Sharpe ratio of 0.98 conceals. The app's fact sheet therefore shows drawdown alongside the growth line: together they describe the product, and either alone misleads.</w:t>
      </w:r>
    </w:p>
    <w:p w14:paraId="312D6D06" w14:textId="77777777" w:rsidR="0067237E" w:rsidRDefault="00000000">
      <w:pPr>
        <w:jc w:val="center"/>
      </w:pPr>
      <w:r>
        <w:rPr>
          <w:noProof/>
        </w:rPr>
        <w:lastRenderedPageBreak/>
        <w:drawing>
          <wp:inline distT="0" distB="0" distL="0" distR="0" wp14:anchorId="100C651D" wp14:editId="468FD284">
            <wp:extent cx="5577840" cy="29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2914655"/>
                    </a:xfrm>
                    <a:prstGeom prst="rect">
                      <a:avLst/>
                    </a:prstGeom>
                  </pic:spPr>
                </pic:pic>
              </a:graphicData>
            </a:graphic>
          </wp:inline>
        </w:drawing>
      </w:r>
    </w:p>
    <w:p w14:paraId="36BC39D9" w14:textId="7D99BE57" w:rsidR="0067237E" w:rsidRDefault="00000000">
      <w:pPr>
        <w:pStyle w:val="af7"/>
      </w:pPr>
      <w:r>
        <w:t xml:space="preserve">Figure </w:t>
      </w:r>
      <w:fldSimple w:instr=" SEQ Figure \* ARABIC ">
        <w:r w:rsidR="00EC0521">
          <w:rPr>
            <w:noProof/>
          </w:rPr>
          <w:t>5</w:t>
        </w:r>
      </w:fldSimple>
      <w:r>
        <w:t>: Target weights at each monthly rebalance for three combined funds, aggregated to sector and stacked to 100%. Crypto is the dark band.</w:t>
      </w:r>
    </w:p>
    <w:p w14:paraId="6E041C49" w14:textId="77777777" w:rsidR="0067237E" w:rsidRDefault="00000000">
      <w:r>
        <w:t>The three panels show one universe and one set of dates producing three different funds. Minimum variance concentrates in healthcare and consumer staples; maximum Sharpe swings between sectors, chasing mean estimates that change month to month. Risk parity is nearly static, because relative volatilities are far more stable than means. Average crypto weight quantifies that: 16.7% under equal weighting by construction, 9.4% under maximum Sharpe, 7.0% under risk parity, 0.6% under minimum variance. Equalising risk contributions prices a volatile asset rather than excluding it: crypto keeps a share proportionate to its risk, where minimising variance drops it outright. The stability of each panel pictures how much estimation error each objective admits.</w:t>
      </w:r>
    </w:p>
    <w:p w14:paraId="2EBE1049" w14:textId="77777777" w:rsidR="0067237E" w:rsidRDefault="00000000">
      <w:pPr>
        <w:pStyle w:val="1"/>
      </w:pPr>
      <w:bookmarkStart w:id="5" w:name="_Toc237449971"/>
      <w:r>
        <w:t>3. The news-sentiment index</w:t>
      </w:r>
      <w:bookmarkEnd w:id="5"/>
    </w:p>
    <w:p w14:paraId="4C838C6C" w14:textId="77777777" w:rsidR="0067237E" w:rsidRDefault="00000000">
      <w:r>
        <w:t>Every one of the 146,830 aligned headlines is scored with VADER (Hutto and Gilbert 2014).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14:paraId="6DAEE525" w14:textId="77777777" w:rsidR="0067237E" w:rsidRDefault="00000000">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14:paraId="6999BB71" w14:textId="77777777" w:rsidR="0067237E" w:rsidRDefault="00000000">
      <w:r>
        <w:t>The index is lagged one trading day after alignment. A decision on day t therefore uses only sentiment from t-1 or earlier: a Saturday or Monday headline, both aligned to Monday, is first usable for Tuesday's trade.</w:t>
      </w:r>
    </w:p>
    <w:p w14:paraId="49B8D9C2" w14:textId="77777777" w:rsidR="0067237E" w:rsidRDefault="00000000">
      <w:pPr>
        <w:jc w:val="center"/>
      </w:pPr>
      <w:r>
        <w:rPr>
          <w:noProof/>
        </w:rPr>
        <w:lastRenderedPageBreak/>
        <w:drawing>
          <wp:inline distT="0" distB="0" distL="0" distR="0" wp14:anchorId="168BE8A6" wp14:editId="1068E1DA">
            <wp:extent cx="5577840" cy="28475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2847596"/>
                    </a:xfrm>
                    <a:prstGeom prst="rect">
                      <a:avLst/>
                    </a:prstGeom>
                  </pic:spPr>
                </pic:pic>
              </a:graphicData>
            </a:graphic>
          </wp:inline>
        </w:drawing>
      </w:r>
    </w:p>
    <w:p w14:paraId="5386BD0B" w14:textId="42C64D22" w:rsidR="0067237E" w:rsidRDefault="00000000">
      <w:pPr>
        <w:pStyle w:val="af7"/>
      </w:pPr>
      <w:r>
        <w:t xml:space="preserve">Figure </w:t>
      </w:r>
      <w:fldSimple w:instr=" SEQ Figure \* ARABIC ">
        <w:r w:rsidR="00EC0521">
          <w:rPr>
            <w:noProof/>
          </w:rPr>
          <w:t>6</w:t>
        </w:r>
      </w:fldSimple>
      <w:r>
        <w:t>: News-sentiment index for five equity sectors: equal-weight mean VADER compound score, 21-day rolling mean, 2020-2023.</w:t>
      </w:r>
    </w:p>
    <w:p w14:paraId="730F3977" w14:textId="77777777" w:rsidR="0067237E" w:rsidRDefault="00000000">
      <w:r>
        <w:t>Every sector's index sits above zero for most of the sample. That is a property of headline writing rather than of the market: coverage is written to attract readers and leans positive, so only the index's movement carries information.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14:paraId="2A1C8EB5" w14:textId="77777777" w:rsidR="0067237E" w:rsidRDefault="00000000">
      <w:pPr>
        <w:jc w:val="center"/>
      </w:pPr>
      <w:r>
        <w:rPr>
          <w:noProof/>
        </w:rPr>
        <w:drawing>
          <wp:inline distT="0" distB="0" distL="0" distR="0" wp14:anchorId="22AD2EDB" wp14:editId="68EB460C">
            <wp:extent cx="5577840" cy="25482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2548227"/>
                    </a:xfrm>
                    <a:prstGeom prst="rect">
                      <a:avLst/>
                    </a:prstGeom>
                  </pic:spPr>
                </pic:pic>
              </a:graphicData>
            </a:graphic>
          </wp:inline>
        </w:drawing>
      </w:r>
    </w:p>
    <w:p w14:paraId="249B6EA0" w14:textId="3046639D" w:rsidR="0067237E" w:rsidRDefault="00000000">
      <w:pPr>
        <w:pStyle w:val="af7"/>
      </w:pPr>
      <w:r>
        <w:t xml:space="preserve">Figure </w:t>
      </w:r>
      <w:fldSimple w:instr=" SEQ Figure \* ARABIC ">
        <w:r w:rsidR="00EC0521">
          <w:rPr>
            <w:noProof/>
          </w:rPr>
          <w:t>7</w:t>
        </w:r>
      </w:fldSimple>
      <w:r>
        <w:t>: Market-wide fear and greed gauge: sentiment averaged across all 50 equities, shown as the raw 0-100 level and standardised.</w:t>
      </w:r>
    </w:p>
    <w:p w14:paraId="79EFC4CA" w14:textId="77777777" w:rsidR="0067237E" w:rsidRDefault="00000000">
      <w:r>
        <w:t xml:space="preserve">The raw gauge sits above neutral on 99% of days, so read as a level it would have called the market greedy throughout the COVID crash. Standardising removes that positive baseline and the episodes appear immediately. The deepest trough is mid-March 2020, the week of the crash itself, and the second is early December 2021, when the Omicron variant was announced. That the two largest negative excursions in a purely textual series fall on the two events a reader </w:t>
      </w:r>
      <w:r>
        <w:lastRenderedPageBreak/>
        <w:t>would name unprompted is the strongest available evidence that the index measures something real; the search-based index of Da, Engelberg and Gao (2015) behaves the same way.</w:t>
      </w:r>
    </w:p>
    <w:p w14:paraId="7E5D8353" w14:textId="5F448593" w:rsidR="0067237E" w:rsidRDefault="00000000">
      <w:pPr>
        <w:pStyle w:val="af7"/>
      </w:pPr>
      <w:r>
        <w:t xml:space="preserve">Table </w:t>
      </w:r>
      <w:fldSimple w:instr=" SEQ Table \* ARABIC ">
        <w:r w:rsidR="00EC0521">
          <w:rPr>
            <w:noProof/>
          </w:rPr>
          <w:t>2</w:t>
        </w:r>
      </w:fldSimple>
      <w:r>
        <w:t>: Coverage and neutral share of the sentiment model by sector.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429143C6"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483F06D" w14:textId="77777777" w:rsidR="0067237E" w:rsidRDefault="00000000">
            <w:r>
              <w:rPr>
                <w:sz w:val="16"/>
              </w:rPr>
              <w:t>sector</w:t>
            </w:r>
          </w:p>
        </w:tc>
        <w:tc>
          <w:tcPr>
            <w:tcW w:w="1505" w:type="dxa"/>
          </w:tcPr>
          <w:p w14:paraId="34AB676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headlines</w:t>
            </w:r>
          </w:p>
        </w:tc>
        <w:tc>
          <w:tcPr>
            <w:tcW w:w="1505" w:type="dxa"/>
          </w:tcPr>
          <w:p w14:paraId="2EA9CFA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tickers</w:t>
            </w:r>
          </w:p>
        </w:tc>
        <w:tc>
          <w:tcPr>
            <w:tcW w:w="1505" w:type="dxa"/>
          </w:tcPr>
          <w:p w14:paraId="4390043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compound</w:t>
            </w:r>
          </w:p>
        </w:tc>
        <w:tc>
          <w:tcPr>
            <w:tcW w:w="1505" w:type="dxa"/>
          </w:tcPr>
          <w:p w14:paraId="06FECE4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neutral share</w:t>
            </w:r>
          </w:p>
        </w:tc>
        <w:tc>
          <w:tcPr>
            <w:tcW w:w="1505" w:type="dxa"/>
          </w:tcPr>
          <w:p w14:paraId="783C763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 with news</w:t>
            </w:r>
          </w:p>
        </w:tc>
      </w:tr>
      <w:tr w:rsidR="0067237E" w14:paraId="1B84C3E8"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9E1EA8E" w14:textId="77777777" w:rsidR="0067237E" w:rsidRDefault="00000000">
            <w:r>
              <w:rPr>
                <w:sz w:val="16"/>
              </w:rPr>
              <w:t>Comm</w:t>
            </w:r>
          </w:p>
        </w:tc>
        <w:tc>
          <w:tcPr>
            <w:tcW w:w="1505" w:type="dxa"/>
          </w:tcPr>
          <w:p w14:paraId="4AF02B7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11783</w:t>
            </w:r>
          </w:p>
        </w:tc>
        <w:tc>
          <w:tcPr>
            <w:tcW w:w="1505" w:type="dxa"/>
          </w:tcPr>
          <w:p w14:paraId="7ABF706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1D4918C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0.099</w:t>
            </w:r>
          </w:p>
        </w:tc>
        <w:tc>
          <w:tcPr>
            <w:tcW w:w="1505" w:type="dxa"/>
          </w:tcPr>
          <w:p w14:paraId="18479A6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c>
          <w:tcPr>
            <w:tcW w:w="1505" w:type="dxa"/>
          </w:tcPr>
          <w:p w14:paraId="0DFC1A2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6A8F397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F5C5E6B" w14:textId="77777777" w:rsidR="0067237E" w:rsidRDefault="00000000">
            <w:r>
              <w:rPr>
                <w:sz w:val="16"/>
              </w:rPr>
              <w:t>Consumer</w:t>
            </w:r>
          </w:p>
        </w:tc>
        <w:tc>
          <w:tcPr>
            <w:tcW w:w="1505" w:type="dxa"/>
          </w:tcPr>
          <w:p w14:paraId="259EFF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25877</w:t>
            </w:r>
          </w:p>
        </w:tc>
        <w:tc>
          <w:tcPr>
            <w:tcW w:w="1505" w:type="dxa"/>
          </w:tcPr>
          <w:p w14:paraId="5FAE10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33B5CFC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505" w:type="dxa"/>
          </w:tcPr>
          <w:p w14:paraId="60F07D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505" w:type="dxa"/>
          </w:tcPr>
          <w:p w14:paraId="04FFF60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7A4CD73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39CAE40" w14:textId="77777777" w:rsidR="0067237E" w:rsidRDefault="00000000">
            <w:r>
              <w:rPr>
                <w:sz w:val="16"/>
              </w:rPr>
              <w:t>Energy</w:t>
            </w:r>
          </w:p>
        </w:tc>
        <w:tc>
          <w:tcPr>
            <w:tcW w:w="1505" w:type="dxa"/>
          </w:tcPr>
          <w:p w14:paraId="7CD5982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19365</w:t>
            </w:r>
          </w:p>
        </w:tc>
        <w:tc>
          <w:tcPr>
            <w:tcW w:w="1505" w:type="dxa"/>
          </w:tcPr>
          <w:p w14:paraId="293BE8C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7A5D68C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0.106</w:t>
            </w:r>
          </w:p>
        </w:tc>
        <w:tc>
          <w:tcPr>
            <w:tcW w:w="1505" w:type="dxa"/>
          </w:tcPr>
          <w:p w14:paraId="6C88FE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0.438</w:t>
            </w:r>
          </w:p>
        </w:tc>
        <w:tc>
          <w:tcPr>
            <w:tcW w:w="1505" w:type="dxa"/>
          </w:tcPr>
          <w:p w14:paraId="5E9AF8E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996</w:t>
            </w:r>
          </w:p>
        </w:tc>
      </w:tr>
      <w:tr w:rsidR="0067237E" w14:paraId="7EB687A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0E861FE" w14:textId="77777777" w:rsidR="0067237E" w:rsidRDefault="00000000">
            <w:r>
              <w:rPr>
                <w:sz w:val="16"/>
              </w:rPr>
              <w:t>Financials</w:t>
            </w:r>
          </w:p>
        </w:tc>
        <w:tc>
          <w:tcPr>
            <w:tcW w:w="1505" w:type="dxa"/>
          </w:tcPr>
          <w:p w14:paraId="1E043C6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18269</w:t>
            </w:r>
          </w:p>
        </w:tc>
        <w:tc>
          <w:tcPr>
            <w:tcW w:w="1505" w:type="dxa"/>
          </w:tcPr>
          <w:p w14:paraId="238DB08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0DBB047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5AA70AA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0.493</w:t>
            </w:r>
          </w:p>
        </w:tc>
        <w:tc>
          <w:tcPr>
            <w:tcW w:w="1505" w:type="dxa"/>
          </w:tcPr>
          <w:p w14:paraId="5550255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55ECC17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B7ED8DA" w14:textId="77777777" w:rsidR="0067237E" w:rsidRDefault="00000000">
            <w:r>
              <w:rPr>
                <w:sz w:val="16"/>
              </w:rPr>
              <w:t>Healthcare</w:t>
            </w:r>
          </w:p>
        </w:tc>
        <w:tc>
          <w:tcPr>
            <w:tcW w:w="1505" w:type="dxa"/>
          </w:tcPr>
          <w:p w14:paraId="0C51EC1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14697</w:t>
            </w:r>
          </w:p>
        </w:tc>
        <w:tc>
          <w:tcPr>
            <w:tcW w:w="1505" w:type="dxa"/>
          </w:tcPr>
          <w:p w14:paraId="3DDB712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269162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0.107</w:t>
            </w:r>
          </w:p>
        </w:tc>
        <w:tc>
          <w:tcPr>
            <w:tcW w:w="1505" w:type="dxa"/>
          </w:tcPr>
          <w:p w14:paraId="328266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0.501</w:t>
            </w:r>
          </w:p>
        </w:tc>
        <w:tc>
          <w:tcPr>
            <w:tcW w:w="1505" w:type="dxa"/>
          </w:tcPr>
          <w:p w14:paraId="4FB460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588FDE1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C76B37" w14:textId="77777777" w:rsidR="0067237E" w:rsidRDefault="00000000">
            <w:r>
              <w:rPr>
                <w:sz w:val="16"/>
              </w:rPr>
              <w:t>Industrials</w:t>
            </w:r>
          </w:p>
        </w:tc>
        <w:tc>
          <w:tcPr>
            <w:tcW w:w="1505" w:type="dxa"/>
          </w:tcPr>
          <w:p w14:paraId="5B690D8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13156</w:t>
            </w:r>
          </w:p>
        </w:tc>
        <w:tc>
          <w:tcPr>
            <w:tcW w:w="1505" w:type="dxa"/>
          </w:tcPr>
          <w:p w14:paraId="6838A0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5F7CB6A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4E770B2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0.498</w:t>
            </w:r>
          </w:p>
        </w:tc>
        <w:tc>
          <w:tcPr>
            <w:tcW w:w="1505" w:type="dxa"/>
          </w:tcPr>
          <w:p w14:paraId="47F336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0C36820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247318E" w14:textId="77777777" w:rsidR="0067237E" w:rsidRDefault="00000000">
            <w:r>
              <w:rPr>
                <w:sz w:val="16"/>
              </w:rPr>
              <w:t>Materials</w:t>
            </w:r>
          </w:p>
        </w:tc>
        <w:tc>
          <w:tcPr>
            <w:tcW w:w="1505" w:type="dxa"/>
          </w:tcPr>
          <w:p w14:paraId="2044E65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5393</w:t>
            </w:r>
          </w:p>
        </w:tc>
        <w:tc>
          <w:tcPr>
            <w:tcW w:w="1505" w:type="dxa"/>
          </w:tcPr>
          <w:p w14:paraId="0E452B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0E988D4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0.096</w:t>
            </w:r>
          </w:p>
        </w:tc>
        <w:tc>
          <w:tcPr>
            <w:tcW w:w="1505" w:type="dxa"/>
          </w:tcPr>
          <w:p w14:paraId="0D7035D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0.576</w:t>
            </w:r>
          </w:p>
        </w:tc>
        <w:tc>
          <w:tcPr>
            <w:tcW w:w="1505" w:type="dxa"/>
          </w:tcPr>
          <w:p w14:paraId="24CDF4D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940</w:t>
            </w:r>
          </w:p>
        </w:tc>
      </w:tr>
      <w:tr w:rsidR="0067237E" w14:paraId="4623AC8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226D036" w14:textId="77777777" w:rsidR="0067237E" w:rsidRDefault="00000000">
            <w:r>
              <w:rPr>
                <w:sz w:val="16"/>
              </w:rPr>
              <w:t>RealEstate</w:t>
            </w:r>
          </w:p>
        </w:tc>
        <w:tc>
          <w:tcPr>
            <w:tcW w:w="1505" w:type="dxa"/>
          </w:tcPr>
          <w:p w14:paraId="460E6B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5339</w:t>
            </w:r>
          </w:p>
        </w:tc>
        <w:tc>
          <w:tcPr>
            <w:tcW w:w="1505" w:type="dxa"/>
          </w:tcPr>
          <w:p w14:paraId="3244BCD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120C34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0.133</w:t>
            </w:r>
          </w:p>
        </w:tc>
        <w:tc>
          <w:tcPr>
            <w:tcW w:w="1505" w:type="dxa"/>
          </w:tcPr>
          <w:p w14:paraId="7948FFE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0.533</w:t>
            </w:r>
          </w:p>
        </w:tc>
        <w:tc>
          <w:tcPr>
            <w:tcW w:w="1505" w:type="dxa"/>
          </w:tcPr>
          <w:p w14:paraId="008D41D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940</w:t>
            </w:r>
          </w:p>
        </w:tc>
      </w:tr>
      <w:tr w:rsidR="0067237E" w14:paraId="3C02946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19F4FB9" w14:textId="77777777" w:rsidR="0067237E" w:rsidRDefault="00000000">
            <w:r>
              <w:rPr>
                <w:sz w:val="16"/>
              </w:rPr>
              <w:t>Tech</w:t>
            </w:r>
          </w:p>
        </w:tc>
        <w:tc>
          <w:tcPr>
            <w:tcW w:w="1505" w:type="dxa"/>
          </w:tcPr>
          <w:p w14:paraId="37C261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26632</w:t>
            </w:r>
          </w:p>
        </w:tc>
        <w:tc>
          <w:tcPr>
            <w:tcW w:w="1505" w:type="dxa"/>
          </w:tcPr>
          <w:p w14:paraId="37307C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5A13DDB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0.116</w:t>
            </w:r>
          </w:p>
        </w:tc>
        <w:tc>
          <w:tcPr>
            <w:tcW w:w="1505" w:type="dxa"/>
          </w:tcPr>
          <w:p w14:paraId="472E351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0.503</w:t>
            </w:r>
          </w:p>
        </w:tc>
        <w:tc>
          <w:tcPr>
            <w:tcW w:w="1505" w:type="dxa"/>
          </w:tcPr>
          <w:p w14:paraId="52B6706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1006</w:t>
            </w:r>
          </w:p>
        </w:tc>
      </w:tr>
      <w:tr w:rsidR="0067237E" w14:paraId="3BAECB5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A0418B9" w14:textId="77777777" w:rsidR="0067237E" w:rsidRDefault="00000000">
            <w:r>
              <w:rPr>
                <w:sz w:val="16"/>
              </w:rPr>
              <w:t>Utilities</w:t>
            </w:r>
          </w:p>
        </w:tc>
        <w:tc>
          <w:tcPr>
            <w:tcW w:w="1505" w:type="dxa"/>
          </w:tcPr>
          <w:p w14:paraId="1A353AD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6319</w:t>
            </w:r>
          </w:p>
        </w:tc>
        <w:tc>
          <w:tcPr>
            <w:tcW w:w="1505" w:type="dxa"/>
          </w:tcPr>
          <w:p w14:paraId="071FF8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709EFCE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0.179</w:t>
            </w:r>
          </w:p>
        </w:tc>
        <w:tc>
          <w:tcPr>
            <w:tcW w:w="1505" w:type="dxa"/>
          </w:tcPr>
          <w:p w14:paraId="1E59670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0.395</w:t>
            </w:r>
          </w:p>
        </w:tc>
        <w:tc>
          <w:tcPr>
            <w:tcW w:w="1505" w:type="dxa"/>
          </w:tcPr>
          <w:p w14:paraId="66D2AFC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962</w:t>
            </w:r>
          </w:p>
        </w:tc>
      </w:tr>
    </w:tbl>
    <w:p w14:paraId="3BBAFB0E" w14:textId="77777777" w:rsidR="0067237E" w:rsidRDefault="00000000">
      <w:r>
        <w:t>Between 40% and 58% of headlines score neutral depending on the sector. A neutral score is not a finding of balance; it means the model found no word it recognised. VADER's lexicon was built for social media, and Loughran and McDonald (2011) show that dictionaries assembled outside a financial context misclassify financial language systematically; Section 5.1 measures how much of this band is that gap rather than genuine balance. Headlines are also weaker than the articles beneath them, and work extracting firm-level information from news generally scores the full story rather than the headline (Tetlock, Saar-Tsechansky and Macskassy 2008). The index reads as the tone of coverage, and any trading use of it must survive half its inputs being silent.</w:t>
      </w:r>
    </w:p>
    <w:p w14:paraId="0F3E2201" w14:textId="77777777" w:rsidR="0067237E" w:rsidRDefault="00000000">
      <w:pPr>
        <w:pStyle w:val="1"/>
      </w:pPr>
      <w:bookmarkStart w:id="6" w:name="_Toc237449972"/>
      <w:r>
        <w:t>4. Fusion: does sentiment improve the funds?</w:t>
      </w:r>
      <w:bookmarkEnd w:id="6"/>
    </w:p>
    <w:p w14:paraId="5DAB32A4" w14:textId="77777777" w:rsidR="0067237E" w:rsidRDefault="00000000">
      <w:r>
        <w:t>The baseline fusion is a cross-sectional sector tilt. At each rebalance the lagged sector index becomes a z-score across the ten sectors, and each equity weight is multiplied by (1 + lambda z) for its sector, then clipped at zero and renormalised so the fund stays long-only and fully invested. The tilt never touches the covariance estimate, so any difference comes from the tilt alone. Sentiment applies to equities only, because the cryptocurrencies carry no news.</w:t>
      </w:r>
    </w:p>
    <w:p w14:paraId="0BC292DA" w14:textId="44BC90EE" w:rsidR="0067237E" w:rsidRDefault="00000000">
      <w:pPr>
        <w:pStyle w:val="af7"/>
      </w:pPr>
      <w:r>
        <w:t xml:space="preserve">Table </w:t>
      </w:r>
      <w:fldSimple w:instr=" SEQ Table \* ARABIC ">
        <w:r w:rsidR="00EC0521">
          <w:rPr>
            <w:noProof/>
          </w:rPr>
          <w:t>3</w:t>
        </w:r>
      </w:fldSimple>
      <w:r>
        <w:t>: Equity funds before and after the sentiment tilt, out of sample.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4E3E850D"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2885D6F" w14:textId="77777777" w:rsidR="0067237E" w:rsidRDefault="00000000">
            <w:r>
              <w:rPr>
                <w:sz w:val="16"/>
              </w:rPr>
              <w:t>fund</w:t>
            </w:r>
          </w:p>
        </w:tc>
        <w:tc>
          <w:tcPr>
            <w:tcW w:w="1290" w:type="dxa"/>
          </w:tcPr>
          <w:p w14:paraId="0475338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290" w:type="dxa"/>
          </w:tcPr>
          <w:p w14:paraId="1F47AC5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290" w:type="dxa"/>
          </w:tcPr>
          <w:p w14:paraId="1BAAA88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290" w:type="dxa"/>
          </w:tcPr>
          <w:p w14:paraId="7D10C5C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290" w:type="dxa"/>
          </w:tcPr>
          <w:p w14:paraId="077FF84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c>
          <w:tcPr>
            <w:tcW w:w="1290" w:type="dxa"/>
          </w:tcPr>
          <w:p w14:paraId="536469D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11BFF68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F8312EC" w14:textId="77777777" w:rsidR="0067237E" w:rsidRDefault="00000000">
            <w:r>
              <w:rPr>
                <w:sz w:val="16"/>
              </w:rPr>
              <w:t>Equity Minimum-Variance (base)</w:t>
            </w:r>
          </w:p>
        </w:tc>
        <w:tc>
          <w:tcPr>
            <w:tcW w:w="1290" w:type="dxa"/>
          </w:tcPr>
          <w:p w14:paraId="7279C15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0.054</w:t>
            </w:r>
          </w:p>
        </w:tc>
        <w:tc>
          <w:tcPr>
            <w:tcW w:w="1290" w:type="dxa"/>
          </w:tcPr>
          <w:p w14:paraId="43FB567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290" w:type="dxa"/>
          </w:tcPr>
          <w:p w14:paraId="1C30D2B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290" w:type="dxa"/>
          </w:tcPr>
          <w:p w14:paraId="180FCA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-0.153</w:t>
            </w:r>
          </w:p>
        </w:tc>
        <w:tc>
          <w:tcPr>
            <w:tcW w:w="1290" w:type="dxa"/>
          </w:tcPr>
          <w:p w14:paraId="30E1607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1.171</w:t>
            </w:r>
          </w:p>
        </w:tc>
        <w:tc>
          <w:tcPr>
            <w:tcW w:w="1290" w:type="dxa"/>
          </w:tcPr>
          <w:p w14:paraId="513FA59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1D8F13C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C60A79B" w14:textId="77777777" w:rsidR="0067237E" w:rsidRDefault="00000000">
            <w:r>
              <w:rPr>
                <w:sz w:val="16"/>
              </w:rPr>
              <w:t>Equity Minimum-Variance + sentiment</w:t>
            </w:r>
          </w:p>
        </w:tc>
        <w:tc>
          <w:tcPr>
            <w:tcW w:w="1290" w:type="dxa"/>
          </w:tcPr>
          <w:p w14:paraId="730A98A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0.052</w:t>
            </w:r>
          </w:p>
        </w:tc>
        <w:tc>
          <w:tcPr>
            <w:tcW w:w="1290" w:type="dxa"/>
          </w:tcPr>
          <w:p w14:paraId="788E68F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290" w:type="dxa"/>
          </w:tcPr>
          <w:p w14:paraId="0A5D13E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290" w:type="dxa"/>
          </w:tcPr>
          <w:p w14:paraId="2FD19F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-0.168</w:t>
            </w:r>
          </w:p>
        </w:tc>
        <w:tc>
          <w:tcPr>
            <w:tcW w:w="1290" w:type="dxa"/>
          </w:tcPr>
          <w:p w14:paraId="17D51AE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1.162</w:t>
            </w:r>
          </w:p>
        </w:tc>
        <w:tc>
          <w:tcPr>
            <w:tcW w:w="1290" w:type="dxa"/>
          </w:tcPr>
          <w:p w14:paraId="6576E72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725B420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4F63A6B" w14:textId="77777777" w:rsidR="0067237E" w:rsidRDefault="00000000">
            <w:r>
              <w:rPr>
                <w:sz w:val="16"/>
              </w:rPr>
              <w:t>difference</w:t>
            </w:r>
          </w:p>
        </w:tc>
        <w:tc>
          <w:tcPr>
            <w:tcW w:w="1290" w:type="dxa"/>
          </w:tcPr>
          <w:p w14:paraId="452BEA2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40C26E0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7E03BB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-0.022</w:t>
            </w:r>
          </w:p>
        </w:tc>
        <w:tc>
          <w:tcPr>
            <w:tcW w:w="1290" w:type="dxa"/>
          </w:tcPr>
          <w:p w14:paraId="703106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23D5B25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290" w:type="dxa"/>
          </w:tcPr>
          <w:p w14:paraId="58272FA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0.064</w:t>
            </w:r>
          </w:p>
        </w:tc>
      </w:tr>
      <w:tr w:rsidR="0067237E" w14:paraId="5CF0D24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FFE646" w14:textId="77777777" w:rsidR="0067237E" w:rsidRDefault="00000000">
            <w:r>
              <w:rPr>
                <w:sz w:val="16"/>
              </w:rPr>
              <w:t>Equity Maximum-Sharpe (base)</w:t>
            </w:r>
          </w:p>
        </w:tc>
        <w:tc>
          <w:tcPr>
            <w:tcW w:w="1290" w:type="dxa"/>
          </w:tcPr>
          <w:p w14:paraId="4131D10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0.092</w:t>
            </w:r>
          </w:p>
        </w:tc>
        <w:tc>
          <w:tcPr>
            <w:tcW w:w="1290" w:type="dxa"/>
          </w:tcPr>
          <w:p w14:paraId="2F2D3CA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290" w:type="dxa"/>
          </w:tcPr>
          <w:p w14:paraId="757CD2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290" w:type="dxa"/>
          </w:tcPr>
          <w:p w14:paraId="50A707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-0.256</w:t>
            </w:r>
          </w:p>
        </w:tc>
        <w:tc>
          <w:tcPr>
            <w:tcW w:w="1290" w:type="dxa"/>
          </w:tcPr>
          <w:p w14:paraId="32CC19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1.299</w:t>
            </w:r>
          </w:p>
        </w:tc>
        <w:tc>
          <w:tcPr>
            <w:tcW w:w="1290" w:type="dxa"/>
          </w:tcPr>
          <w:p w14:paraId="5AF7512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694013E8"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DBFE5D5" w14:textId="77777777" w:rsidR="0067237E" w:rsidRDefault="00000000">
            <w:r>
              <w:rPr>
                <w:sz w:val="16"/>
              </w:rPr>
              <w:t>Equity Maximum-Sharpe + sentiment</w:t>
            </w:r>
          </w:p>
        </w:tc>
        <w:tc>
          <w:tcPr>
            <w:tcW w:w="1290" w:type="dxa"/>
          </w:tcPr>
          <w:p w14:paraId="65E0CF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7C8197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0.186</w:t>
            </w:r>
          </w:p>
        </w:tc>
        <w:tc>
          <w:tcPr>
            <w:tcW w:w="1290" w:type="dxa"/>
          </w:tcPr>
          <w:p w14:paraId="128AF3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290" w:type="dxa"/>
          </w:tcPr>
          <w:p w14:paraId="77AB81B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-0.270</w:t>
            </w:r>
          </w:p>
        </w:tc>
        <w:tc>
          <w:tcPr>
            <w:tcW w:w="1290" w:type="dxa"/>
          </w:tcPr>
          <w:p w14:paraId="099CF12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1.260</w:t>
            </w:r>
          </w:p>
        </w:tc>
        <w:tc>
          <w:tcPr>
            <w:tcW w:w="1290" w:type="dxa"/>
          </w:tcPr>
          <w:p w14:paraId="64DC0F3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3DE0B15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A489933" w14:textId="77777777" w:rsidR="0067237E" w:rsidRDefault="00000000">
            <w:r>
              <w:rPr>
                <w:sz w:val="16"/>
              </w:rPr>
              <w:t>difference</w:t>
            </w:r>
          </w:p>
        </w:tc>
        <w:tc>
          <w:tcPr>
            <w:tcW w:w="1290" w:type="dxa"/>
          </w:tcPr>
          <w:p w14:paraId="2E2A254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-0.011</w:t>
            </w:r>
          </w:p>
        </w:tc>
        <w:tc>
          <w:tcPr>
            <w:tcW w:w="1290" w:type="dxa"/>
          </w:tcPr>
          <w:p w14:paraId="21E4CFE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0.004</w:t>
            </w:r>
          </w:p>
        </w:tc>
        <w:tc>
          <w:tcPr>
            <w:tcW w:w="1290" w:type="dxa"/>
          </w:tcPr>
          <w:p w14:paraId="6209038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0ED9ECE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-0.013</w:t>
            </w:r>
          </w:p>
        </w:tc>
        <w:tc>
          <w:tcPr>
            <w:tcW w:w="1290" w:type="dxa"/>
          </w:tcPr>
          <w:p w14:paraId="596201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290" w:type="dxa"/>
          </w:tcPr>
          <w:p w14:paraId="1FE561A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r>
    </w:tbl>
    <w:p w14:paraId="700036BC" w14:textId="77777777" w:rsidR="0067237E" w:rsidRDefault="00000000">
      <w:r>
        <w:t xml:space="preserve">The tilt makes both funds worse. Minimum variance falls from 0.479 to 0.457 and maximum Sharpe from 0.573 to 0.509, while turnover rises in both. That combination - lower return, higher trading - is what a signal with no predictive content looks like when it is used to move weights: </w:t>
      </w:r>
      <w:r>
        <w:lastRenderedPageBreak/>
        <w:t>the tilt adds noise to a portfolio that was already as good as its inputs allowed, and charges for the privilege.</w:t>
      </w:r>
    </w:p>
    <w:p w14:paraId="5340CC39" w14:textId="77777777" w:rsidR="0067237E" w:rsidRDefault="00000000">
      <w:pPr>
        <w:jc w:val="center"/>
      </w:pPr>
      <w:r>
        <w:rPr>
          <w:noProof/>
        </w:rPr>
        <w:drawing>
          <wp:inline distT="0" distB="0" distL="0" distR="0" wp14:anchorId="24EB26EF" wp14:editId="6C4159DE">
            <wp:extent cx="5577840" cy="2696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2696714"/>
                    </a:xfrm>
                    <a:prstGeom prst="rect">
                      <a:avLst/>
                    </a:prstGeom>
                  </pic:spPr>
                </pic:pic>
              </a:graphicData>
            </a:graphic>
          </wp:inline>
        </w:drawing>
      </w:r>
    </w:p>
    <w:p w14:paraId="77E77F32" w14:textId="5AD7D7B8" w:rsidR="0067237E" w:rsidRDefault="00000000">
      <w:pPr>
        <w:pStyle w:val="af7"/>
      </w:pPr>
      <w:r>
        <w:t xml:space="preserve">Figure </w:t>
      </w:r>
      <w:fldSimple w:instr=" SEQ Figure \* ARABIC ">
        <w:r w:rsidR="00EC0521">
          <w:rPr>
            <w:noProof/>
          </w:rPr>
          <w:t>8</w:t>
        </w:r>
      </w:fldSimple>
      <w:r>
        <w:t>: Growth of $1 for the Equity Minimum-Variance fund with and without the sentiment tilt.</w:t>
      </w:r>
    </w:p>
    <w:p w14:paraId="07078EDD" w14:textId="77777777" w:rsidR="0067237E" w:rsidRDefault="00000000">
      <w:pPr>
        <w:jc w:val="center"/>
      </w:pPr>
      <w:r>
        <w:rPr>
          <w:noProof/>
        </w:rPr>
        <w:drawing>
          <wp:inline distT="0" distB="0" distL="0" distR="0" wp14:anchorId="22217896" wp14:editId="791BCB5C">
            <wp:extent cx="5577840" cy="2696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7840" cy="2696714"/>
                    </a:xfrm>
                    <a:prstGeom prst="rect">
                      <a:avLst/>
                    </a:prstGeom>
                  </pic:spPr>
                </pic:pic>
              </a:graphicData>
            </a:graphic>
          </wp:inline>
        </w:drawing>
      </w:r>
    </w:p>
    <w:p w14:paraId="480064C3" w14:textId="33945A1D" w:rsidR="0067237E" w:rsidRDefault="00000000">
      <w:pPr>
        <w:pStyle w:val="af7"/>
      </w:pPr>
      <w:r>
        <w:t xml:space="preserve">Figure </w:t>
      </w:r>
      <w:fldSimple w:instr=" SEQ Figure \* ARABIC ">
        <w:r w:rsidR="00EC0521">
          <w:rPr>
            <w:noProof/>
          </w:rPr>
          <w:t>9</w:t>
        </w:r>
      </w:fldSimple>
      <w:r>
        <w:t>: Growth of $1 for the Equity Maximum-Sharpe fund with and without the sentiment tilt.</w:t>
      </w:r>
    </w:p>
    <w:p w14:paraId="52267AAF" w14:textId="77777777" w:rsidR="0067237E" w:rsidRDefault="00000000">
      <w:r>
        <w:t>The diagnostics explain the direction of the result. The correlation between the lagged sector index and the sector return it can be traded on is negative in 8 of the ten sectors, with a mean of -0.0205.</w:t>
      </w:r>
    </w:p>
    <w:p w14:paraId="293D705B" w14:textId="3BA12063" w:rsidR="0067237E" w:rsidRDefault="00000000">
      <w:pPr>
        <w:pStyle w:val="af7"/>
      </w:pPr>
      <w:r>
        <w:t xml:space="preserve">Table </w:t>
      </w:r>
      <w:fldSimple w:instr=" SEQ Table \* ARABIC ">
        <w:r w:rsidR="00EC0521">
          <w:rPr>
            <w:noProof/>
          </w:rPr>
          <w:t>4</w:t>
        </w:r>
      </w:fldSimple>
      <w:r>
        <w:t>: Correlation between the lagged sector sentiment index and the equal-weight sector return on the day the signal becomes usable.</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2C35D3E0"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50C124D" w14:textId="77777777" w:rsidR="0067237E" w:rsidRDefault="00000000">
            <w:r>
              <w:rPr>
                <w:sz w:val="16"/>
              </w:rPr>
              <w:t>sector</w:t>
            </w:r>
          </w:p>
        </w:tc>
        <w:tc>
          <w:tcPr>
            <w:tcW w:w="1505" w:type="dxa"/>
          </w:tcPr>
          <w:p w14:paraId="2B26D32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w:t>
            </w:r>
          </w:p>
        </w:tc>
        <w:tc>
          <w:tcPr>
            <w:tcW w:w="1505" w:type="dxa"/>
          </w:tcPr>
          <w:p w14:paraId="0B7EC44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lagged sentiment vs return</w:t>
            </w:r>
          </w:p>
        </w:tc>
        <w:tc>
          <w:tcPr>
            <w:tcW w:w="1505" w:type="dxa"/>
          </w:tcPr>
          <w:p w14:paraId="193C941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high sentiment</w:t>
            </w:r>
          </w:p>
        </w:tc>
        <w:tc>
          <w:tcPr>
            <w:tcW w:w="1505" w:type="dxa"/>
          </w:tcPr>
          <w:p w14:paraId="440AD87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low sentiment</w:t>
            </w:r>
          </w:p>
        </w:tc>
        <w:tc>
          <w:tcPr>
            <w:tcW w:w="1505" w:type="dxa"/>
          </w:tcPr>
          <w:p w14:paraId="6F1FA62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spread bps per day</w:t>
            </w:r>
          </w:p>
        </w:tc>
      </w:tr>
      <w:tr w:rsidR="0067237E" w14:paraId="444DEFD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80E0A93" w14:textId="77777777" w:rsidR="0067237E" w:rsidRDefault="00000000">
            <w:r>
              <w:rPr>
                <w:sz w:val="16"/>
              </w:rPr>
              <w:t>Consumer</w:t>
            </w:r>
          </w:p>
        </w:tc>
        <w:tc>
          <w:tcPr>
            <w:tcW w:w="1505" w:type="dxa"/>
          </w:tcPr>
          <w:p w14:paraId="3DB866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664E44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0.028</w:t>
            </w:r>
          </w:p>
        </w:tc>
        <w:tc>
          <w:tcPr>
            <w:tcW w:w="1505" w:type="dxa"/>
          </w:tcPr>
          <w:p w14:paraId="639B99F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636F7EF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47668D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10.118</w:t>
            </w:r>
          </w:p>
        </w:tc>
      </w:tr>
      <w:tr w:rsidR="0067237E" w14:paraId="6EF0DC4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F7BEC2" w14:textId="77777777" w:rsidR="0067237E" w:rsidRDefault="00000000">
            <w:r>
              <w:rPr>
                <w:sz w:val="16"/>
              </w:rPr>
              <w:t>Materials</w:t>
            </w:r>
          </w:p>
        </w:tc>
        <w:tc>
          <w:tcPr>
            <w:tcW w:w="1505" w:type="dxa"/>
          </w:tcPr>
          <w:p w14:paraId="475E11A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7ED7691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0.020</w:t>
            </w:r>
          </w:p>
        </w:tc>
        <w:tc>
          <w:tcPr>
            <w:tcW w:w="1505" w:type="dxa"/>
          </w:tcPr>
          <w:p w14:paraId="28E861A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75F69DD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1111B24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17.434</w:t>
            </w:r>
          </w:p>
        </w:tc>
      </w:tr>
      <w:tr w:rsidR="0067237E" w14:paraId="2A59E30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93E85A0" w14:textId="77777777" w:rsidR="0067237E" w:rsidRDefault="00000000">
            <w:r>
              <w:rPr>
                <w:sz w:val="16"/>
              </w:rPr>
              <w:t>Tech</w:t>
            </w:r>
          </w:p>
        </w:tc>
        <w:tc>
          <w:tcPr>
            <w:tcW w:w="1505" w:type="dxa"/>
          </w:tcPr>
          <w:p w14:paraId="5E99270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1005</w:t>
            </w:r>
          </w:p>
        </w:tc>
        <w:tc>
          <w:tcPr>
            <w:tcW w:w="1505" w:type="dxa"/>
          </w:tcPr>
          <w:p w14:paraId="347C65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505" w:type="dxa"/>
          </w:tcPr>
          <w:p w14:paraId="235982C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3BF9B2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505" w:type="dxa"/>
          </w:tcPr>
          <w:p w14:paraId="75326B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-19.545</w:t>
            </w:r>
          </w:p>
        </w:tc>
      </w:tr>
      <w:tr w:rsidR="0067237E" w14:paraId="28924CD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56858B1" w14:textId="77777777" w:rsidR="0067237E" w:rsidRDefault="00000000">
            <w:r>
              <w:rPr>
                <w:sz w:val="16"/>
              </w:rPr>
              <w:t>Healthcare</w:t>
            </w:r>
          </w:p>
        </w:tc>
        <w:tc>
          <w:tcPr>
            <w:tcW w:w="1505" w:type="dxa"/>
          </w:tcPr>
          <w:p w14:paraId="1F1F588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10938E1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-0.012</w:t>
            </w:r>
          </w:p>
        </w:tc>
        <w:tc>
          <w:tcPr>
            <w:tcW w:w="1505" w:type="dxa"/>
          </w:tcPr>
          <w:p w14:paraId="07BF669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54CFA55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3D05F4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-9.295</w:t>
            </w:r>
          </w:p>
        </w:tc>
      </w:tr>
      <w:tr w:rsidR="0067237E" w14:paraId="48054B1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F9BA489" w14:textId="77777777" w:rsidR="0067237E" w:rsidRDefault="00000000">
            <w:r>
              <w:rPr>
                <w:sz w:val="16"/>
              </w:rPr>
              <w:t>Comm</w:t>
            </w:r>
          </w:p>
        </w:tc>
        <w:tc>
          <w:tcPr>
            <w:tcW w:w="1505" w:type="dxa"/>
          </w:tcPr>
          <w:p w14:paraId="6103E4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6D7410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-0.014</w:t>
            </w:r>
          </w:p>
        </w:tc>
        <w:tc>
          <w:tcPr>
            <w:tcW w:w="1505" w:type="dxa"/>
          </w:tcPr>
          <w:p w14:paraId="1898BCA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36895AB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4E69B30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-0.748</w:t>
            </w:r>
          </w:p>
        </w:tc>
      </w:tr>
      <w:tr w:rsidR="0067237E" w14:paraId="630CCD0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E1E7266" w14:textId="77777777" w:rsidR="0067237E" w:rsidRDefault="00000000">
            <w:r>
              <w:rPr>
                <w:sz w:val="16"/>
              </w:rPr>
              <w:t>Financials</w:t>
            </w:r>
          </w:p>
        </w:tc>
        <w:tc>
          <w:tcPr>
            <w:tcW w:w="1505" w:type="dxa"/>
          </w:tcPr>
          <w:p w14:paraId="411759A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7D6D75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-0.021</w:t>
            </w:r>
          </w:p>
        </w:tc>
        <w:tc>
          <w:tcPr>
            <w:tcW w:w="1505" w:type="dxa"/>
          </w:tcPr>
          <w:p w14:paraId="480F50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E8E996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F9F08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r>
      <w:tr w:rsidR="0067237E" w14:paraId="1BAB8D5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D2170F5" w14:textId="77777777" w:rsidR="0067237E" w:rsidRDefault="00000000">
            <w:r>
              <w:rPr>
                <w:sz w:val="16"/>
              </w:rPr>
              <w:lastRenderedPageBreak/>
              <w:t>RealEstate</w:t>
            </w:r>
          </w:p>
        </w:tc>
        <w:tc>
          <w:tcPr>
            <w:tcW w:w="1505" w:type="dxa"/>
          </w:tcPr>
          <w:p w14:paraId="06F75FC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5B229A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-0.037</w:t>
            </w:r>
          </w:p>
        </w:tc>
        <w:tc>
          <w:tcPr>
            <w:tcW w:w="1505" w:type="dxa"/>
          </w:tcPr>
          <w:p w14:paraId="5996C3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07CFA3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3C29A7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-14.500</w:t>
            </w:r>
          </w:p>
        </w:tc>
      </w:tr>
      <w:tr w:rsidR="0067237E" w14:paraId="3CBE96C1"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59DD22" w14:textId="77777777" w:rsidR="0067237E" w:rsidRDefault="00000000">
            <w:r>
              <w:rPr>
                <w:sz w:val="16"/>
              </w:rPr>
              <w:t>Industrials</w:t>
            </w:r>
          </w:p>
        </w:tc>
        <w:tc>
          <w:tcPr>
            <w:tcW w:w="1505" w:type="dxa"/>
          </w:tcPr>
          <w:p w14:paraId="5585205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6F3786C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505" w:type="dxa"/>
          </w:tcPr>
          <w:p w14:paraId="403A1E7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10B083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5EA00A7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-27.196</w:t>
            </w:r>
          </w:p>
        </w:tc>
      </w:tr>
      <w:tr w:rsidR="0067237E" w14:paraId="3470BC0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AA38EF" w14:textId="77777777" w:rsidR="0067237E" w:rsidRDefault="00000000">
            <w:r>
              <w:rPr>
                <w:sz w:val="16"/>
              </w:rPr>
              <w:t>Utilities</w:t>
            </w:r>
          </w:p>
        </w:tc>
        <w:tc>
          <w:tcPr>
            <w:tcW w:w="1505" w:type="dxa"/>
          </w:tcPr>
          <w:p w14:paraId="7B572C5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5A4C3D9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-0.052</w:t>
            </w:r>
          </w:p>
        </w:tc>
        <w:tc>
          <w:tcPr>
            <w:tcW w:w="1505" w:type="dxa"/>
          </w:tcPr>
          <w:p w14:paraId="39E4018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7B1A936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5965CB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-16.246</w:t>
            </w:r>
          </w:p>
        </w:tc>
      </w:tr>
      <w:tr w:rsidR="0067237E" w14:paraId="21425D7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3E9BADF" w14:textId="77777777" w:rsidR="0067237E" w:rsidRDefault="00000000">
            <w:r>
              <w:rPr>
                <w:sz w:val="16"/>
              </w:rPr>
              <w:t>Energy</w:t>
            </w:r>
          </w:p>
        </w:tc>
        <w:tc>
          <w:tcPr>
            <w:tcW w:w="1505" w:type="dxa"/>
          </w:tcPr>
          <w:p w14:paraId="18B2D9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2050B63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-0.071</w:t>
            </w:r>
          </w:p>
        </w:tc>
        <w:tc>
          <w:tcPr>
            <w:tcW w:w="1505" w:type="dxa"/>
          </w:tcPr>
          <w:p w14:paraId="536B141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4DEF05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505" w:type="dxa"/>
          </w:tcPr>
          <w:p w14:paraId="65A5B5F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-31.842</w:t>
            </w:r>
          </w:p>
        </w:tc>
      </w:tr>
    </w:tbl>
    <w:p w14:paraId="0A082919" w14:textId="77777777" w:rsidR="0067237E" w:rsidRDefault="00000000">
      <w:r>
        <w:t>A negative correlation is consistent with three different stories - a reversal, news already in the price, or noise - so sentiment on day t was correlated against the sector return on the day before, the same day, and the day after, with a p-value for each.</w:t>
      </w:r>
    </w:p>
    <w:p w14:paraId="761D6484" w14:textId="3879B4F7" w:rsidR="0067237E" w:rsidRDefault="00000000">
      <w:pPr>
        <w:pStyle w:val="af7"/>
      </w:pPr>
      <w:r>
        <w:t xml:space="preserve">Table </w:t>
      </w:r>
      <w:fldSimple w:instr=" SEQ Table \* ARABIC ">
        <w:r w:rsidR="00EC0521">
          <w:rPr>
            <w:noProof/>
          </w:rPr>
          <w:t>5</w:t>
        </w:r>
      </w:fldSimple>
      <w:r>
        <w:t>: Sector sentiment on day t against the sector return on t-1, t and t+1, with Pearson p-values. Raw daily index, 2020-2023.</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2BF2888A"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0A6243F" w14:textId="77777777" w:rsidR="0067237E" w:rsidRDefault="00000000">
            <w:r>
              <w:rPr>
                <w:sz w:val="16"/>
              </w:rPr>
              <w:t>sector</w:t>
            </w:r>
          </w:p>
        </w:tc>
        <w:tc>
          <w:tcPr>
            <w:tcW w:w="1290" w:type="dxa"/>
          </w:tcPr>
          <w:p w14:paraId="60C96E4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prev day</w:t>
            </w:r>
          </w:p>
        </w:tc>
        <w:tc>
          <w:tcPr>
            <w:tcW w:w="1290" w:type="dxa"/>
          </w:tcPr>
          <w:p w14:paraId="2A99BC5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prev day</w:t>
            </w:r>
          </w:p>
        </w:tc>
        <w:tc>
          <w:tcPr>
            <w:tcW w:w="1290" w:type="dxa"/>
          </w:tcPr>
          <w:p w14:paraId="66DB482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same day</w:t>
            </w:r>
          </w:p>
        </w:tc>
        <w:tc>
          <w:tcPr>
            <w:tcW w:w="1290" w:type="dxa"/>
          </w:tcPr>
          <w:p w14:paraId="056C8F6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same day</w:t>
            </w:r>
          </w:p>
        </w:tc>
        <w:tc>
          <w:tcPr>
            <w:tcW w:w="1290" w:type="dxa"/>
          </w:tcPr>
          <w:p w14:paraId="30C6774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next day</w:t>
            </w:r>
          </w:p>
        </w:tc>
        <w:tc>
          <w:tcPr>
            <w:tcW w:w="1290" w:type="dxa"/>
          </w:tcPr>
          <w:p w14:paraId="48DB9BB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next day</w:t>
            </w:r>
          </w:p>
        </w:tc>
      </w:tr>
      <w:tr w:rsidR="0067237E" w14:paraId="2862A0C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26CD8AC" w14:textId="77777777" w:rsidR="0067237E" w:rsidRDefault="00000000">
            <w:r>
              <w:rPr>
                <w:sz w:val="16"/>
              </w:rPr>
              <w:t>Tech</w:t>
            </w:r>
          </w:p>
        </w:tc>
        <w:tc>
          <w:tcPr>
            <w:tcW w:w="1290" w:type="dxa"/>
          </w:tcPr>
          <w:p w14:paraId="74C0FD5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0.032</w:t>
            </w:r>
          </w:p>
        </w:tc>
        <w:tc>
          <w:tcPr>
            <w:tcW w:w="1290" w:type="dxa"/>
          </w:tcPr>
          <w:p w14:paraId="2AC4286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0.316</w:t>
            </w:r>
          </w:p>
        </w:tc>
        <w:tc>
          <w:tcPr>
            <w:tcW w:w="1290" w:type="dxa"/>
          </w:tcPr>
          <w:p w14:paraId="424E04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0.121</w:t>
            </w:r>
          </w:p>
        </w:tc>
        <w:tc>
          <w:tcPr>
            <w:tcW w:w="1290" w:type="dxa"/>
          </w:tcPr>
          <w:p w14:paraId="460BC4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4C73B2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0D98578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0.326</w:t>
            </w:r>
          </w:p>
        </w:tc>
      </w:tr>
      <w:tr w:rsidR="0067237E" w14:paraId="62C6BE6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ABD9CE5" w14:textId="77777777" w:rsidR="0067237E" w:rsidRDefault="00000000">
            <w:r>
              <w:rPr>
                <w:sz w:val="16"/>
              </w:rPr>
              <w:t>Energy</w:t>
            </w:r>
          </w:p>
        </w:tc>
        <w:tc>
          <w:tcPr>
            <w:tcW w:w="1290" w:type="dxa"/>
          </w:tcPr>
          <w:p w14:paraId="0738F1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c>
          <w:tcPr>
            <w:tcW w:w="1290" w:type="dxa"/>
          </w:tcPr>
          <w:p w14:paraId="2E91F20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0.286</w:t>
            </w:r>
          </w:p>
        </w:tc>
        <w:tc>
          <w:tcPr>
            <w:tcW w:w="1290" w:type="dxa"/>
          </w:tcPr>
          <w:p w14:paraId="2FFFE3A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0.120</w:t>
            </w:r>
          </w:p>
        </w:tc>
        <w:tc>
          <w:tcPr>
            <w:tcW w:w="1290" w:type="dxa"/>
          </w:tcPr>
          <w:p w14:paraId="06CDF62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2668361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-0.027</w:t>
            </w:r>
          </w:p>
        </w:tc>
        <w:tc>
          <w:tcPr>
            <w:tcW w:w="1290" w:type="dxa"/>
          </w:tcPr>
          <w:p w14:paraId="06F0E6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0.393</w:t>
            </w:r>
          </w:p>
        </w:tc>
      </w:tr>
      <w:tr w:rsidR="0067237E" w14:paraId="443BF6B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D830DFE" w14:textId="77777777" w:rsidR="0067237E" w:rsidRDefault="00000000">
            <w:r>
              <w:rPr>
                <w:sz w:val="16"/>
              </w:rPr>
              <w:t>Industrials</w:t>
            </w:r>
          </w:p>
        </w:tc>
        <w:tc>
          <w:tcPr>
            <w:tcW w:w="1290" w:type="dxa"/>
          </w:tcPr>
          <w:p w14:paraId="27BCB9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0.113</w:t>
            </w:r>
          </w:p>
        </w:tc>
        <w:tc>
          <w:tcPr>
            <w:tcW w:w="1290" w:type="dxa"/>
          </w:tcPr>
          <w:p w14:paraId="0E1D3B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126D572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0.119</w:t>
            </w:r>
          </w:p>
        </w:tc>
        <w:tc>
          <w:tcPr>
            <w:tcW w:w="1290" w:type="dxa"/>
          </w:tcPr>
          <w:p w14:paraId="07B539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4E5B79C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-0.020</w:t>
            </w:r>
          </w:p>
        </w:tc>
        <w:tc>
          <w:tcPr>
            <w:tcW w:w="1290" w:type="dxa"/>
          </w:tcPr>
          <w:p w14:paraId="265C768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r>
      <w:tr w:rsidR="0067237E" w14:paraId="15C0FC4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B74332D" w14:textId="77777777" w:rsidR="0067237E" w:rsidRDefault="00000000">
            <w:r>
              <w:rPr>
                <w:sz w:val="16"/>
              </w:rPr>
              <w:t>Financials</w:t>
            </w:r>
          </w:p>
        </w:tc>
        <w:tc>
          <w:tcPr>
            <w:tcW w:w="1290" w:type="dxa"/>
          </w:tcPr>
          <w:p w14:paraId="43DC32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0.076</w:t>
            </w:r>
          </w:p>
        </w:tc>
        <w:tc>
          <w:tcPr>
            <w:tcW w:w="1290" w:type="dxa"/>
          </w:tcPr>
          <w:p w14:paraId="719384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0.017</w:t>
            </w:r>
          </w:p>
        </w:tc>
        <w:tc>
          <w:tcPr>
            <w:tcW w:w="1290" w:type="dxa"/>
          </w:tcPr>
          <w:p w14:paraId="43496F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0.118</w:t>
            </w:r>
          </w:p>
        </w:tc>
        <w:tc>
          <w:tcPr>
            <w:tcW w:w="1290" w:type="dxa"/>
          </w:tcPr>
          <w:p w14:paraId="73351C7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5791A8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c>
          <w:tcPr>
            <w:tcW w:w="1290" w:type="dxa"/>
          </w:tcPr>
          <w:p w14:paraId="09EE4B0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r>
      <w:tr w:rsidR="0067237E" w14:paraId="202D91F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799D946" w14:textId="77777777" w:rsidR="0067237E" w:rsidRDefault="00000000">
            <w:r>
              <w:rPr>
                <w:sz w:val="16"/>
              </w:rPr>
              <w:t>Utilities</w:t>
            </w:r>
          </w:p>
        </w:tc>
        <w:tc>
          <w:tcPr>
            <w:tcW w:w="1290" w:type="dxa"/>
          </w:tcPr>
          <w:p w14:paraId="54312A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7D45873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0.098</w:t>
            </w:r>
          </w:p>
        </w:tc>
        <w:tc>
          <w:tcPr>
            <w:tcW w:w="1290" w:type="dxa"/>
          </w:tcPr>
          <w:p w14:paraId="6F60642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5FEE0D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4A793A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27B6858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67237E" w14:paraId="378058A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F4494BC" w14:textId="77777777" w:rsidR="0067237E" w:rsidRDefault="00000000">
            <w:r>
              <w:rPr>
                <w:sz w:val="16"/>
              </w:rPr>
              <w:t>Materials</w:t>
            </w:r>
          </w:p>
        </w:tc>
        <w:tc>
          <w:tcPr>
            <w:tcW w:w="1290" w:type="dxa"/>
          </w:tcPr>
          <w:p w14:paraId="550A9D0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1337003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4011172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0.096</w:t>
            </w:r>
          </w:p>
        </w:tc>
        <w:tc>
          <w:tcPr>
            <w:tcW w:w="1290" w:type="dxa"/>
          </w:tcPr>
          <w:p w14:paraId="6AB2EC3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6D1CF62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0.015</w:t>
            </w:r>
          </w:p>
        </w:tc>
        <w:tc>
          <w:tcPr>
            <w:tcW w:w="1290" w:type="dxa"/>
          </w:tcPr>
          <w:p w14:paraId="0B1B75B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r>
      <w:tr w:rsidR="0067237E" w14:paraId="7F13BEC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1D6EB91" w14:textId="77777777" w:rsidR="0067237E" w:rsidRDefault="00000000">
            <w:r>
              <w:rPr>
                <w:sz w:val="16"/>
              </w:rPr>
              <w:t>Consumer</w:t>
            </w:r>
          </w:p>
        </w:tc>
        <w:tc>
          <w:tcPr>
            <w:tcW w:w="1290" w:type="dxa"/>
          </w:tcPr>
          <w:p w14:paraId="3D180A2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0.015</w:t>
            </w:r>
          </w:p>
        </w:tc>
        <w:tc>
          <w:tcPr>
            <w:tcW w:w="1290" w:type="dxa"/>
          </w:tcPr>
          <w:p w14:paraId="5E49F9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0.632</w:t>
            </w:r>
          </w:p>
        </w:tc>
        <w:tc>
          <w:tcPr>
            <w:tcW w:w="1290" w:type="dxa"/>
          </w:tcPr>
          <w:p w14:paraId="56F81E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0.082</w:t>
            </w:r>
          </w:p>
        </w:tc>
        <w:tc>
          <w:tcPr>
            <w:tcW w:w="1290" w:type="dxa"/>
          </w:tcPr>
          <w:p w14:paraId="07B6BA6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0.010</w:t>
            </w:r>
          </w:p>
        </w:tc>
        <w:tc>
          <w:tcPr>
            <w:tcW w:w="1290" w:type="dxa"/>
          </w:tcPr>
          <w:p w14:paraId="081A4AE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73B843F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0.972</w:t>
            </w:r>
          </w:p>
        </w:tc>
      </w:tr>
      <w:tr w:rsidR="0067237E" w14:paraId="09DAA75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38AE216" w14:textId="77777777" w:rsidR="0067237E" w:rsidRDefault="00000000">
            <w:r>
              <w:rPr>
                <w:sz w:val="16"/>
              </w:rPr>
              <w:t>RealEstate</w:t>
            </w:r>
          </w:p>
        </w:tc>
        <w:tc>
          <w:tcPr>
            <w:tcW w:w="1290" w:type="dxa"/>
          </w:tcPr>
          <w:p w14:paraId="7210415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0.040</w:t>
            </w:r>
          </w:p>
        </w:tc>
        <w:tc>
          <w:tcPr>
            <w:tcW w:w="1290" w:type="dxa"/>
          </w:tcPr>
          <w:p w14:paraId="74A71D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0.223</w:t>
            </w:r>
          </w:p>
        </w:tc>
        <w:tc>
          <w:tcPr>
            <w:tcW w:w="1290" w:type="dxa"/>
          </w:tcPr>
          <w:p w14:paraId="4A2231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1CE226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0.063</w:t>
            </w:r>
          </w:p>
        </w:tc>
        <w:tc>
          <w:tcPr>
            <w:tcW w:w="1290" w:type="dxa"/>
          </w:tcPr>
          <w:p w14:paraId="2AFAD1D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290" w:type="dxa"/>
          </w:tcPr>
          <w:p w14:paraId="73511D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0.949</w:t>
            </w:r>
          </w:p>
        </w:tc>
      </w:tr>
      <w:tr w:rsidR="0067237E" w14:paraId="36CF30F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4527EB6" w14:textId="77777777" w:rsidR="0067237E" w:rsidRDefault="00000000">
            <w:r>
              <w:rPr>
                <w:sz w:val="16"/>
              </w:rPr>
              <w:t>Healthcare</w:t>
            </w:r>
          </w:p>
        </w:tc>
        <w:tc>
          <w:tcPr>
            <w:tcW w:w="1290" w:type="dxa"/>
          </w:tcPr>
          <w:p w14:paraId="0BD3D8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290" w:type="dxa"/>
          </w:tcPr>
          <w:p w14:paraId="591BB1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0.958</w:t>
            </w:r>
          </w:p>
        </w:tc>
        <w:tc>
          <w:tcPr>
            <w:tcW w:w="1290" w:type="dxa"/>
          </w:tcPr>
          <w:p w14:paraId="166F494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4659CC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7DFEAA3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-0.023</w:t>
            </w:r>
          </w:p>
        </w:tc>
        <w:tc>
          <w:tcPr>
            <w:tcW w:w="1290" w:type="dxa"/>
          </w:tcPr>
          <w:p w14:paraId="2DD3F0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0.466</w:t>
            </w:r>
          </w:p>
        </w:tc>
      </w:tr>
      <w:tr w:rsidR="0067237E" w14:paraId="2BC5D07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596E872" w14:textId="77777777" w:rsidR="0067237E" w:rsidRDefault="00000000">
            <w:r>
              <w:rPr>
                <w:sz w:val="16"/>
              </w:rPr>
              <w:t>Comm</w:t>
            </w:r>
          </w:p>
        </w:tc>
        <w:tc>
          <w:tcPr>
            <w:tcW w:w="1290" w:type="dxa"/>
          </w:tcPr>
          <w:p w14:paraId="4960406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-0.014</w:t>
            </w:r>
          </w:p>
        </w:tc>
        <w:tc>
          <w:tcPr>
            <w:tcW w:w="1290" w:type="dxa"/>
          </w:tcPr>
          <w:p w14:paraId="0C933A8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c>
          <w:tcPr>
            <w:tcW w:w="1290" w:type="dxa"/>
          </w:tcPr>
          <w:p w14:paraId="073862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0.018</w:t>
            </w:r>
          </w:p>
        </w:tc>
        <w:tc>
          <w:tcPr>
            <w:tcW w:w="1290" w:type="dxa"/>
          </w:tcPr>
          <w:p w14:paraId="192A509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0.578</w:t>
            </w:r>
          </w:p>
        </w:tc>
        <w:tc>
          <w:tcPr>
            <w:tcW w:w="1290" w:type="dxa"/>
          </w:tcPr>
          <w:p w14:paraId="076334C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03ECBAC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0.924</w:t>
            </w:r>
          </w:p>
        </w:tc>
      </w:tr>
    </w:tbl>
    <w:p w14:paraId="5EDA2D5B" w14:textId="77777777" w:rsidR="0067237E" w:rsidRDefault="00000000">
      <w:r>
        <w:t>Mean correlations: +0.0885 same day (7 of 10 significant at 5%), -0.0127 next day (1 of 10), and +0.0408 the day before (2 of 10).</w:t>
      </w:r>
    </w:p>
    <w:p w14:paraId="730ADFA3" w14:textId="77777777" w:rsidR="0067237E" w:rsidRDefault="00000000">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14:paraId="0332596B" w14:textId="77777777" w:rsidR="0067237E" w:rsidRDefault="00000000">
      <w:r>
        <w:t>That conclusion is the one an efficient market would predict at this horizon (Fama 1970), and it explains the fusion result without needing the tilt to be badly built. Tetlock (2007) finds that the price pressure associated with media pessimism reverts within a few trading days, so even where news tone does move prices the effect is short-lived relative to a monthly rebalance. There is nothing left in daily headline sentiment to trade.</w:t>
      </w:r>
    </w:p>
    <w:p w14:paraId="3D9D123F" w14:textId="77777777" w:rsidR="0067237E" w:rsidRDefault="00000000">
      <w:pPr>
        <w:pStyle w:val="21"/>
      </w:pPr>
      <w:bookmarkStart w:id="7" w:name="_Toc237449973"/>
      <w:r>
        <w:t>Is the signal there at a slower frequency?</w:t>
      </w:r>
      <w:bookmarkEnd w:id="7"/>
    </w:p>
    <w:p w14:paraId="4DD1D374" w14:textId="77777777" w:rsidR="0067237E" w:rsidRDefault="00000000">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which is the mechanism behind the spurious long-horizon predictability documented by Boudoukh, Richardson and Whitelaw (2008). Each horizon is run twice: on raw sector returns, and cross-sectionally with the day's mean across sectors removed from both sides, which is what the tilt actually bets on.</w:t>
      </w:r>
    </w:p>
    <w:p w14:paraId="05A9EE73" w14:textId="0AEABE63" w:rsidR="0067237E" w:rsidRDefault="00000000">
      <w:pPr>
        <w:pStyle w:val="af7"/>
      </w:pPr>
      <w:r>
        <w:t xml:space="preserve">Table </w:t>
      </w:r>
      <w:fldSimple w:instr=" SEQ Table \* ARABIC ">
        <w:r w:rsidR="00EC0521">
          <w:rPr>
            <w:noProof/>
          </w:rPr>
          <w:t>6</w:t>
        </w:r>
      </w:fldSimple>
      <w:r>
        <w:t>: Past-k-day sector sentiment against the next-k-day sector return, non-overlapping observations. The corrected column applies a Bonferroni threshold across the eight tests reported here.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21750D3E"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32D5511" w14:textId="77777777" w:rsidR="0067237E" w:rsidRDefault="00000000">
            <w:r>
              <w:rPr>
                <w:sz w:val="16"/>
              </w:rPr>
              <w:t>horizon days</w:t>
            </w:r>
          </w:p>
        </w:tc>
        <w:tc>
          <w:tcPr>
            <w:tcW w:w="1290" w:type="dxa"/>
          </w:tcPr>
          <w:p w14:paraId="5D255C3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7D4FB18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obs</w:t>
            </w:r>
          </w:p>
        </w:tc>
        <w:tc>
          <w:tcPr>
            <w:tcW w:w="1290" w:type="dxa"/>
          </w:tcPr>
          <w:p w14:paraId="755A521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correlation</w:t>
            </w:r>
          </w:p>
        </w:tc>
        <w:tc>
          <w:tcPr>
            <w:tcW w:w="1290" w:type="dxa"/>
          </w:tcPr>
          <w:p w14:paraId="250B681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41A3FA7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c>
          <w:tcPr>
            <w:tcW w:w="1290" w:type="dxa"/>
          </w:tcPr>
          <w:p w14:paraId="4ACC7A1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corrected</w:t>
            </w:r>
          </w:p>
        </w:tc>
      </w:tr>
      <w:tr w:rsidR="0067237E" w14:paraId="7855127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289B62D" w14:textId="77777777" w:rsidR="0067237E" w:rsidRDefault="00000000">
            <w:r>
              <w:rPr>
                <w:sz w:val="16"/>
              </w:rPr>
              <w:t>1</w:t>
            </w:r>
          </w:p>
        </w:tc>
        <w:tc>
          <w:tcPr>
            <w:tcW w:w="1290" w:type="dxa"/>
          </w:tcPr>
          <w:p w14:paraId="181EAE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6C09AF1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9821</w:t>
            </w:r>
          </w:p>
        </w:tc>
        <w:tc>
          <w:tcPr>
            <w:tcW w:w="1290" w:type="dxa"/>
          </w:tcPr>
          <w:p w14:paraId="4A8E5C5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-0.013</w:t>
            </w:r>
          </w:p>
        </w:tc>
        <w:tc>
          <w:tcPr>
            <w:tcW w:w="1290" w:type="dxa"/>
          </w:tcPr>
          <w:p w14:paraId="527A74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0.199</w:t>
            </w:r>
          </w:p>
        </w:tc>
        <w:tc>
          <w:tcPr>
            <w:tcW w:w="1290" w:type="dxa"/>
          </w:tcPr>
          <w:p w14:paraId="3EDC5F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27580F7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174082A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2B1D304" w14:textId="77777777" w:rsidR="0067237E" w:rsidRDefault="00000000">
            <w:r>
              <w:rPr>
                <w:sz w:val="16"/>
              </w:rPr>
              <w:t>1</w:t>
            </w:r>
          </w:p>
        </w:tc>
        <w:tc>
          <w:tcPr>
            <w:tcW w:w="1290" w:type="dxa"/>
          </w:tcPr>
          <w:p w14:paraId="2AF929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w:t>
            </w:r>
            <w:r>
              <w:rPr>
                <w:sz w:val="16"/>
              </w:rPr>
              <w:lastRenderedPageBreak/>
              <w:t>sectional</w:t>
            </w:r>
          </w:p>
        </w:tc>
        <w:tc>
          <w:tcPr>
            <w:tcW w:w="1290" w:type="dxa"/>
          </w:tcPr>
          <w:p w14:paraId="33B726D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lastRenderedPageBreak/>
              <w:t>9821</w:t>
            </w:r>
          </w:p>
        </w:tc>
        <w:tc>
          <w:tcPr>
            <w:tcW w:w="1290" w:type="dxa"/>
          </w:tcPr>
          <w:p w14:paraId="145AFE8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01E409E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0.029</w:t>
            </w:r>
          </w:p>
        </w:tc>
        <w:tc>
          <w:tcPr>
            <w:tcW w:w="1290" w:type="dxa"/>
          </w:tcPr>
          <w:p w14:paraId="245D33A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290" w:type="dxa"/>
          </w:tcPr>
          <w:p w14:paraId="269402E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4D0D854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0E2257B" w14:textId="77777777" w:rsidR="0067237E" w:rsidRDefault="00000000">
            <w:r>
              <w:rPr>
                <w:sz w:val="16"/>
              </w:rPr>
              <w:t>5</w:t>
            </w:r>
          </w:p>
        </w:tc>
        <w:tc>
          <w:tcPr>
            <w:tcW w:w="1290" w:type="dxa"/>
          </w:tcPr>
          <w:p w14:paraId="1EC4921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76261F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1990</w:t>
            </w:r>
          </w:p>
        </w:tc>
        <w:tc>
          <w:tcPr>
            <w:tcW w:w="1290" w:type="dxa"/>
          </w:tcPr>
          <w:p w14:paraId="2F8E929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0B9AC0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0.470</w:t>
            </w:r>
          </w:p>
        </w:tc>
        <w:tc>
          <w:tcPr>
            <w:tcW w:w="1290" w:type="dxa"/>
          </w:tcPr>
          <w:p w14:paraId="4ADD0AE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1CF70F2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08834E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ABF4938" w14:textId="77777777" w:rsidR="0067237E" w:rsidRDefault="00000000">
            <w:r>
              <w:rPr>
                <w:sz w:val="16"/>
              </w:rPr>
              <w:t>5</w:t>
            </w:r>
          </w:p>
        </w:tc>
        <w:tc>
          <w:tcPr>
            <w:tcW w:w="1290" w:type="dxa"/>
          </w:tcPr>
          <w:p w14:paraId="37689AF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430D19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1990</w:t>
            </w:r>
          </w:p>
        </w:tc>
        <w:tc>
          <w:tcPr>
            <w:tcW w:w="1290" w:type="dxa"/>
          </w:tcPr>
          <w:p w14:paraId="688C607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-0.023</w:t>
            </w:r>
          </w:p>
        </w:tc>
        <w:tc>
          <w:tcPr>
            <w:tcW w:w="1290" w:type="dxa"/>
          </w:tcPr>
          <w:p w14:paraId="6C5E86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0.311</w:t>
            </w:r>
          </w:p>
        </w:tc>
        <w:tc>
          <w:tcPr>
            <w:tcW w:w="1290" w:type="dxa"/>
          </w:tcPr>
          <w:p w14:paraId="015FCBE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531ED2C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502B907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620104" w14:textId="77777777" w:rsidR="0067237E" w:rsidRDefault="00000000">
            <w:r>
              <w:rPr>
                <w:sz w:val="16"/>
              </w:rPr>
              <w:t>21</w:t>
            </w:r>
          </w:p>
        </w:tc>
        <w:tc>
          <w:tcPr>
            <w:tcW w:w="1290" w:type="dxa"/>
          </w:tcPr>
          <w:p w14:paraId="1ECDEFC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5D73E89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460</w:t>
            </w:r>
          </w:p>
        </w:tc>
        <w:tc>
          <w:tcPr>
            <w:tcW w:w="1290" w:type="dxa"/>
          </w:tcPr>
          <w:p w14:paraId="42AF30D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55F17A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290" w:type="dxa"/>
          </w:tcPr>
          <w:p w14:paraId="2BEADF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6C9CA32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ABA5DC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2511C56" w14:textId="77777777" w:rsidR="0067237E" w:rsidRDefault="00000000">
            <w:r>
              <w:rPr>
                <w:sz w:val="16"/>
              </w:rPr>
              <w:t>21</w:t>
            </w:r>
          </w:p>
        </w:tc>
        <w:tc>
          <w:tcPr>
            <w:tcW w:w="1290" w:type="dxa"/>
          </w:tcPr>
          <w:p w14:paraId="6CB8EE8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DA472D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460</w:t>
            </w:r>
          </w:p>
        </w:tc>
        <w:tc>
          <w:tcPr>
            <w:tcW w:w="1290" w:type="dxa"/>
          </w:tcPr>
          <w:p w14:paraId="78D741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-0.069</w:t>
            </w:r>
          </w:p>
        </w:tc>
        <w:tc>
          <w:tcPr>
            <w:tcW w:w="1290" w:type="dxa"/>
          </w:tcPr>
          <w:p w14:paraId="74F6EFA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0.141</w:t>
            </w:r>
          </w:p>
        </w:tc>
        <w:tc>
          <w:tcPr>
            <w:tcW w:w="1290" w:type="dxa"/>
          </w:tcPr>
          <w:p w14:paraId="4055DFA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39728D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356B8C4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AADC350" w14:textId="77777777" w:rsidR="0067237E" w:rsidRDefault="00000000">
            <w:r>
              <w:rPr>
                <w:sz w:val="16"/>
              </w:rPr>
              <w:t>63</w:t>
            </w:r>
          </w:p>
        </w:tc>
        <w:tc>
          <w:tcPr>
            <w:tcW w:w="1290" w:type="dxa"/>
          </w:tcPr>
          <w:p w14:paraId="572AAA4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1AD44EC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140</w:t>
            </w:r>
          </w:p>
        </w:tc>
        <w:tc>
          <w:tcPr>
            <w:tcW w:w="1290" w:type="dxa"/>
          </w:tcPr>
          <w:p w14:paraId="5DDFC7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-0.149</w:t>
            </w:r>
          </w:p>
        </w:tc>
        <w:tc>
          <w:tcPr>
            <w:tcW w:w="1290" w:type="dxa"/>
          </w:tcPr>
          <w:p w14:paraId="6CF50F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0.080</w:t>
            </w:r>
          </w:p>
        </w:tc>
        <w:tc>
          <w:tcPr>
            <w:tcW w:w="1290" w:type="dxa"/>
          </w:tcPr>
          <w:p w14:paraId="105BD79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2E6A0C6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8883F8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9F0B7EF" w14:textId="77777777" w:rsidR="0067237E" w:rsidRDefault="00000000">
            <w:r>
              <w:rPr>
                <w:sz w:val="16"/>
              </w:rPr>
              <w:t>63</w:t>
            </w:r>
          </w:p>
        </w:tc>
        <w:tc>
          <w:tcPr>
            <w:tcW w:w="1290" w:type="dxa"/>
          </w:tcPr>
          <w:p w14:paraId="22CD449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7CDE7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140</w:t>
            </w:r>
          </w:p>
        </w:tc>
        <w:tc>
          <w:tcPr>
            <w:tcW w:w="1290" w:type="dxa"/>
          </w:tcPr>
          <w:p w14:paraId="712476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-0.121</w:t>
            </w:r>
          </w:p>
        </w:tc>
        <w:tc>
          <w:tcPr>
            <w:tcW w:w="1290" w:type="dxa"/>
          </w:tcPr>
          <w:p w14:paraId="1ED72BA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290" w:type="dxa"/>
          </w:tcPr>
          <w:p w14:paraId="3FB2E7F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4D797B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2DFA03CC" w14:textId="77777777" w:rsidR="0067237E" w:rsidRDefault="00000000">
      <w:r>
        <w:t>The correlation is negative at every horizon and its magnitude grows with it, from -0.0130 at one day to -0.1487 at 63 days, the pattern a slow effect would leave. Nothing else supports it. Independent observations collapse from 9,821 to 140 as the horizon lengthens, so the confidence around each estimate widens accordingly: 1 of 8 tests clears 5% uncorrected and none survives the correction for having run eight. One nominal p-value of 0.029 out of eight tests is what chance delivers. Harvey, Liu and Zhu (2016) argue that conventional thresholds are far too lenient once the number of specifications tried is counted, and the Bonferroni threshold applied here is the most conservative version of that argument.</w:t>
      </w:r>
    </w:p>
    <w:p w14:paraId="6B707635" w14:textId="77777777" w:rsidR="0067237E" w:rsidRDefault="00000000">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14:paraId="5473CBEF" w14:textId="77777777" w:rsidR="0067237E" w:rsidRDefault="00000000">
      <w:pPr>
        <w:pStyle w:val="1"/>
      </w:pPr>
      <w:bookmarkStart w:id="8" w:name="_Toc237449974"/>
      <w:r>
        <w:t>5. Extensions</w:t>
      </w:r>
      <w:bookmarkEnd w:id="8"/>
    </w:p>
    <w:p w14:paraId="79637340" w14:textId="77777777" w:rsidR="0067237E" w:rsidRDefault="00000000">
      <w:pPr>
        <w:pStyle w:val="21"/>
      </w:pPr>
      <w:bookmarkStart w:id="9" w:name="_Toc237449975"/>
      <w:r>
        <w:t>5.1 A finance lexicon for VADER</w:t>
      </w:r>
      <w:bookmarkEnd w:id="9"/>
    </w:p>
    <w:p w14:paraId="77495FDF" w14:textId="77777777" w:rsidR="0067237E" w:rsidRDefault="00000000">
      <w:r>
        <w:t>Only 1,831 of the 33,033 distinct tokens in the headline corpus carry a VADER score, and 49.6% of headlines score neutral. The gaps are not obscure: 'earnings' appears 11,870 times and 'beat' 2,083, and VADER scores neither. This is the mismatch Loughran and McDonald (2011) document for general-purpose dictionaries applied to financial text, and their remedy - a lexicon derived from the corpus actually being scored - is the one followed here. 46 finance terms were added, selected by frequency from the headlines themselves rather than from memory, each with a written rationale. Terms whose sign reverses with context - 'cut', 'hike', 'buy' - were deliberately excluded and are listed with their reasons.</w:t>
      </w:r>
    </w:p>
    <w:p w14:paraId="54EFF75B" w14:textId="77777777" w:rsidR="0067237E" w:rsidRDefault="00000000">
      <w:pPr>
        <w:jc w:val="center"/>
      </w:pPr>
      <w:r>
        <w:rPr>
          <w:noProof/>
        </w:rPr>
        <w:drawing>
          <wp:inline distT="0" distB="0" distL="0" distR="0" wp14:anchorId="3A558374" wp14:editId="7DA0DCB8">
            <wp:extent cx="5577840" cy="2248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77840" cy="2248859"/>
                    </a:xfrm>
                    <a:prstGeom prst="rect">
                      <a:avLst/>
                    </a:prstGeom>
                  </pic:spPr>
                </pic:pic>
              </a:graphicData>
            </a:graphic>
          </wp:inline>
        </w:drawing>
      </w:r>
    </w:p>
    <w:p w14:paraId="14F135F4" w14:textId="1A960983" w:rsidR="0067237E" w:rsidRDefault="00000000">
      <w:pPr>
        <w:pStyle w:val="af7"/>
      </w:pPr>
      <w:r>
        <w:t xml:space="preserve">Figure </w:t>
      </w:r>
      <w:fldSimple w:instr=" SEQ Figure \* ARABIC ">
        <w:r w:rsidR="00EC0521">
          <w:rPr>
            <w:noProof/>
          </w:rPr>
          <w:t>10</w:t>
        </w:r>
      </w:fldSimple>
      <w:r>
        <w:t>: Share of headlines scoring inside VADER's neutral band, before and after adding the finance terms.</w:t>
      </w:r>
    </w:p>
    <w:p w14:paraId="04AF8798" w14:textId="77777777" w:rsidR="0067237E" w:rsidRDefault="00000000">
      <w:r>
        <w:lastRenderedPageBreak/>
        <w:t>The neutral share falls to 43.4% and 16.1% of headlines are rescored.</w:t>
      </w:r>
    </w:p>
    <w:p w14:paraId="5CF17D4D" w14:textId="77777777" w:rsidR="0067237E" w:rsidRDefault="00000000">
      <w:r>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14:paraId="3760DDD2" w14:textId="77777777" w:rsidR="0067237E" w:rsidRDefault="00000000">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14:paraId="1A2A9BE1" w14:textId="77777777" w:rsidR="0067237E" w:rsidRDefault="00000000">
      <w:pPr>
        <w:pStyle w:val="21"/>
      </w:pPr>
      <w:bookmarkStart w:id="10" w:name="_Toc237449976"/>
      <w:r>
        <w:t>5.2 A tilt that learns its own direction</w:t>
      </w:r>
      <w:bookmarkEnd w:id="10"/>
    </w:p>
    <w:p w14:paraId="6FAAD15D" w14:textId="77777777" w:rsidR="0067237E" w:rsidRDefault="00000000">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14:paraId="072ED9B2" w14:textId="51D97F71" w:rsidR="0067237E" w:rsidRDefault="00000000">
      <w:pPr>
        <w:pStyle w:val="af7"/>
      </w:pPr>
      <w:r>
        <w:t xml:space="preserve">Table </w:t>
      </w:r>
      <w:fldSimple w:instr=" SEQ Table \* ARABIC ">
        <w:r w:rsidR="00EC0521">
          <w:rPr>
            <w:noProof/>
          </w:rPr>
          <w:t>7</w:t>
        </w:r>
      </w:fldSimple>
      <w:r>
        <w:t>: Every fusion variant against its base fund, gross and net of 10 bp of one-way turnover.</w:t>
      </w:r>
    </w:p>
    <w:tbl>
      <w:tblPr>
        <w:tblStyle w:val="-11"/>
        <w:tblW w:w="0" w:type="auto"/>
        <w:tblLook w:val="04A0" w:firstRow="1" w:lastRow="0" w:firstColumn="1" w:lastColumn="0" w:noHBand="0" w:noVBand="1"/>
      </w:tblPr>
      <w:tblGrid>
        <w:gridCol w:w="1806"/>
        <w:gridCol w:w="1806"/>
        <w:gridCol w:w="1806"/>
        <w:gridCol w:w="1806"/>
        <w:gridCol w:w="1806"/>
      </w:tblGrid>
      <w:tr w:rsidR="0067237E" w14:paraId="6D83B2D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B622D59" w14:textId="77777777" w:rsidR="0067237E" w:rsidRDefault="00000000">
            <w:r>
              <w:rPr>
                <w:sz w:val="16"/>
              </w:rPr>
              <w:t>fund</w:t>
            </w:r>
          </w:p>
        </w:tc>
        <w:tc>
          <w:tcPr>
            <w:tcW w:w="1806" w:type="dxa"/>
          </w:tcPr>
          <w:p w14:paraId="7072853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746CD5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806" w:type="dxa"/>
          </w:tcPr>
          <w:p w14:paraId="0E47D04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806" w:type="dxa"/>
          </w:tcPr>
          <w:p w14:paraId="740E8EA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69AA9EE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07022CA" w14:textId="77777777" w:rsidR="0067237E" w:rsidRDefault="00000000">
            <w:r>
              <w:rPr>
                <w:sz w:val="16"/>
              </w:rPr>
              <w:t>Equity Minimum-Variance</w:t>
            </w:r>
          </w:p>
        </w:tc>
        <w:tc>
          <w:tcPr>
            <w:tcW w:w="1806" w:type="dxa"/>
          </w:tcPr>
          <w:p w14:paraId="18F38D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52752F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74A4E2A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c>
          <w:tcPr>
            <w:tcW w:w="1806" w:type="dxa"/>
          </w:tcPr>
          <w:p w14:paraId="749741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2FFA214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19FC163" w14:textId="77777777" w:rsidR="0067237E" w:rsidRDefault="00000000">
            <w:r>
              <w:rPr>
                <w:sz w:val="16"/>
              </w:rPr>
              <w:t>Equity Minimum-Variance</w:t>
            </w:r>
          </w:p>
        </w:tc>
        <w:tc>
          <w:tcPr>
            <w:tcW w:w="1806" w:type="dxa"/>
          </w:tcPr>
          <w:p w14:paraId="78CAE44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AA3840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806" w:type="dxa"/>
          </w:tcPr>
          <w:p w14:paraId="0E0CE87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0.437</w:t>
            </w:r>
          </w:p>
        </w:tc>
        <w:tc>
          <w:tcPr>
            <w:tcW w:w="1806" w:type="dxa"/>
          </w:tcPr>
          <w:p w14:paraId="203F1AF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4AAD8E0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9DAF5A3" w14:textId="77777777" w:rsidR="0067237E" w:rsidRDefault="00000000">
            <w:r>
              <w:rPr>
                <w:sz w:val="16"/>
              </w:rPr>
              <w:t>Equity Minimum-Variance</w:t>
            </w:r>
          </w:p>
        </w:tc>
        <w:tc>
          <w:tcPr>
            <w:tcW w:w="1806" w:type="dxa"/>
          </w:tcPr>
          <w:p w14:paraId="500E301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4B573C2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0.510</w:t>
            </w:r>
          </w:p>
        </w:tc>
        <w:tc>
          <w:tcPr>
            <w:tcW w:w="1806" w:type="dxa"/>
          </w:tcPr>
          <w:p w14:paraId="6CAB18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0.490</w:t>
            </w:r>
          </w:p>
        </w:tc>
        <w:tc>
          <w:tcPr>
            <w:tcW w:w="1806" w:type="dxa"/>
          </w:tcPr>
          <w:p w14:paraId="7AE552F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0.218</w:t>
            </w:r>
          </w:p>
        </w:tc>
      </w:tr>
      <w:tr w:rsidR="0067237E" w14:paraId="536B238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F2F4FFA" w14:textId="77777777" w:rsidR="0067237E" w:rsidRDefault="00000000">
            <w:r>
              <w:rPr>
                <w:sz w:val="16"/>
              </w:rPr>
              <w:t>Equity Minimum-Variance</w:t>
            </w:r>
          </w:p>
        </w:tc>
        <w:tc>
          <w:tcPr>
            <w:tcW w:w="1806" w:type="dxa"/>
          </w:tcPr>
          <w:p w14:paraId="551C200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3306AB0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0.501</w:t>
            </w:r>
          </w:p>
        </w:tc>
        <w:tc>
          <w:tcPr>
            <w:tcW w:w="1806" w:type="dxa"/>
          </w:tcPr>
          <w:p w14:paraId="21DCF6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0.482</w:t>
            </w:r>
          </w:p>
        </w:tc>
        <w:tc>
          <w:tcPr>
            <w:tcW w:w="1806" w:type="dxa"/>
          </w:tcPr>
          <w:p w14:paraId="34DB12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0.212</w:t>
            </w:r>
          </w:p>
        </w:tc>
      </w:tr>
      <w:tr w:rsidR="0067237E" w14:paraId="60F7091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03E8201" w14:textId="77777777" w:rsidR="0067237E" w:rsidRDefault="00000000">
            <w:r>
              <w:rPr>
                <w:sz w:val="16"/>
              </w:rPr>
              <w:t>Equity Minimum-Variance</w:t>
            </w:r>
          </w:p>
        </w:tc>
        <w:tc>
          <w:tcPr>
            <w:tcW w:w="1806" w:type="dxa"/>
          </w:tcPr>
          <w:p w14:paraId="090E2E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0012A32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0.387</w:t>
            </w:r>
          </w:p>
        </w:tc>
        <w:tc>
          <w:tcPr>
            <w:tcW w:w="1806" w:type="dxa"/>
          </w:tcPr>
          <w:p w14:paraId="6608DF1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0.367</w:t>
            </w:r>
          </w:p>
        </w:tc>
        <w:tc>
          <w:tcPr>
            <w:tcW w:w="1806" w:type="dxa"/>
          </w:tcPr>
          <w:p w14:paraId="7D632E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0.220</w:t>
            </w:r>
          </w:p>
        </w:tc>
      </w:tr>
      <w:tr w:rsidR="0067237E" w14:paraId="2C44454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025A17D" w14:textId="77777777" w:rsidR="0067237E" w:rsidRDefault="00000000">
            <w:r>
              <w:rPr>
                <w:sz w:val="16"/>
              </w:rPr>
              <w:t>Equity Maximum-Sharpe</w:t>
            </w:r>
          </w:p>
        </w:tc>
        <w:tc>
          <w:tcPr>
            <w:tcW w:w="1806" w:type="dxa"/>
          </w:tcPr>
          <w:p w14:paraId="3EB0E6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base (no sentiment)</w:t>
            </w:r>
          </w:p>
        </w:tc>
        <w:tc>
          <w:tcPr>
            <w:tcW w:w="1806" w:type="dxa"/>
          </w:tcPr>
          <w:p w14:paraId="23959D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3DD3B0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0.552</w:t>
            </w:r>
          </w:p>
        </w:tc>
        <w:tc>
          <w:tcPr>
            <w:tcW w:w="1806" w:type="dxa"/>
          </w:tcPr>
          <w:p w14:paraId="7D3318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5A2091B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223AE5B" w14:textId="77777777" w:rsidR="0067237E" w:rsidRDefault="00000000">
            <w:r>
              <w:rPr>
                <w:sz w:val="16"/>
              </w:rPr>
              <w:t>Equity Maximum-Sharpe</w:t>
            </w:r>
          </w:p>
        </w:tc>
        <w:tc>
          <w:tcPr>
            <w:tcW w:w="1806" w:type="dxa"/>
          </w:tcPr>
          <w:p w14:paraId="3DE4BDE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plain lexicon</w:t>
            </w:r>
          </w:p>
        </w:tc>
        <w:tc>
          <w:tcPr>
            <w:tcW w:w="1806" w:type="dxa"/>
          </w:tcPr>
          <w:p w14:paraId="0B56803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806" w:type="dxa"/>
          </w:tcPr>
          <w:p w14:paraId="10819F6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0.487</w:t>
            </w:r>
          </w:p>
        </w:tc>
        <w:tc>
          <w:tcPr>
            <w:tcW w:w="1806" w:type="dxa"/>
          </w:tcPr>
          <w:p w14:paraId="57CC77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689382F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E82E72F" w14:textId="77777777" w:rsidR="0067237E" w:rsidRDefault="00000000">
            <w:r>
              <w:rPr>
                <w:sz w:val="16"/>
              </w:rPr>
              <w:t>Equity Maximum-Sharpe</w:t>
            </w:r>
          </w:p>
        </w:tc>
        <w:tc>
          <w:tcPr>
            <w:tcW w:w="1806" w:type="dxa"/>
          </w:tcPr>
          <w:p w14:paraId="6EEBB7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63E81F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0.658</w:t>
            </w:r>
          </w:p>
        </w:tc>
        <w:tc>
          <w:tcPr>
            <w:tcW w:w="1806" w:type="dxa"/>
          </w:tcPr>
          <w:p w14:paraId="5B1F4B6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0.636</w:t>
            </w:r>
          </w:p>
        </w:tc>
        <w:tc>
          <w:tcPr>
            <w:tcW w:w="1806" w:type="dxa"/>
          </w:tcPr>
          <w:p w14:paraId="5A9D88B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0.354</w:t>
            </w:r>
          </w:p>
        </w:tc>
      </w:tr>
      <w:tr w:rsidR="0067237E" w14:paraId="73B934C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E14226E" w14:textId="77777777" w:rsidR="0067237E" w:rsidRDefault="00000000">
            <w:r>
              <w:rPr>
                <w:sz w:val="16"/>
              </w:rPr>
              <w:t>Equity Maximum-Sharpe</w:t>
            </w:r>
          </w:p>
        </w:tc>
        <w:tc>
          <w:tcPr>
            <w:tcW w:w="1806" w:type="dxa"/>
          </w:tcPr>
          <w:p w14:paraId="6579DAF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extended lexicon</w:t>
            </w:r>
          </w:p>
        </w:tc>
        <w:tc>
          <w:tcPr>
            <w:tcW w:w="1806" w:type="dxa"/>
          </w:tcPr>
          <w:p w14:paraId="0ED1D2B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0.558</w:t>
            </w:r>
          </w:p>
        </w:tc>
        <w:tc>
          <w:tcPr>
            <w:tcW w:w="1806" w:type="dxa"/>
          </w:tcPr>
          <w:p w14:paraId="228E0E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0.535</w:t>
            </w:r>
          </w:p>
        </w:tc>
        <w:tc>
          <w:tcPr>
            <w:tcW w:w="1806" w:type="dxa"/>
          </w:tcPr>
          <w:p w14:paraId="3ED7B14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0.366</w:t>
            </w:r>
          </w:p>
        </w:tc>
      </w:tr>
      <w:tr w:rsidR="0067237E" w14:paraId="4828E44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32BA345" w14:textId="77777777" w:rsidR="0067237E" w:rsidRDefault="00000000">
            <w:r>
              <w:rPr>
                <w:sz w:val="16"/>
              </w:rPr>
              <w:t>Equity Maximum-Sharpe</w:t>
            </w:r>
          </w:p>
        </w:tc>
        <w:tc>
          <w:tcPr>
            <w:tcW w:w="1806" w:type="dxa"/>
          </w:tcPr>
          <w:p w14:paraId="5C235F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extended lexicon</w:t>
            </w:r>
          </w:p>
        </w:tc>
        <w:tc>
          <w:tcPr>
            <w:tcW w:w="1806" w:type="dxa"/>
          </w:tcPr>
          <w:p w14:paraId="54088FF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0.540</w:t>
            </w:r>
          </w:p>
        </w:tc>
        <w:tc>
          <w:tcPr>
            <w:tcW w:w="1806" w:type="dxa"/>
          </w:tcPr>
          <w:p w14:paraId="67876EB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806" w:type="dxa"/>
          </w:tcPr>
          <w:p w14:paraId="51AF2B9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0.363</w:t>
            </w:r>
          </w:p>
        </w:tc>
      </w:tr>
    </w:tbl>
    <w:p w14:paraId="63CB35A3" w14:textId="77777777" w:rsidR="0067237E" w:rsidRDefault="00000000">
      <w:pPr>
        <w:jc w:val="center"/>
      </w:pPr>
      <w:r>
        <w:rPr>
          <w:noProof/>
        </w:rPr>
        <w:lastRenderedPageBreak/>
        <w:drawing>
          <wp:inline distT="0" distB="0" distL="0" distR="0" wp14:anchorId="1F40680C" wp14:editId="04E448BD">
            <wp:extent cx="5577840" cy="2996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2996083"/>
                    </a:xfrm>
                    <a:prstGeom prst="rect">
                      <a:avLst/>
                    </a:prstGeom>
                  </pic:spPr>
                </pic:pic>
              </a:graphicData>
            </a:graphic>
          </wp:inline>
        </w:drawing>
      </w:r>
    </w:p>
    <w:p w14:paraId="05D59BFD" w14:textId="5E557256" w:rsidR="0067237E" w:rsidRDefault="00000000">
      <w:pPr>
        <w:pStyle w:val="af7"/>
      </w:pPr>
      <w:r>
        <w:t xml:space="preserve">Figure </w:t>
      </w:r>
      <w:fldSimple w:instr=" SEQ Figure \* ARABIC ">
        <w:r w:rsidR="00EC0521">
          <w:rPr>
            <w:noProof/>
          </w:rPr>
          <w:t>11</w:t>
        </w:r>
      </w:fldSimple>
      <w:r>
        <w:t>: Sharpe ratio of each fusion variant against the base fund, gross and net of transaction costs.</w:t>
      </w:r>
    </w:p>
    <w:p w14:paraId="6ECDF05B" w14:textId="77777777" w:rsidR="0067237E" w:rsidRDefault="00000000">
      <w:r>
        <w:t>A higher point estimate is not the same as an improvement. The difference in Sharpe ratios between each tilt and its base fund was resampled with a stationary bootstrap (Politis and Romano 1994) of 5,000 draws and a mean block length of 21 trading days, which keeps the two series paired and preserves their autocorrelation. Ledoit and Wolf (2008) show that a paired bootstrap of this form is the appropriate test for a difference in Sharpe ratios when returns are autocorrelated and non-normal, as daily fund returns are.</w:t>
      </w:r>
    </w:p>
    <w:p w14:paraId="6D8ABCC8" w14:textId="061F484E" w:rsidR="0067237E" w:rsidRDefault="00000000">
      <w:pPr>
        <w:pStyle w:val="af7"/>
      </w:pPr>
      <w:r>
        <w:t xml:space="preserve">Table </w:t>
      </w:r>
      <w:fldSimple w:instr=" SEQ Table \* ARABIC ">
        <w:r w:rsidR="00EC0521">
          <w:rPr>
            <w:noProof/>
          </w:rPr>
          <w:t>8</w:t>
        </w:r>
      </w:fldSimple>
      <w:r>
        <w:t>: Bootstrap confidence intervals for the change in Sharpe ratio relative to the base fund.</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05928E33"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E7929E2" w14:textId="77777777" w:rsidR="0067237E" w:rsidRDefault="00000000">
            <w:r>
              <w:rPr>
                <w:sz w:val="16"/>
              </w:rPr>
              <w:t>fund</w:t>
            </w:r>
          </w:p>
        </w:tc>
        <w:tc>
          <w:tcPr>
            <w:tcW w:w="1290" w:type="dxa"/>
          </w:tcPr>
          <w:p w14:paraId="0948AC3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440400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c>
          <w:tcPr>
            <w:tcW w:w="1290" w:type="dxa"/>
          </w:tcPr>
          <w:p w14:paraId="68A3F4A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low</w:t>
            </w:r>
          </w:p>
        </w:tc>
        <w:tc>
          <w:tcPr>
            <w:tcW w:w="1290" w:type="dxa"/>
          </w:tcPr>
          <w:p w14:paraId="74EDE78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high</w:t>
            </w:r>
          </w:p>
        </w:tc>
        <w:tc>
          <w:tcPr>
            <w:tcW w:w="1290" w:type="dxa"/>
          </w:tcPr>
          <w:p w14:paraId="65D955E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5DC2646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r>
      <w:tr w:rsidR="0067237E" w14:paraId="3394A4E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265F8A4" w14:textId="77777777" w:rsidR="0067237E" w:rsidRDefault="00000000">
            <w:r>
              <w:rPr>
                <w:sz w:val="16"/>
              </w:rPr>
              <w:t>Equity Minimum-Variance</w:t>
            </w:r>
          </w:p>
        </w:tc>
        <w:tc>
          <w:tcPr>
            <w:tcW w:w="1290" w:type="dxa"/>
          </w:tcPr>
          <w:p w14:paraId="7D009BA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1B60E52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6F43267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-0.133</w:t>
            </w:r>
          </w:p>
        </w:tc>
        <w:tc>
          <w:tcPr>
            <w:tcW w:w="1290" w:type="dxa"/>
          </w:tcPr>
          <w:p w14:paraId="7E285AC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0.204</w:t>
            </w:r>
          </w:p>
        </w:tc>
        <w:tc>
          <w:tcPr>
            <w:tcW w:w="1290" w:type="dxa"/>
          </w:tcPr>
          <w:p w14:paraId="6D2F8E8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0.749</w:t>
            </w:r>
          </w:p>
        </w:tc>
        <w:tc>
          <w:tcPr>
            <w:tcW w:w="1290" w:type="dxa"/>
          </w:tcPr>
          <w:p w14:paraId="547BFC8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566790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8864F03" w14:textId="77777777" w:rsidR="0067237E" w:rsidRDefault="00000000">
            <w:r>
              <w:rPr>
                <w:sz w:val="16"/>
              </w:rPr>
              <w:t>Equity Minimum-Variance</w:t>
            </w:r>
          </w:p>
        </w:tc>
        <w:tc>
          <w:tcPr>
            <w:tcW w:w="1290" w:type="dxa"/>
          </w:tcPr>
          <w:p w14:paraId="039208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146D0F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36FCD7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-0.183</w:t>
            </w:r>
          </w:p>
        </w:tc>
        <w:tc>
          <w:tcPr>
            <w:tcW w:w="1290" w:type="dxa"/>
          </w:tcPr>
          <w:p w14:paraId="1CE8C39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0.138</w:t>
            </w:r>
          </w:p>
        </w:tc>
        <w:tc>
          <w:tcPr>
            <w:tcW w:w="1290" w:type="dxa"/>
          </w:tcPr>
          <w:p w14:paraId="28A3F6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0.800</w:t>
            </w:r>
          </w:p>
        </w:tc>
        <w:tc>
          <w:tcPr>
            <w:tcW w:w="1290" w:type="dxa"/>
          </w:tcPr>
          <w:p w14:paraId="352C09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38F6DA5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73DACB3" w14:textId="77777777" w:rsidR="0067237E" w:rsidRDefault="00000000">
            <w:r>
              <w:rPr>
                <w:sz w:val="16"/>
              </w:rPr>
              <w:t>Equity Maximum-Sharpe</w:t>
            </w:r>
          </w:p>
        </w:tc>
        <w:tc>
          <w:tcPr>
            <w:tcW w:w="1290" w:type="dxa"/>
          </w:tcPr>
          <w:p w14:paraId="141740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5B1F750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0.085</w:t>
            </w:r>
          </w:p>
        </w:tc>
        <w:tc>
          <w:tcPr>
            <w:tcW w:w="1290" w:type="dxa"/>
          </w:tcPr>
          <w:p w14:paraId="60D8C60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773322B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0.254</w:t>
            </w:r>
          </w:p>
        </w:tc>
        <w:tc>
          <w:tcPr>
            <w:tcW w:w="1290" w:type="dxa"/>
          </w:tcPr>
          <w:p w14:paraId="7FC7843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0.311</w:t>
            </w:r>
          </w:p>
        </w:tc>
        <w:tc>
          <w:tcPr>
            <w:tcW w:w="1290" w:type="dxa"/>
          </w:tcPr>
          <w:p w14:paraId="24284BF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461862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122D108" w14:textId="77777777" w:rsidR="0067237E" w:rsidRDefault="00000000">
            <w:r>
              <w:rPr>
                <w:sz w:val="16"/>
              </w:rPr>
              <w:t>Equity Maximum-Sharpe</w:t>
            </w:r>
          </w:p>
        </w:tc>
        <w:tc>
          <w:tcPr>
            <w:tcW w:w="1290" w:type="dxa"/>
          </w:tcPr>
          <w:p w14:paraId="5FBA1E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0223E7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366C8D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-0.208</w:t>
            </w:r>
          </w:p>
        </w:tc>
        <w:tc>
          <w:tcPr>
            <w:tcW w:w="1290" w:type="dxa"/>
          </w:tcPr>
          <w:p w14:paraId="7D8000C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0.087</w:t>
            </w:r>
          </w:p>
        </w:tc>
        <w:tc>
          <w:tcPr>
            <w:tcW w:w="1290" w:type="dxa"/>
          </w:tcPr>
          <w:p w14:paraId="32AA51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0.408</w:t>
            </w:r>
          </w:p>
        </w:tc>
        <w:tc>
          <w:tcPr>
            <w:tcW w:w="1290" w:type="dxa"/>
          </w:tcPr>
          <w:p w14:paraId="4AF8C3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6C653BFE" w14:textId="77777777" w:rsidR="0067237E" w:rsidRDefault="00000000">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14:paraId="02BB82B4" w14:textId="77777777" w:rsidR="0067237E" w:rsidRDefault="00000000">
      <w:r>
        <w:t>What can be said is narrower: making the direction an estimate rather than an assumption removes the damage the fixed tilt does, without look-ahead. Establishing that it adds value would need a longer sample or a second market.</w:t>
      </w:r>
    </w:p>
    <w:p w14:paraId="6E91D76E" w14:textId="77777777" w:rsidR="0067237E" w:rsidRDefault="00000000">
      <w:r>
        <w:t xml:space="preserve">The two extensions do not stack. The finance lexicon helps the fixed tilt and hurts the adaptive one. The diagnostics explain why: the extended lexicon weakens the very correlation the adaptive tilt trades against, moving the mean from -0.0205 to -0.0156 and the count of negative </w:t>
      </w:r>
      <w:r>
        <w:lastRenderedPageBreak/>
        <w:t>sectors from eight to seven. Part of what the adaptive tilt was exploiting was VADER's blind spots rather than a property of the news, which is a reason to treat its advantage cautiously even before the confidence intervals are considered.</w:t>
      </w:r>
    </w:p>
    <w:p w14:paraId="6C027EF6" w14:textId="77777777" w:rsidR="0067237E" w:rsidRDefault="00000000">
      <w:pPr>
        <w:pStyle w:val="21"/>
      </w:pPr>
      <w:bookmarkStart w:id="11" w:name="_Toc237449977"/>
      <w:r>
        <w:t>5.3 Was the winner found or fitted?</w:t>
      </w:r>
      <w:bookmarkEnd w:id="11"/>
    </w:p>
    <w:p w14:paraId="36CD98A1" w14:textId="77777777" w:rsidR="0067237E" w:rsidRDefault="00000000">
      <w:r>
        <w:t>Comparing five variants over one period and keeping the best is itself a choice fitted to that period, and the resulting performance is biased upward by the search rather than by any property of the winner (White 2000). The variants were therefore re-ranked on a 2021-2022 discovery window alone, and the selected variant's 2023 performance reported, 2023 having played no part in the choice.</w:t>
      </w:r>
    </w:p>
    <w:p w14:paraId="08653CAC" w14:textId="77777777" w:rsidR="0067237E" w:rsidRDefault="00000000">
      <w:pPr>
        <w:jc w:val="center"/>
      </w:pPr>
      <w:r>
        <w:rPr>
          <w:noProof/>
        </w:rPr>
        <w:drawing>
          <wp:inline distT="0" distB="0" distL="0" distR="0" wp14:anchorId="44C72CDD" wp14:editId="2810E896">
            <wp:extent cx="5577840" cy="22428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242831"/>
                    </a:xfrm>
                    <a:prstGeom prst="rect">
                      <a:avLst/>
                    </a:prstGeom>
                  </pic:spPr>
                </pic:pic>
              </a:graphicData>
            </a:graphic>
          </wp:inline>
        </w:drawing>
      </w:r>
    </w:p>
    <w:p w14:paraId="2ED54058" w14:textId="42D4A1E8" w:rsidR="0067237E" w:rsidRDefault="00000000">
      <w:pPr>
        <w:pStyle w:val="af7"/>
      </w:pPr>
      <w:r>
        <w:t xml:space="preserve">Figure </w:t>
      </w:r>
      <w:fldSimple w:instr=" SEQ Figure \* ARABIC ">
        <w:r w:rsidR="00EC0521">
          <w:rPr>
            <w:noProof/>
          </w:rPr>
          <w:t>12</w:t>
        </w:r>
      </w:fldSimple>
      <w:r>
        <w:t>: Sharpe ratio in the 2021-2022 tuning window against the untouched 2023 holdout, for each fusion variant.</w:t>
      </w:r>
    </w:p>
    <w:p w14:paraId="461229BD" w14:textId="75D448FE" w:rsidR="0067237E" w:rsidRDefault="00000000">
      <w:pPr>
        <w:pStyle w:val="af7"/>
      </w:pPr>
      <w:r>
        <w:t xml:space="preserve">Table </w:t>
      </w:r>
      <w:fldSimple w:instr=" SEQ Table \* ARABIC ">
        <w:r w:rsidR="00EC0521">
          <w:rPr>
            <w:noProof/>
          </w:rPr>
          <w:t>9</w:t>
        </w:r>
      </w:fldSimple>
      <w:r>
        <w:t>: Discovery-window ranking and holdout outcome for each variant.</w:t>
      </w:r>
    </w:p>
    <w:tbl>
      <w:tblPr>
        <w:tblStyle w:val="-11"/>
        <w:tblW w:w="0" w:type="auto"/>
        <w:tblLook w:val="04A0" w:firstRow="1" w:lastRow="0" w:firstColumn="1" w:lastColumn="0" w:noHBand="0" w:noVBand="1"/>
      </w:tblPr>
      <w:tblGrid>
        <w:gridCol w:w="1806"/>
        <w:gridCol w:w="1806"/>
        <w:gridCol w:w="1806"/>
        <w:gridCol w:w="1806"/>
        <w:gridCol w:w="1806"/>
      </w:tblGrid>
      <w:tr w:rsidR="0067237E" w14:paraId="656E2B5A"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1D81339" w14:textId="77777777" w:rsidR="0067237E" w:rsidRDefault="00000000">
            <w:r>
              <w:rPr>
                <w:sz w:val="16"/>
              </w:rPr>
              <w:t>fund</w:t>
            </w:r>
          </w:p>
        </w:tc>
        <w:tc>
          <w:tcPr>
            <w:tcW w:w="1806" w:type="dxa"/>
          </w:tcPr>
          <w:p w14:paraId="19664A3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04394DD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discovery sharpe</w:t>
            </w:r>
          </w:p>
        </w:tc>
        <w:tc>
          <w:tcPr>
            <w:tcW w:w="1806" w:type="dxa"/>
          </w:tcPr>
          <w:p w14:paraId="256CC7C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holdout sharpe</w:t>
            </w:r>
          </w:p>
        </w:tc>
        <w:tc>
          <w:tcPr>
            <w:tcW w:w="1806" w:type="dxa"/>
          </w:tcPr>
          <w:p w14:paraId="593871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selected by tuning</w:t>
            </w:r>
          </w:p>
        </w:tc>
      </w:tr>
      <w:tr w:rsidR="0067237E" w14:paraId="0ED4C90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E82014C" w14:textId="77777777" w:rsidR="0067237E" w:rsidRDefault="00000000">
            <w:r>
              <w:rPr>
                <w:sz w:val="16"/>
              </w:rPr>
              <w:t>Equity Minimum-Variance</w:t>
            </w:r>
          </w:p>
        </w:tc>
        <w:tc>
          <w:tcPr>
            <w:tcW w:w="1806" w:type="dxa"/>
          </w:tcPr>
          <w:p w14:paraId="6C78A62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6B8A6B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0.677</w:t>
            </w:r>
          </w:p>
        </w:tc>
        <w:tc>
          <w:tcPr>
            <w:tcW w:w="1806" w:type="dxa"/>
          </w:tcPr>
          <w:p w14:paraId="38423F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0.100</w:t>
            </w:r>
          </w:p>
        </w:tc>
        <w:tc>
          <w:tcPr>
            <w:tcW w:w="1806" w:type="dxa"/>
          </w:tcPr>
          <w:p w14:paraId="607BF78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True</w:t>
            </w:r>
          </w:p>
        </w:tc>
      </w:tr>
      <w:tr w:rsidR="0067237E" w14:paraId="6C57B6E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43094C5" w14:textId="77777777" w:rsidR="0067237E" w:rsidRDefault="00000000">
            <w:r>
              <w:rPr>
                <w:sz w:val="16"/>
              </w:rPr>
              <w:t>Equity Minimum-Variance</w:t>
            </w:r>
          </w:p>
        </w:tc>
        <w:tc>
          <w:tcPr>
            <w:tcW w:w="1806" w:type="dxa"/>
          </w:tcPr>
          <w:p w14:paraId="26C7F5C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602C8D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0.664</w:t>
            </w:r>
          </w:p>
        </w:tc>
        <w:tc>
          <w:tcPr>
            <w:tcW w:w="1806" w:type="dxa"/>
          </w:tcPr>
          <w:p w14:paraId="28323A1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806" w:type="dxa"/>
          </w:tcPr>
          <w:p w14:paraId="29EC61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64DBF35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C0FF243" w14:textId="77777777" w:rsidR="0067237E" w:rsidRDefault="00000000">
            <w:r>
              <w:rPr>
                <w:sz w:val="16"/>
              </w:rPr>
              <w:t>Equity Minimum-Variance</w:t>
            </w:r>
          </w:p>
        </w:tc>
        <w:tc>
          <w:tcPr>
            <w:tcW w:w="1806" w:type="dxa"/>
          </w:tcPr>
          <w:p w14:paraId="0ACDDF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1700AE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0.648</w:t>
            </w:r>
          </w:p>
        </w:tc>
        <w:tc>
          <w:tcPr>
            <w:tcW w:w="1806" w:type="dxa"/>
          </w:tcPr>
          <w:p w14:paraId="103B67B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806" w:type="dxa"/>
          </w:tcPr>
          <w:p w14:paraId="5206AB0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F1049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5129170" w14:textId="77777777" w:rsidR="0067237E" w:rsidRDefault="00000000">
            <w:r>
              <w:rPr>
                <w:sz w:val="16"/>
              </w:rPr>
              <w:t>Equity Minimum-Variance</w:t>
            </w:r>
          </w:p>
        </w:tc>
        <w:tc>
          <w:tcPr>
            <w:tcW w:w="1806" w:type="dxa"/>
          </w:tcPr>
          <w:p w14:paraId="146271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F9C65A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0.622</w:t>
            </w:r>
          </w:p>
        </w:tc>
        <w:tc>
          <w:tcPr>
            <w:tcW w:w="1806" w:type="dxa"/>
          </w:tcPr>
          <w:p w14:paraId="4DF461C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0.042</w:t>
            </w:r>
          </w:p>
        </w:tc>
        <w:tc>
          <w:tcPr>
            <w:tcW w:w="1806" w:type="dxa"/>
          </w:tcPr>
          <w:p w14:paraId="3357EC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04AA2A0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EE411FA" w14:textId="77777777" w:rsidR="0067237E" w:rsidRDefault="00000000">
            <w:r>
              <w:rPr>
                <w:sz w:val="16"/>
              </w:rPr>
              <w:t>Equity Minimum-Variance</w:t>
            </w:r>
          </w:p>
        </w:tc>
        <w:tc>
          <w:tcPr>
            <w:tcW w:w="1806" w:type="dxa"/>
          </w:tcPr>
          <w:p w14:paraId="4E9281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6589A6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0.595</w:t>
            </w:r>
          </w:p>
        </w:tc>
        <w:tc>
          <w:tcPr>
            <w:tcW w:w="1806" w:type="dxa"/>
          </w:tcPr>
          <w:p w14:paraId="6CD6BB8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806" w:type="dxa"/>
          </w:tcPr>
          <w:p w14:paraId="04E5F30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6751FA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F1BA631" w14:textId="77777777" w:rsidR="0067237E" w:rsidRDefault="00000000">
            <w:r>
              <w:rPr>
                <w:sz w:val="16"/>
              </w:rPr>
              <w:t>Equity Maximum-Sharpe</w:t>
            </w:r>
          </w:p>
        </w:tc>
        <w:tc>
          <w:tcPr>
            <w:tcW w:w="1806" w:type="dxa"/>
          </w:tcPr>
          <w:p w14:paraId="32C350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09E61A3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0.585</w:t>
            </w:r>
          </w:p>
        </w:tc>
        <w:tc>
          <w:tcPr>
            <w:tcW w:w="1806" w:type="dxa"/>
          </w:tcPr>
          <w:p w14:paraId="5B8999F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0.835</w:t>
            </w:r>
          </w:p>
        </w:tc>
        <w:tc>
          <w:tcPr>
            <w:tcW w:w="1806" w:type="dxa"/>
          </w:tcPr>
          <w:p w14:paraId="48E439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r>
      <w:tr w:rsidR="0067237E" w14:paraId="3130E33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64BDD27" w14:textId="77777777" w:rsidR="0067237E" w:rsidRDefault="00000000">
            <w:r>
              <w:rPr>
                <w:sz w:val="16"/>
              </w:rPr>
              <w:t>Equity Maximum-Sharpe</w:t>
            </w:r>
          </w:p>
        </w:tc>
        <w:tc>
          <w:tcPr>
            <w:tcW w:w="1806" w:type="dxa"/>
          </w:tcPr>
          <w:p w14:paraId="276FDD5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098B00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0.494</w:t>
            </w:r>
          </w:p>
        </w:tc>
        <w:tc>
          <w:tcPr>
            <w:tcW w:w="1806" w:type="dxa"/>
          </w:tcPr>
          <w:p w14:paraId="34A34EB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806" w:type="dxa"/>
          </w:tcPr>
          <w:p w14:paraId="7810A2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0FCB921"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B894EFB" w14:textId="77777777" w:rsidR="0067237E" w:rsidRDefault="00000000">
            <w:r>
              <w:rPr>
                <w:sz w:val="16"/>
              </w:rPr>
              <w:t>Equity Maximum-Sharpe</w:t>
            </w:r>
          </w:p>
        </w:tc>
        <w:tc>
          <w:tcPr>
            <w:tcW w:w="1806" w:type="dxa"/>
          </w:tcPr>
          <w:p w14:paraId="1DA7CE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99C4EE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0.488</w:t>
            </w:r>
          </w:p>
        </w:tc>
        <w:tc>
          <w:tcPr>
            <w:tcW w:w="1806" w:type="dxa"/>
          </w:tcPr>
          <w:p w14:paraId="0C8C28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0.731</w:t>
            </w:r>
          </w:p>
        </w:tc>
        <w:tc>
          <w:tcPr>
            <w:tcW w:w="1806" w:type="dxa"/>
          </w:tcPr>
          <w:p w14:paraId="780B9FC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264902A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A571728" w14:textId="77777777" w:rsidR="0067237E" w:rsidRDefault="00000000">
            <w:r>
              <w:rPr>
                <w:sz w:val="16"/>
              </w:rPr>
              <w:t>Equity Maximum-Sharpe</w:t>
            </w:r>
          </w:p>
        </w:tc>
        <w:tc>
          <w:tcPr>
            <w:tcW w:w="1806" w:type="dxa"/>
          </w:tcPr>
          <w:p w14:paraId="6A2030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6FE6DA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0.474</w:t>
            </w:r>
          </w:p>
        </w:tc>
        <w:tc>
          <w:tcPr>
            <w:tcW w:w="1806" w:type="dxa"/>
          </w:tcPr>
          <w:p w14:paraId="065DA60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0.701</w:t>
            </w:r>
          </w:p>
        </w:tc>
        <w:tc>
          <w:tcPr>
            <w:tcW w:w="1806" w:type="dxa"/>
          </w:tcPr>
          <w:p w14:paraId="51B84C0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AA69C8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9F6B7C6" w14:textId="77777777" w:rsidR="0067237E" w:rsidRDefault="00000000">
            <w:r>
              <w:rPr>
                <w:sz w:val="16"/>
              </w:rPr>
              <w:t>Equity Maximum-Sharpe</w:t>
            </w:r>
          </w:p>
        </w:tc>
        <w:tc>
          <w:tcPr>
            <w:tcW w:w="1806" w:type="dxa"/>
          </w:tcPr>
          <w:p w14:paraId="68F5063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AFD2DC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0.435</w:t>
            </w:r>
          </w:p>
        </w:tc>
        <w:tc>
          <w:tcPr>
            <w:tcW w:w="1806" w:type="dxa"/>
          </w:tcPr>
          <w:p w14:paraId="7DD2CA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0.694</w:t>
            </w:r>
          </w:p>
        </w:tc>
        <w:tc>
          <w:tcPr>
            <w:tcW w:w="1806" w:type="dxa"/>
          </w:tcPr>
          <w:p w14:paraId="1AB2064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24D04B6D" w14:textId="77777777" w:rsidR="0067237E" w:rsidRDefault="00000000">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14:paraId="65EA60A6" w14:textId="77777777" w:rsidR="0067237E" w:rsidRDefault="00000000">
      <w:r>
        <w:lastRenderedPageBreak/>
        <w:t>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funds is evidence rather than proof. Bailey and Lopez de Prado (2014) show that the expected maximum Sharpe ratio across a set of trialled strategies rises with the number trialled even when none of them has any skill, which is why the number of variants searched is reported here alongside the one that won.</w:t>
      </w:r>
    </w:p>
    <w:p w14:paraId="6B8AA827" w14:textId="77777777" w:rsidR="00FA1BFF" w:rsidRDefault="00000000">
      <w:r>
        <w:t>The sample-noise diagnosis in Section 2 is tested in Appendix E.</w:t>
      </w:r>
    </w:p>
    <w:p w14:paraId="4161D6EE" w14:textId="77777777" w:rsidR="00FA1BFF" w:rsidRDefault="00000000">
      <w:pPr>
        <w:pStyle w:val="21"/>
      </w:pPr>
      <w:bookmarkStart w:id="12" w:name="_Toc237449978"/>
      <w:r>
        <w:t>5.4 Fear and greed as a timing overlay</w:t>
      </w:r>
      <w:bookmarkEnd w:id="12"/>
    </w:p>
    <w:p w14:paraId="617F3E8D" w14:textId="77777777" w:rsidR="00FA1BFF" w:rsidRDefault="00000000">
      <w:r>
        <w:t>The sector tests ask which sector to overweight and say nothing about when to be in the market. The market-wide gauge answers that, and cannot be held, so it scales exposure instead: the fund moves toward cash as the gauge turns greedy, resets monthly, and never borrows.</w:t>
      </w:r>
    </w:p>
    <w:p w14:paraId="698F9C1C" w14:textId="77777777" w:rsidR="00FA1BFF" w:rsidRDefault="00000000">
      <w:r>
        <w:t>It must be re-standardised first. Section 3 uses full-sample moments, which describe history correctly and are look-ahead if traded: a z-score in 2020 is measured against 2023. Standardising on past observations only halves the raw signal - the spread between the most fearful and greediest deciles falls from 26.9 to 14.3 basis points a day. Look-ahead entered through a preprocessing step, not the backtest.</w:t>
      </w:r>
    </w:p>
    <w:p w14:paraId="4564C5CC" w14:textId="77777777" w:rsidR="00FA1BFF" w:rsidRDefault="00000000">
      <w:r>
        <w:t>On the causal signal the overlay improves all four combined funds net of costs and cuts every drawdown. Risk Parity rises from 0.888 to 1.113 while its worst fall shrinks from 19.5% to 15.0%, holding 88% on average.</w:t>
      </w:r>
    </w:p>
    <w:p w14:paraId="460504F7" w14:textId="77777777" w:rsidR="00FA1BFF" w:rsidRDefault="00000000">
      <w:r>
        <w:t>Shuffling the same exposures through time - same average and turnover, only the timing destroyed - gives a mean Sharpe of 0.600 over 1000 permutations, maximum 0.935; the real ordering reaches 1.113 and beats every one. The bootstrap difference is +0.225 [+0.011, +0.453], p = 0.038, and selecting on 2021-2022 gives 1.275 on 2023 against 1.206. It is the only result here clearing conventional significance.</w:t>
      </w:r>
    </w:p>
    <w:p w14:paraId="499C5A1C" w14:textId="77777777" w:rsidR="00FA1BFF" w:rsidRDefault="00000000">
      <w:r>
        <w:t>About ten specifications were searched first, so the p-value fails a Bonferroni correction; the overlay makes 36 decisions; and the sample holds one large drawdown year, which flatters any de-risking rule. The claim is narrow: cross-sectional sentiment carries nothing tradable; the market-wide gauge carries something.</w:t>
      </w:r>
    </w:p>
    <w:p w14:paraId="0E39D0F9" w14:textId="1428307D" w:rsidR="00FA1BFF" w:rsidRDefault="00000000">
      <w:pPr>
        <w:pStyle w:val="af7"/>
      </w:pPr>
      <w:r>
        <w:t xml:space="preserve">Table </w:t>
      </w:r>
      <w:fldSimple w:instr=" SEQ Table \* ARABIC ">
        <w:r w:rsidR="00EC0521">
          <w:rPr>
            <w:noProof/>
          </w:rPr>
          <w:t>10</w:t>
        </w:r>
      </w:fldSimple>
      <w:r>
        <w:t>: The fear and greed exposure overlay on each combined fund, net of 10 bp of turnover cost. Out-of-sample, 2021-2023.</w:t>
      </w:r>
    </w:p>
    <w:tbl>
      <w:tblPr>
        <w:tblStyle w:val="-11"/>
        <w:tblW w:w="0" w:type="auto"/>
        <w:tblLook w:val="04A0" w:firstRow="1" w:lastRow="0" w:firstColumn="1" w:lastColumn="0" w:noHBand="0" w:noVBand="1"/>
      </w:tblPr>
      <w:tblGrid>
        <w:gridCol w:w="1806"/>
        <w:gridCol w:w="1806"/>
        <w:gridCol w:w="1806"/>
        <w:gridCol w:w="1806"/>
        <w:gridCol w:w="1806"/>
      </w:tblGrid>
      <w:tr w:rsidR="00FA1BFF" w14:paraId="27305782" w14:textId="77777777" w:rsidTr="00FA1B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B128A0A" w14:textId="77777777" w:rsidR="00FA1BFF" w:rsidRDefault="00000000">
            <w:r>
              <w:rPr>
                <w:sz w:val="16"/>
              </w:rPr>
              <w:t>Fund</w:t>
            </w:r>
          </w:p>
        </w:tc>
        <w:tc>
          <w:tcPr>
            <w:tcW w:w="1806" w:type="dxa"/>
          </w:tcPr>
          <w:p w14:paraId="71469A90" w14:textId="77777777" w:rsidR="00FA1BFF" w:rsidRDefault="00000000">
            <w:pPr>
              <w:cnfStyle w:val="100000000000" w:firstRow="1" w:lastRow="0" w:firstColumn="0" w:lastColumn="0" w:oddVBand="0" w:evenVBand="0" w:oddHBand="0" w:evenHBand="0" w:firstRowFirstColumn="0" w:firstRowLastColumn="0" w:lastRowFirstColumn="0" w:lastRowLastColumn="0"/>
            </w:pPr>
            <w:r>
              <w:rPr>
                <w:sz w:val="16"/>
              </w:rPr>
              <w:t>Sharpe base</w:t>
            </w:r>
          </w:p>
        </w:tc>
        <w:tc>
          <w:tcPr>
            <w:tcW w:w="1806" w:type="dxa"/>
          </w:tcPr>
          <w:p w14:paraId="3CA48CF6" w14:textId="77777777" w:rsidR="00FA1BFF" w:rsidRDefault="00000000">
            <w:pPr>
              <w:cnfStyle w:val="100000000000" w:firstRow="1" w:lastRow="0" w:firstColumn="0" w:lastColumn="0" w:oddVBand="0" w:evenVBand="0" w:oddHBand="0" w:evenHBand="0" w:firstRowFirstColumn="0" w:firstRowLastColumn="0" w:lastRowFirstColumn="0" w:lastRowLastColumn="0"/>
            </w:pPr>
            <w:r>
              <w:rPr>
                <w:sz w:val="16"/>
              </w:rPr>
              <w:t>Sharpe timed (net)</w:t>
            </w:r>
          </w:p>
        </w:tc>
        <w:tc>
          <w:tcPr>
            <w:tcW w:w="1806" w:type="dxa"/>
          </w:tcPr>
          <w:p w14:paraId="0FC07C95" w14:textId="77777777" w:rsidR="00FA1BFF" w:rsidRDefault="00000000">
            <w:pPr>
              <w:cnfStyle w:val="100000000000" w:firstRow="1" w:lastRow="0" w:firstColumn="0" w:lastColumn="0" w:oddVBand="0" w:evenVBand="0" w:oddHBand="0" w:evenHBand="0" w:firstRowFirstColumn="0" w:firstRowLastColumn="0" w:lastRowFirstColumn="0" w:lastRowLastColumn="0"/>
            </w:pPr>
            <w:r>
              <w:rPr>
                <w:sz w:val="16"/>
              </w:rPr>
              <w:t>Drawdown base</w:t>
            </w:r>
          </w:p>
        </w:tc>
        <w:tc>
          <w:tcPr>
            <w:tcW w:w="1806" w:type="dxa"/>
          </w:tcPr>
          <w:p w14:paraId="667810FB" w14:textId="77777777" w:rsidR="00FA1BFF" w:rsidRDefault="00000000">
            <w:pPr>
              <w:cnfStyle w:val="100000000000" w:firstRow="1" w:lastRow="0" w:firstColumn="0" w:lastColumn="0" w:oddVBand="0" w:evenVBand="0" w:oddHBand="0" w:evenHBand="0" w:firstRowFirstColumn="0" w:firstRowLastColumn="0" w:lastRowFirstColumn="0" w:lastRowLastColumn="0"/>
            </w:pPr>
            <w:r>
              <w:rPr>
                <w:sz w:val="16"/>
              </w:rPr>
              <w:t>Drawdown timed</w:t>
            </w:r>
          </w:p>
        </w:tc>
      </w:tr>
      <w:tr w:rsidR="00FA1BFF" w14:paraId="2D34D9AF" w14:textId="77777777" w:rsidTr="00FA1B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499E667" w14:textId="77777777" w:rsidR="00FA1BFF" w:rsidRDefault="00000000">
            <w:r>
              <w:rPr>
                <w:sz w:val="16"/>
              </w:rPr>
              <w:t>Combined Equal-Weight</w:t>
            </w:r>
          </w:p>
        </w:tc>
        <w:tc>
          <w:tcPr>
            <w:tcW w:w="1806" w:type="dxa"/>
          </w:tcPr>
          <w:p w14:paraId="1F28BE88" w14:textId="77777777" w:rsidR="00FA1BFF"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806" w:type="dxa"/>
          </w:tcPr>
          <w:p w14:paraId="79223B53" w14:textId="77777777" w:rsidR="00FA1BFF"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806" w:type="dxa"/>
          </w:tcPr>
          <w:p w14:paraId="314AC9C7" w14:textId="77777777" w:rsidR="00FA1BFF" w:rsidRDefault="00000000">
            <w:pPr>
              <w:cnfStyle w:val="000000100000" w:firstRow="0" w:lastRow="0" w:firstColumn="0" w:lastColumn="0" w:oddVBand="0" w:evenVBand="0" w:oddHBand="1" w:evenHBand="0" w:firstRowFirstColumn="0" w:firstRowLastColumn="0" w:lastRowFirstColumn="0" w:lastRowLastColumn="0"/>
            </w:pPr>
            <w:r>
              <w:rPr>
                <w:sz w:val="16"/>
              </w:rPr>
              <w:t>-0.279</w:t>
            </w:r>
          </w:p>
        </w:tc>
        <w:tc>
          <w:tcPr>
            <w:tcW w:w="1806" w:type="dxa"/>
          </w:tcPr>
          <w:p w14:paraId="1D2B9D0E" w14:textId="77777777" w:rsidR="00FA1BFF" w:rsidRDefault="00000000">
            <w:pPr>
              <w:cnfStyle w:val="000000100000" w:firstRow="0" w:lastRow="0" w:firstColumn="0" w:lastColumn="0" w:oddVBand="0" w:evenVBand="0" w:oddHBand="1" w:evenHBand="0" w:firstRowFirstColumn="0" w:firstRowLastColumn="0" w:lastRowFirstColumn="0" w:lastRowLastColumn="0"/>
            </w:pPr>
            <w:r>
              <w:rPr>
                <w:sz w:val="16"/>
              </w:rPr>
              <w:t>-0.203</w:t>
            </w:r>
          </w:p>
        </w:tc>
      </w:tr>
      <w:tr w:rsidR="00FA1BFF" w14:paraId="28C62BCE" w14:textId="77777777" w:rsidTr="00FA1B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F8FDFDF" w14:textId="77777777" w:rsidR="00FA1BFF" w:rsidRDefault="00000000">
            <w:r>
              <w:rPr>
                <w:sz w:val="16"/>
              </w:rPr>
              <w:t>Combined Minimum-Variance</w:t>
            </w:r>
          </w:p>
        </w:tc>
        <w:tc>
          <w:tcPr>
            <w:tcW w:w="1806" w:type="dxa"/>
          </w:tcPr>
          <w:p w14:paraId="2D8C4AED" w14:textId="77777777" w:rsidR="00FA1BFF"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806" w:type="dxa"/>
          </w:tcPr>
          <w:p w14:paraId="7A232290" w14:textId="77777777" w:rsidR="00FA1BFF" w:rsidRDefault="00000000">
            <w:pPr>
              <w:cnfStyle w:val="000000010000" w:firstRow="0" w:lastRow="0" w:firstColumn="0" w:lastColumn="0" w:oddVBand="0" w:evenVBand="0" w:oddHBand="0" w:evenHBand="1" w:firstRowFirstColumn="0" w:firstRowLastColumn="0" w:lastRowFirstColumn="0" w:lastRowLastColumn="0"/>
            </w:pPr>
            <w:r>
              <w:rPr>
                <w:sz w:val="16"/>
              </w:rPr>
              <w:t>0.642</w:t>
            </w:r>
          </w:p>
        </w:tc>
        <w:tc>
          <w:tcPr>
            <w:tcW w:w="1806" w:type="dxa"/>
          </w:tcPr>
          <w:p w14:paraId="30F1DE8E" w14:textId="77777777" w:rsidR="00FA1BFF" w:rsidRDefault="00000000">
            <w:pPr>
              <w:cnfStyle w:val="000000010000" w:firstRow="0" w:lastRow="0" w:firstColumn="0" w:lastColumn="0" w:oddVBand="0" w:evenVBand="0" w:oddHBand="0" w:evenHBand="1" w:firstRowFirstColumn="0" w:firstRowLastColumn="0" w:lastRowFirstColumn="0" w:lastRowLastColumn="0"/>
            </w:pPr>
            <w:r>
              <w:rPr>
                <w:sz w:val="16"/>
              </w:rPr>
              <w:t>-0.154</w:t>
            </w:r>
          </w:p>
        </w:tc>
        <w:tc>
          <w:tcPr>
            <w:tcW w:w="1806" w:type="dxa"/>
          </w:tcPr>
          <w:p w14:paraId="49F3CB2C" w14:textId="77777777" w:rsidR="00FA1BFF" w:rsidRDefault="00000000">
            <w:pPr>
              <w:cnfStyle w:val="000000010000" w:firstRow="0" w:lastRow="0" w:firstColumn="0" w:lastColumn="0" w:oddVBand="0" w:evenVBand="0" w:oddHBand="0" w:evenHBand="1" w:firstRowFirstColumn="0" w:firstRowLastColumn="0" w:lastRowFirstColumn="0" w:lastRowLastColumn="0"/>
            </w:pPr>
            <w:r>
              <w:rPr>
                <w:sz w:val="16"/>
              </w:rPr>
              <w:t>-0.112</w:t>
            </w:r>
          </w:p>
        </w:tc>
      </w:tr>
      <w:tr w:rsidR="00FA1BFF" w14:paraId="7A09F280" w14:textId="77777777" w:rsidTr="00FA1B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58B48FD" w14:textId="77777777" w:rsidR="00FA1BFF" w:rsidRDefault="00000000">
            <w:r>
              <w:rPr>
                <w:sz w:val="16"/>
              </w:rPr>
              <w:t>Combined Maximum-Sharpe</w:t>
            </w:r>
          </w:p>
        </w:tc>
        <w:tc>
          <w:tcPr>
            <w:tcW w:w="1806" w:type="dxa"/>
          </w:tcPr>
          <w:p w14:paraId="5B7BF2DE" w14:textId="77777777" w:rsidR="00FA1BFF"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806" w:type="dxa"/>
          </w:tcPr>
          <w:p w14:paraId="3D210A23" w14:textId="77777777" w:rsidR="00FA1BFF" w:rsidRDefault="00000000">
            <w:pPr>
              <w:cnfStyle w:val="000000100000" w:firstRow="0" w:lastRow="0" w:firstColumn="0" w:lastColumn="0" w:oddVBand="0" w:evenVBand="0" w:oddHBand="1" w:evenHBand="0" w:firstRowFirstColumn="0" w:firstRowLastColumn="0" w:lastRowFirstColumn="0" w:lastRowLastColumn="0"/>
            </w:pPr>
            <w:r>
              <w:rPr>
                <w:sz w:val="16"/>
              </w:rPr>
              <w:t>1.144</w:t>
            </w:r>
          </w:p>
        </w:tc>
        <w:tc>
          <w:tcPr>
            <w:tcW w:w="1806" w:type="dxa"/>
          </w:tcPr>
          <w:p w14:paraId="378EB23D" w14:textId="77777777" w:rsidR="00FA1BFF" w:rsidRDefault="00000000">
            <w:pPr>
              <w:cnfStyle w:val="000000100000" w:firstRow="0" w:lastRow="0" w:firstColumn="0" w:lastColumn="0" w:oddVBand="0" w:evenVBand="0" w:oddHBand="1" w:evenHBand="0" w:firstRowFirstColumn="0" w:firstRowLastColumn="0" w:lastRowFirstColumn="0" w:lastRowLastColumn="0"/>
            </w:pPr>
            <w:r>
              <w:rPr>
                <w:sz w:val="16"/>
              </w:rPr>
              <w:t>-0.258</w:t>
            </w:r>
          </w:p>
        </w:tc>
        <w:tc>
          <w:tcPr>
            <w:tcW w:w="1806" w:type="dxa"/>
          </w:tcPr>
          <w:p w14:paraId="7858999C" w14:textId="77777777" w:rsidR="00FA1BFF" w:rsidRDefault="00000000">
            <w:pPr>
              <w:cnfStyle w:val="000000100000" w:firstRow="0" w:lastRow="0" w:firstColumn="0" w:lastColumn="0" w:oddVBand="0" w:evenVBand="0" w:oddHBand="1" w:evenHBand="0" w:firstRowFirstColumn="0" w:firstRowLastColumn="0" w:lastRowFirstColumn="0" w:lastRowLastColumn="0"/>
            </w:pPr>
            <w:r>
              <w:rPr>
                <w:sz w:val="16"/>
              </w:rPr>
              <w:t>-0.197</w:t>
            </w:r>
          </w:p>
        </w:tc>
      </w:tr>
      <w:tr w:rsidR="00FA1BFF" w14:paraId="4FED1B8A" w14:textId="77777777" w:rsidTr="00FA1B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AA909DD" w14:textId="77777777" w:rsidR="00FA1BFF" w:rsidRDefault="00000000">
            <w:r>
              <w:rPr>
                <w:sz w:val="16"/>
              </w:rPr>
              <w:t>Combined Risk Parity</w:t>
            </w:r>
          </w:p>
        </w:tc>
        <w:tc>
          <w:tcPr>
            <w:tcW w:w="1806" w:type="dxa"/>
          </w:tcPr>
          <w:p w14:paraId="71EC5CBE" w14:textId="77777777" w:rsidR="00FA1BFF"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806" w:type="dxa"/>
          </w:tcPr>
          <w:p w14:paraId="13AECFB9" w14:textId="77777777" w:rsidR="00FA1BFF" w:rsidRDefault="00000000">
            <w:pPr>
              <w:cnfStyle w:val="000000010000" w:firstRow="0" w:lastRow="0" w:firstColumn="0" w:lastColumn="0" w:oddVBand="0" w:evenVBand="0" w:oddHBand="0" w:evenHBand="1" w:firstRowFirstColumn="0" w:firstRowLastColumn="0" w:lastRowFirstColumn="0" w:lastRowLastColumn="0"/>
            </w:pPr>
            <w:r>
              <w:rPr>
                <w:sz w:val="16"/>
              </w:rPr>
              <w:t>1.113</w:t>
            </w:r>
          </w:p>
        </w:tc>
        <w:tc>
          <w:tcPr>
            <w:tcW w:w="1806" w:type="dxa"/>
          </w:tcPr>
          <w:p w14:paraId="3463B8DC" w14:textId="77777777" w:rsidR="00FA1BFF" w:rsidRDefault="00000000">
            <w:pPr>
              <w:cnfStyle w:val="000000010000" w:firstRow="0" w:lastRow="0" w:firstColumn="0" w:lastColumn="0" w:oddVBand="0" w:evenVBand="0" w:oddHBand="0" w:evenHBand="1" w:firstRowFirstColumn="0" w:firstRowLastColumn="0" w:lastRowFirstColumn="0" w:lastRowLastColumn="0"/>
            </w:pPr>
            <w:r>
              <w:rPr>
                <w:sz w:val="16"/>
              </w:rPr>
              <w:t>-0.195</w:t>
            </w:r>
          </w:p>
        </w:tc>
        <w:tc>
          <w:tcPr>
            <w:tcW w:w="1806" w:type="dxa"/>
          </w:tcPr>
          <w:p w14:paraId="70B7A2CA" w14:textId="77777777" w:rsidR="00FA1BFF" w:rsidRDefault="00000000">
            <w:pPr>
              <w:cnfStyle w:val="000000010000" w:firstRow="0" w:lastRow="0" w:firstColumn="0" w:lastColumn="0" w:oddVBand="0" w:evenVBand="0" w:oddHBand="0" w:evenHBand="1" w:firstRowFirstColumn="0" w:firstRowLastColumn="0" w:lastRowFirstColumn="0" w:lastRowLastColumn="0"/>
            </w:pPr>
            <w:r>
              <w:rPr>
                <w:sz w:val="16"/>
              </w:rPr>
              <w:t>-0.150</w:t>
            </w:r>
          </w:p>
        </w:tc>
      </w:tr>
    </w:tbl>
    <w:p w14:paraId="56465639" w14:textId="77777777" w:rsidR="0067237E" w:rsidRDefault="00000000">
      <w:pPr>
        <w:pStyle w:val="1"/>
      </w:pPr>
      <w:bookmarkStart w:id="13" w:name="_Toc237449979"/>
      <w:r>
        <w:lastRenderedPageBreak/>
        <w:t>6. The app and the investor journey</w:t>
      </w:r>
      <w:bookmarkEnd w:id="13"/>
    </w:p>
    <w:p w14:paraId="6366A16C" w14:textId="77777777" w:rsidR="0067237E" w:rsidRDefault="00000000">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14:paraId="734B8878" w14:textId="77777777" w:rsidR="0067237E" w:rsidRDefault="00000000">
      <w:r>
        <w:t>The application reads only precomputed CSV files committed under results/. It runs no backtest and loads no sentiment model, so cold starts stay fast on Streamlit Community Cloud's free tier. scripts/run_part_b.py rebuilds every artifact end to end.</w:t>
      </w:r>
    </w:p>
    <w:p w14:paraId="33BF5470" w14:textId="77777777" w:rsidR="0067237E" w:rsidRDefault="00000000">
      <w:r>
        <w:t>The target user is a working professional or early-career investor with savings, no time, and no intention of reading a covariance matrix. The journey is built around the decision they actually make: not which stock to buy but how much risk to carry. They compare twelve funds, open a fact sheet for the four numbers a fund provider publishes, and set an allocation with sliders, where diversification stops being a word and becomes a visibly shallower drawdown. The analytics sit apart from the funds on purpose: they do not predict returns, and placing them beside an allocation control would imply a link the evidence does not support.</w:t>
      </w:r>
    </w:p>
    <w:p w14:paraId="4E17154B" w14:textId="77777777" w:rsidR="0067237E" w:rsidRDefault="00000000">
      <w:r>
        <w:t>The business model is a management fee on assets, shown in the allocation tab.</w:t>
      </w:r>
    </w:p>
    <w:p w14:paraId="6698B875" w14:textId="77777777" w:rsidR="0067237E" w:rsidRDefault="00000000">
      <w:r>
        <w:t>Spotlight is deployed at https://spotlight-z5640476.streamlit.app from the public repository https://github.com/corvus-chen/z5640476_projectB. The app reads the committed artifacts and starts without recomputing anything, so it runs inside Community Cloud's free-tier resources.</w:t>
      </w:r>
    </w:p>
    <w:p w14:paraId="0BE95505" w14:textId="77777777" w:rsidR="0067237E" w:rsidRDefault="00000000">
      <w:pPr>
        <w:pStyle w:val="1"/>
      </w:pPr>
      <w:bookmarkStart w:id="14" w:name="_Toc237449980"/>
      <w:r>
        <w:t>7. Critical reflection and recommendations</w:t>
      </w:r>
      <w:bookmarkEnd w:id="14"/>
    </w:p>
    <w:p w14:paraId="116F659B" w14:textId="77777777" w:rsidR="0067237E" w:rsidRDefault="00000000">
      <w:r>
        <w:t>What worked was a working order I set early and kept: the assistant explains an approach in full, I read it until I can correct it, and only then is code written. That is why the solver-scaling and volatility-drag problems are recorded as decisions rather than as bugs found later. The checks that came out of it earned their place - identity tests on the backtest exposed a real error, weights applied as fixed targets between rebalances, which is arithmetically a fund trading back to target daily and had inflated the best fund's Sharpe ratio from 0.98 to 1.03.</w:t>
      </w:r>
    </w:p>
    <w:p w14:paraId="7999950A" w14:textId="77777777" w:rsidR="0067237E" w:rsidRDefault="00000000">
      <w:r>
        <w:t>What did not work was the sentiment fusion, and my first explanation of it was wrong in an instructive way. I concluded that headline sentiment is contrarian, and every number I held supported that: eight negative sectors, a losing tilt, a profitable reversal. What I had not done was compare it against anything. A negative correlation fits a reversal, news already in the price, and noise equally well, and the one statistic I was reading cannot separate them. An explanation that fits all the evidence is not thereby correct.</w:t>
      </w:r>
    </w:p>
    <w:p w14:paraId="13F7A782" w14:textId="77777777" w:rsidR="0067237E" w:rsidRDefault="00000000">
      <w:r>
        <w:t>The broader lesson is where the risk in this kind of project sits. None of the errors were errors of finance. A number was recalled instead of measured; a solver would have returned its starting point without complaining; a docstring described wrong behaviour accurately; a test suite only ever ran the defaults. Each had been checked, and the check is what gave the false confidence. The modelling was the easy part.</w:t>
      </w:r>
    </w:p>
    <w:p w14:paraId="1EE1D7E8" w14:textId="77777777" w:rsidR="0067237E" w:rsidRDefault="00000000">
      <w:r>
        <w:lastRenderedPageBreak/>
        <w:t>First, offer the adaptive sentiment tilt as an optional fund rather than as the default, and size the position to the strength of the evidence. The naive tilt should not ship at all: it makes both equity funds worse and charges turnover for it. The adaptive version is a different case - it improves both funds and ranks first on a holdout it was not chosen on, yet its bootstrap interval spans zero. Treating 'not established' as 'worthless' is as wrong as treating it as proven. I would hold it with part of my own money and not all of it, and the product should say exactly that: available, labelled with its evidence, never the default.</w:t>
      </w:r>
    </w:p>
    <w:p w14:paraId="5924A32A" w14:textId="77777777" w:rsidR="0067237E" w:rsidRDefault="00000000">
      <w:r>
        <w:t>Second, do not pick a default fund at all. Make the user choose between Combined Maximum-Sharpe and Combined Risk Parity after the drawdown figure has been put in front of them. The temptation is to default the cautious user into risk parity, and I reject it: 0.888 against 0.981 is a real cost, and a platform making that trade quietly has decided how much risk someone can bear without asking. Show both - 24.0% a year with a 25.8% fall, or 14.0% with 19.5% - and make the choice deliberate. I would take the first for myself and would not make that decision for anyone else.</w:t>
      </w:r>
    </w:p>
    <w:p w14:paraId="6D9471D3" w14:textId="77777777" w:rsidR="0067237E" w:rsidRDefault="00000000">
      <w:r>
        <w:t>Third, hold a firm's evidence to a higher standard than my own. I would put part of my money behind the adaptive tilt on what this project shows; I would not put anyone else's there. The difference is not courage: a manager charging a fee claims to know something, and an interval spanning zero is not knowledge. Before this reaches a fund taking deposits, the same walk-forward design should run on a decade of data or a second market, with the number of specifications declared in advance rather than counted afterwards.</w:t>
      </w:r>
    </w:p>
    <w:p w14:paraId="72DF973F" w14:textId="77777777" w:rsidR="0067237E" w:rsidRDefault="00000000">
      <w:pPr>
        <w:pStyle w:val="1"/>
      </w:pPr>
      <w:bookmarkStart w:id="15" w:name="_Toc237449981"/>
      <w:r>
        <w:t>References</w:t>
      </w:r>
      <w:bookmarkEnd w:id="15"/>
    </w:p>
    <w:p w14:paraId="06BA45CD" w14:textId="77777777" w:rsidR="003A717B" w:rsidRDefault="00000000">
      <w:pPr>
        <w:spacing w:after="120"/>
        <w:ind w:left="567" w:hanging="567"/>
      </w:pPr>
      <w:r>
        <w:t xml:space="preserve">Bailey, DH &amp; Lopez de Prado, M 2014, 'The deflated Sharpe ratio: correcting for selection bias, backtest overfitting, and non-normality', </w:t>
      </w:r>
      <w:r>
        <w:rPr>
          <w:i/>
        </w:rPr>
        <w:t>The Journal of Portfolio Management</w:t>
      </w:r>
      <w:r>
        <w:t>, vol. 40, no. 5, pp. 94-107.</w:t>
      </w:r>
    </w:p>
    <w:p w14:paraId="33146AF7" w14:textId="77777777" w:rsidR="003A717B" w:rsidRDefault="00000000">
      <w:pPr>
        <w:spacing w:after="120"/>
        <w:ind w:left="567" w:hanging="567"/>
      </w:pPr>
      <w:r>
        <w:t xml:space="preserve">Boudoukh, J, Richardson, M &amp; Whitelaw, RF 2008, 'The myth of long-horizon predictability', </w:t>
      </w:r>
      <w:r>
        <w:rPr>
          <w:i/>
        </w:rPr>
        <w:t>The Review of Financial Studies</w:t>
      </w:r>
      <w:r>
        <w:t>, vol. 21, no. 4, pp. 1577-1605.</w:t>
      </w:r>
    </w:p>
    <w:p w14:paraId="315866FD" w14:textId="77777777" w:rsidR="003A717B" w:rsidRDefault="00000000">
      <w:pPr>
        <w:spacing w:after="120"/>
        <w:ind w:left="567" w:hanging="567"/>
      </w:pPr>
      <w:r>
        <w:t xml:space="preserve">Chopra, VK &amp; Ziemba, WT 1993, 'The effect of errors in means, variances, and covariances on optimal portfolio choice', </w:t>
      </w:r>
      <w:r>
        <w:rPr>
          <w:i/>
        </w:rPr>
        <w:t>The Journal of Portfolio Management</w:t>
      </w:r>
      <w:r>
        <w:t>, vol. 19, no. 2, pp. 6-11.</w:t>
      </w:r>
    </w:p>
    <w:p w14:paraId="2773C8E9" w14:textId="77777777" w:rsidR="003A717B" w:rsidRDefault="00000000">
      <w:pPr>
        <w:spacing w:after="120"/>
        <w:ind w:left="567" w:hanging="567"/>
      </w:pPr>
      <w:r>
        <w:t xml:space="preserve">Da, Z, Engelberg, J &amp; Gao, P 2015, 'The sum of all FEARS investor sentiment and asset prices', </w:t>
      </w:r>
      <w:r>
        <w:rPr>
          <w:i/>
        </w:rPr>
        <w:t>The Review of Financial Studies</w:t>
      </w:r>
      <w:r>
        <w:t>, vol. 28, no. 1, pp. 1-32.</w:t>
      </w:r>
    </w:p>
    <w:p w14:paraId="1FEF53AF" w14:textId="77777777" w:rsidR="003A717B" w:rsidRDefault="00000000">
      <w:pPr>
        <w:spacing w:after="120"/>
        <w:ind w:left="567" w:hanging="567"/>
      </w:pPr>
      <w:r>
        <w:t xml:space="preserve">DeMiguel, V, Garlappi, L &amp; Uppal, R 2009, 'Optimal versus naive diversification: how inefficient is the 1/N portfolio strategy?', </w:t>
      </w:r>
      <w:r>
        <w:rPr>
          <w:i/>
        </w:rPr>
        <w:t>The Review of Financial Studies</w:t>
      </w:r>
      <w:r>
        <w:t>, vol. 22, no. 5, pp. 1915-1953.</w:t>
      </w:r>
    </w:p>
    <w:p w14:paraId="3B6A2D87" w14:textId="77777777" w:rsidR="003A717B" w:rsidRDefault="00000000">
      <w:pPr>
        <w:spacing w:after="120"/>
        <w:ind w:left="567" w:hanging="567"/>
      </w:pPr>
      <w:r>
        <w:t xml:space="preserve">Fama, EF 1970, 'Efficient capital markets: a review of theory and empirical work', </w:t>
      </w:r>
      <w:r>
        <w:rPr>
          <w:i/>
        </w:rPr>
        <w:t>The Journal of Finance</w:t>
      </w:r>
      <w:r>
        <w:t>, vol. 25, no. 2, pp. 383-417.</w:t>
      </w:r>
    </w:p>
    <w:p w14:paraId="73615C6C" w14:textId="77777777" w:rsidR="003A717B" w:rsidRDefault="00000000">
      <w:pPr>
        <w:spacing w:after="120"/>
        <w:ind w:left="567" w:hanging="567"/>
      </w:pPr>
      <w:r>
        <w:t xml:space="preserve">Harvey, CR, Liu, Y &amp; Zhu, H 2016, '... and the cross-section of expected returns', </w:t>
      </w:r>
      <w:r>
        <w:rPr>
          <w:i/>
        </w:rPr>
        <w:t>The Review of Financial Studies</w:t>
      </w:r>
      <w:r>
        <w:t>, vol. 29, no. 1, pp. 5-68.</w:t>
      </w:r>
    </w:p>
    <w:p w14:paraId="792386E7" w14:textId="77777777" w:rsidR="003A717B" w:rsidRDefault="00000000">
      <w:pPr>
        <w:spacing w:after="120"/>
        <w:ind w:left="567" w:hanging="567"/>
      </w:pPr>
      <w:r>
        <w:t xml:space="preserve">Hutto, CJ &amp; Gilbert, E 2014, 'VADER: a parsimonious rule-based model for sentiment analysis of social media text', </w:t>
      </w:r>
      <w:r>
        <w:rPr>
          <w:i/>
        </w:rPr>
        <w:t>Proceedings of the Eighth International AAAI Conference on Weblogs and Social Media</w:t>
      </w:r>
      <w:r>
        <w:t>, Ann Arbor, Michigan, pp. 216-225.</w:t>
      </w:r>
    </w:p>
    <w:p w14:paraId="62FB4CDE" w14:textId="77777777" w:rsidR="003A717B" w:rsidRDefault="00000000">
      <w:pPr>
        <w:spacing w:after="120"/>
        <w:ind w:left="567" w:hanging="567"/>
      </w:pPr>
      <w:r>
        <w:lastRenderedPageBreak/>
        <w:t xml:space="preserve">Jagannathan, R &amp; Ma, T 2003, 'Risk reduction in large portfolios: why imposing the wrong constraints helps', </w:t>
      </w:r>
      <w:r>
        <w:rPr>
          <w:i/>
        </w:rPr>
        <w:t>The Journal of Finance</w:t>
      </w:r>
      <w:r>
        <w:t>, vol. 58, no. 4, pp. 1651-1683.</w:t>
      </w:r>
    </w:p>
    <w:p w14:paraId="5DC0D1B7" w14:textId="77777777" w:rsidR="003A717B" w:rsidRDefault="00000000">
      <w:pPr>
        <w:spacing w:after="120"/>
        <w:ind w:left="567" w:hanging="567"/>
      </w:pPr>
      <w:r>
        <w:t xml:space="preserve">Ledoit, O &amp; Wolf, M 2004, 'Honey, I shrunk the sample covariance matrix', </w:t>
      </w:r>
      <w:r>
        <w:rPr>
          <w:i/>
        </w:rPr>
        <w:t>The Journal of Portfolio Management</w:t>
      </w:r>
      <w:r>
        <w:t>, vol. 30, no. 4, pp. 110-119.</w:t>
      </w:r>
    </w:p>
    <w:p w14:paraId="493A36FE" w14:textId="77777777" w:rsidR="003A717B" w:rsidRDefault="00000000">
      <w:pPr>
        <w:spacing w:after="120"/>
        <w:ind w:left="567" w:hanging="567"/>
      </w:pPr>
      <w:r>
        <w:t xml:space="preserve">Ledoit, O &amp; Wolf, M 2008, 'Robust performance hypothesis testing with the Sharpe ratio', </w:t>
      </w:r>
      <w:r>
        <w:rPr>
          <w:i/>
        </w:rPr>
        <w:t>Journal of Empirical Finance</w:t>
      </w:r>
      <w:r>
        <w:t>, vol. 15, no. 5, pp. 850-859.</w:t>
      </w:r>
    </w:p>
    <w:p w14:paraId="595C7C1F" w14:textId="77777777" w:rsidR="003A717B" w:rsidRDefault="00000000">
      <w:pPr>
        <w:spacing w:after="120"/>
        <w:ind w:left="567" w:hanging="567"/>
      </w:pPr>
      <w:r>
        <w:t xml:space="preserve">Loughran, T &amp; McDonald, B 2011, 'When is a liability not a liability? Textual analysis, dictionaries, and 10-Ks', </w:t>
      </w:r>
      <w:r>
        <w:rPr>
          <w:i/>
        </w:rPr>
        <w:t>The Journal of Finance</w:t>
      </w:r>
      <w:r>
        <w:t>, vol. 66, no. 1, pp. 35-65.</w:t>
      </w:r>
    </w:p>
    <w:p w14:paraId="4C12A6E6" w14:textId="77777777" w:rsidR="003A717B" w:rsidRDefault="00000000">
      <w:pPr>
        <w:spacing w:after="120"/>
        <w:ind w:left="567" w:hanging="567"/>
      </w:pPr>
      <w:r>
        <w:t xml:space="preserve">Maillard, S, Roncalli, T &amp; Teiletche, J 2010, 'The properties of equally weighted risk contribution portfolios', </w:t>
      </w:r>
      <w:r>
        <w:rPr>
          <w:i/>
        </w:rPr>
        <w:t>The Journal of Portfolio Management</w:t>
      </w:r>
      <w:r>
        <w:t>, vol. 36, no. 4, pp. 60-70.</w:t>
      </w:r>
    </w:p>
    <w:p w14:paraId="0299A624" w14:textId="77777777" w:rsidR="003A717B" w:rsidRDefault="00000000">
      <w:pPr>
        <w:spacing w:after="120"/>
        <w:ind w:left="567" w:hanging="567"/>
      </w:pPr>
      <w:r>
        <w:t xml:space="preserve">Markowitz, H 1952, 'Portfolio selection', </w:t>
      </w:r>
      <w:r>
        <w:rPr>
          <w:i/>
        </w:rPr>
        <w:t>The Journal of Finance</w:t>
      </w:r>
      <w:r>
        <w:t>, vol. 7, no. 1, pp. 77-91.</w:t>
      </w:r>
    </w:p>
    <w:p w14:paraId="5B876BB9" w14:textId="77777777" w:rsidR="003A717B" w:rsidRDefault="00000000">
      <w:pPr>
        <w:spacing w:after="120"/>
        <w:ind w:left="567" w:hanging="567"/>
      </w:pPr>
      <w:r>
        <w:t xml:space="preserve">Michaud, RO 1989, 'The Markowitz optimization enigma: is ‘optimized’ optimal?', </w:t>
      </w:r>
      <w:r>
        <w:rPr>
          <w:i/>
        </w:rPr>
        <w:t>Financial Analysts Journal</w:t>
      </w:r>
      <w:r>
        <w:t>, vol. 45, no. 1, pp. 31-42.</w:t>
      </w:r>
    </w:p>
    <w:p w14:paraId="753C7E55" w14:textId="77777777" w:rsidR="003A717B" w:rsidRDefault="00000000">
      <w:pPr>
        <w:spacing w:after="120"/>
        <w:ind w:left="567" w:hanging="567"/>
      </w:pPr>
      <w:r>
        <w:t xml:space="preserve">Okabe, M &amp; Ito, K 2008, </w:t>
      </w:r>
      <w:r>
        <w:rPr>
          <w:i/>
        </w:rPr>
        <w:t>Color universal design (CUD): how to make figures and presentations that are friendly to colorblind people</w:t>
      </w:r>
      <w:r>
        <w:t>, viewed 11 August 2026, &lt;https://jfly.uni-koeln.de/color/&gt;.</w:t>
      </w:r>
    </w:p>
    <w:p w14:paraId="2CC789D4" w14:textId="77777777" w:rsidR="003A717B" w:rsidRDefault="00000000">
      <w:pPr>
        <w:spacing w:after="120"/>
        <w:ind w:left="567" w:hanging="567"/>
      </w:pPr>
      <w:r>
        <w:t xml:space="preserve">Politis, DN &amp; Romano, JP 1994, 'The stationary bootstrap', </w:t>
      </w:r>
      <w:r>
        <w:rPr>
          <w:i/>
        </w:rPr>
        <w:t>Journal of the American Statistical Association</w:t>
      </w:r>
      <w:r>
        <w:t>, vol. 89, no. 428, pp. 1303-1313.</w:t>
      </w:r>
    </w:p>
    <w:p w14:paraId="7DFF42BC" w14:textId="77777777" w:rsidR="003A717B" w:rsidRDefault="00000000">
      <w:pPr>
        <w:spacing w:after="120"/>
        <w:ind w:left="567" w:hanging="567"/>
      </w:pPr>
      <w:r>
        <w:t xml:space="preserve">Sharpe, WF 1966, 'Mutual fund performance', </w:t>
      </w:r>
      <w:r>
        <w:rPr>
          <w:i/>
        </w:rPr>
        <w:t>The Journal of Business</w:t>
      </w:r>
      <w:r>
        <w:t>, vol. 39, no. 1, pp. 119-138.</w:t>
      </w:r>
    </w:p>
    <w:p w14:paraId="44B01364" w14:textId="77777777" w:rsidR="003A717B" w:rsidRDefault="00000000">
      <w:pPr>
        <w:spacing w:after="120"/>
        <w:ind w:left="567" w:hanging="567"/>
      </w:pPr>
      <w:r>
        <w:t xml:space="preserve">Sharpe, WF 1994, 'The Sharpe ratio', </w:t>
      </w:r>
      <w:r>
        <w:rPr>
          <w:i/>
        </w:rPr>
        <w:t>The Journal of Portfolio Management</w:t>
      </w:r>
      <w:r>
        <w:t>, vol. 21, no. 1, pp. 49-58.</w:t>
      </w:r>
    </w:p>
    <w:p w14:paraId="31E4CF27" w14:textId="77777777" w:rsidR="003A717B" w:rsidRDefault="00000000">
      <w:pPr>
        <w:spacing w:after="120"/>
        <w:ind w:left="567" w:hanging="567"/>
      </w:pPr>
      <w:r>
        <w:t xml:space="preserve">Tetlock, PC 2007, 'Giving content to investor sentiment: the role of media in the stock market', </w:t>
      </w:r>
      <w:r>
        <w:rPr>
          <w:i/>
        </w:rPr>
        <w:t>The Journal of Finance</w:t>
      </w:r>
      <w:r>
        <w:t>, vol. 62, no. 3, pp. 1139-1168.</w:t>
      </w:r>
    </w:p>
    <w:p w14:paraId="31EBCD42" w14:textId="77777777" w:rsidR="003A717B" w:rsidRDefault="00000000">
      <w:pPr>
        <w:spacing w:after="120"/>
        <w:ind w:left="567" w:hanging="567"/>
      </w:pPr>
      <w:r>
        <w:t xml:space="preserve">Tetlock, PC, Saar-Tsechansky, M &amp; Macskassy, S 2008, 'More than words: quantifying language to measure firms' fundamentals', </w:t>
      </w:r>
      <w:r>
        <w:rPr>
          <w:i/>
        </w:rPr>
        <w:t>The Journal of Finance</w:t>
      </w:r>
      <w:r>
        <w:t>, vol. 63, no. 3, pp. 1437-1467.</w:t>
      </w:r>
    </w:p>
    <w:p w14:paraId="3E2E1865" w14:textId="77777777" w:rsidR="003A717B" w:rsidRDefault="00000000">
      <w:pPr>
        <w:spacing w:after="120"/>
        <w:ind w:left="567" w:hanging="567"/>
      </w:pPr>
      <w:r>
        <w:t xml:space="preserve">White, H 2000, 'A reality check for data snooping', </w:t>
      </w:r>
      <w:r>
        <w:rPr>
          <w:i/>
        </w:rPr>
        <w:t>Econometrica</w:t>
      </w:r>
      <w:r>
        <w:t>, vol. 68, no. 5, pp. 1097-1126.</w:t>
      </w:r>
    </w:p>
    <w:p w14:paraId="096AB61C" w14:textId="77777777" w:rsidR="0067237E" w:rsidRDefault="00000000">
      <w:pPr>
        <w:pStyle w:val="1"/>
      </w:pPr>
      <w:bookmarkStart w:id="16" w:name="_Toc237449982"/>
      <w:r>
        <w:t>Appendix</w:t>
      </w:r>
      <w:bookmarkEnd w:id="16"/>
    </w:p>
    <w:p w14:paraId="5DD8F45C" w14:textId="77777777" w:rsidR="0067237E" w:rsidRDefault="00000000">
      <w:pPr>
        <w:pStyle w:val="21"/>
      </w:pPr>
      <w:bookmarkStart w:id="17" w:name="_Toc237449983"/>
      <w:r>
        <w:t>Appendix A - The four objectives</w:t>
      </w:r>
      <w:bookmarkEnd w:id="17"/>
    </w:p>
    <w:p w14:paraId="6723635B" w14:textId="77777777" w:rsidR="0067237E" w:rsidRDefault="00000000">
      <w:r>
        <w:t>Each fund solves for a weight vector w over N assets from two estimated inputs: the vector of expected returns m and the covariance matrix S, both computed on the estimation window and annualised. Every fund is long-only and fully invested, so 1'w = 1 and w &gt;= 0.</w:t>
      </w:r>
    </w:p>
    <w:p w14:paraId="53A79683" w14:textId="77777777" w:rsidR="0067237E" w:rsidRDefault="00000000">
      <w:r>
        <w:t>(1)  Equal weight:</w:t>
      </w:r>
      <m:oMath>
        <m:sSub>
          <m:sSubPr>
            <m:ctrlPr>
              <w:rPr>
                <w:rFonts w:ascii="Cambria Math" w:hAnsi="Cambria Math"/>
              </w:rPr>
            </m:ctrlPr>
          </m:sSubPr>
          <m:e>
            <m:r>
              <w:rPr>
                <w:rFonts w:ascii="Cambria Math" w:hAnsi="Cambria Math"/>
              </w:rPr>
              <m:t>w</m:t>
            </m:r>
          </m:e>
          <m:sub>
            <m:r>
              <w:rPr>
                <w:rFonts w:ascii="Cambria Math" w:hAnsi="Cambria Math"/>
              </w:rPr>
              <m:t>i</m:t>
            </m:r>
          </m:sub>
        </m:sSub>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every asset </m:t>
        </m:r>
        <m:r>
          <w:rPr>
            <w:rFonts w:ascii="Cambria Math" w:hAnsi="Cambria Math"/>
          </w:rPr>
          <m:t>i</m:t>
        </m:r>
        <m:sSub>
          <m:sSubPr>
            <m:ctrlPr>
              <w:rPr>
                <w:rFonts w:ascii="Cambria Math" w:hAnsi="Cambria Math"/>
              </w:rPr>
            </m:ctrlPr>
          </m:sSubPr>
          <m:e>
            <m:r>
              <w:rPr>
                <w:rFonts w:ascii="Cambria Math" w:hAnsi="Cambria Math"/>
              </w:rPr>
              <m:t>w</m:t>
            </m:r>
          </m:e>
          <m:sub>
            <m:r>
              <w:rPr>
                <w:rFonts w:ascii="Cambria Math" w:hAnsi="Cambria Math"/>
              </w:rPr>
              <m:t>i</m:t>
            </m:r>
          </m:sub>
        </m:sSub>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every asset </m:t>
        </m:r>
        <m:r>
          <w:rPr>
            <w:rFonts w:ascii="Cambria Math" w:hAnsi="Cambria Math"/>
          </w:rPr>
          <m:t>i</m:t>
        </m:r>
      </m:oMath>
    </w:p>
    <w:p w14:paraId="5F46147A" w14:textId="77777777" w:rsidR="0067237E" w:rsidRDefault="00000000">
      <w:r>
        <w:t>(2)  Minimum variance:</w:t>
      </w:r>
      <m:oMath>
        <m:sSub>
          <m:sSubPr>
            <m:ctrlPr>
              <w:rPr>
                <w:rFonts w:ascii="Cambria Math" w:hAnsi="Cambria Math"/>
              </w:rPr>
            </m:ctrlPr>
          </m:sSubPr>
          <m:e>
            <m:r>
              <m:rPr>
                <m:nor/>
              </m:rPr>
              <m:t>min</m:t>
            </m:r>
          </m:e>
          <m:sub>
            <m:r>
              <m:rPr>
                <m:sty m:val="b"/>
              </m:rPr>
              <w:rPr>
                <w:rFonts w:ascii="Cambria Math" w:hAnsi="Cambria Math"/>
              </w:rPr>
              <m:t>w</m:t>
            </m:r>
          </m:sub>
        </m:sSub>
        <m:r>
          <m:rPr>
            <m:nor/>
          </m:rPr>
          <m:t xml:space="preserve"> </m:t>
        </m:r>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sSub>
          <m:sSubPr>
            <m:ctrlPr>
              <w:rPr>
                <w:rFonts w:ascii="Cambria Math" w:hAnsi="Cambria Math"/>
              </w:rPr>
            </m:ctrlPr>
          </m:sSubPr>
          <m:e>
            <m:r>
              <m:rPr>
                <m:nor/>
              </m:rPr>
              <m:t>min</m:t>
            </m:r>
          </m:e>
          <m:sub>
            <m:r>
              <m:rPr>
                <m:sty m:val="b"/>
              </m:rPr>
              <w:rPr>
                <w:rFonts w:ascii="Cambria Math" w:hAnsi="Cambria Math"/>
              </w:rPr>
              <m:t>w</m:t>
            </m:r>
          </m:sub>
        </m:sSub>
        <m:r>
          <m:rPr>
            <m:nor/>
          </m:rPr>
          <m:t xml:space="preserve"> </m:t>
        </m:r>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oMath>
    </w:p>
    <w:p w14:paraId="1E8C73F3" w14:textId="77777777" w:rsidR="0067237E" w:rsidRDefault="00000000">
      <w:r>
        <w:lastRenderedPageBreak/>
        <w:t>(3)  Maximum Sharpe:</w:t>
      </w:r>
      <m:oMath>
        <m:sSub>
          <m:sSubPr>
            <m:ctrlPr>
              <w:rPr>
                <w:rFonts w:ascii="Cambria Math" w:hAnsi="Cambria Math"/>
              </w:rPr>
            </m:ctrlPr>
          </m:sSubPr>
          <m:e>
            <m:r>
              <m:rPr>
                <m:nor/>
              </m:rPr>
              <m:t>max</m:t>
            </m:r>
          </m:e>
          <m:sub>
            <m:r>
              <m:rPr>
                <m:sty m:val="b"/>
              </m:rPr>
              <w:rPr>
                <w:rFonts w:ascii="Cambria Math" w:hAnsi="Cambria Math"/>
              </w:rPr>
              <m:t>w</m:t>
            </m:r>
          </m:sub>
        </m:sSub>
        <m:r>
          <m:rPr>
            <m:nor/>
          </m:rPr>
          <m:t xml:space="preserve"> </m:t>
        </m:r>
        <m:f>
          <m:fPr>
            <m:ctrlPr>
              <w:rPr>
                <w:rFonts w:ascii="Cambria Math" w:hAnsi="Cambria Math"/>
              </w:rPr>
            </m:ctrlPr>
          </m:fPr>
          <m:num>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μ</m:t>
            </m:r>
            <m:r>
              <m:rPr>
                <m:nor/>
              </m:rPr>
              <m:t xml:space="preserve"> - </m:t>
            </m:r>
            <m:sSub>
              <m:sSubPr>
                <m:ctrlPr>
                  <w:rPr>
                    <w:rFonts w:ascii="Cambria Math" w:hAnsi="Cambria Math"/>
                  </w:rPr>
                </m:ctrlPr>
              </m:sSubPr>
              <m:e>
                <m:r>
                  <w:rPr>
                    <w:rFonts w:ascii="Cambria Math" w:hAnsi="Cambria Math"/>
                  </w:rPr>
                  <m:t>r</m:t>
                </m:r>
              </m:e>
              <m:sub>
                <m:r>
                  <m:rPr>
                    <m:nor/>
                  </m:rPr>
                  <m:t>f</m:t>
                </m:r>
              </m:sub>
            </m:sSub>
          </m:num>
          <m:den>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e>
            </m:rad>
          </m:den>
        </m:f>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sSub>
          <m:sSubPr>
            <m:ctrlPr>
              <w:rPr>
                <w:rFonts w:ascii="Cambria Math" w:hAnsi="Cambria Math"/>
              </w:rPr>
            </m:ctrlPr>
          </m:sSubPr>
          <m:e>
            <m:r>
              <m:rPr>
                <m:nor/>
              </m:rPr>
              <m:t>max</m:t>
            </m:r>
          </m:e>
          <m:sub>
            <m:r>
              <m:rPr>
                <m:sty m:val="b"/>
              </m:rPr>
              <w:rPr>
                <w:rFonts w:ascii="Cambria Math" w:hAnsi="Cambria Math"/>
              </w:rPr>
              <m:t>w</m:t>
            </m:r>
          </m:sub>
        </m:sSub>
        <m:r>
          <m:rPr>
            <m:nor/>
          </m:rPr>
          <m:t xml:space="preserve"> </m:t>
        </m:r>
        <m:f>
          <m:fPr>
            <m:ctrlPr>
              <w:rPr>
                <w:rFonts w:ascii="Cambria Math" w:hAnsi="Cambria Math"/>
              </w:rPr>
            </m:ctrlPr>
          </m:fPr>
          <m:num>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μ</m:t>
            </m:r>
            <m:r>
              <m:rPr>
                <m:nor/>
              </m:rPr>
              <m:t xml:space="preserve"> - </m:t>
            </m:r>
            <m:sSub>
              <m:sSubPr>
                <m:ctrlPr>
                  <w:rPr>
                    <w:rFonts w:ascii="Cambria Math" w:hAnsi="Cambria Math"/>
                  </w:rPr>
                </m:ctrlPr>
              </m:sSubPr>
              <m:e>
                <m:r>
                  <w:rPr>
                    <w:rFonts w:ascii="Cambria Math" w:hAnsi="Cambria Math"/>
                  </w:rPr>
                  <m:t>r</m:t>
                </m:r>
              </m:e>
              <m:sub>
                <m:r>
                  <m:rPr>
                    <m:nor/>
                  </m:rPr>
                  <m:t>f</m:t>
                </m:r>
              </m:sub>
            </m:sSub>
          </m:num>
          <m:den>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e>
            </m:rad>
          </m:den>
        </m:f>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oMath>
    </w:p>
    <w:p w14:paraId="0D48ECC6" w14:textId="77777777" w:rsidR="0067237E" w:rsidRDefault="00000000">
      <w:r>
        <w:t>(4)  Risk parity:</w:t>
      </w:r>
      <m:oMath>
        <m:sSub>
          <m:sSubPr>
            <m:ctrlPr>
              <w:rPr>
                <w:rFonts w:ascii="Cambria Math" w:hAnsi="Cambria Math"/>
              </w:rPr>
            </m:ctrlPr>
          </m:sSubPr>
          <m:e>
            <m:r>
              <m:rPr>
                <m:nor/>
              </m:rPr>
              <m:t>RC</m:t>
            </m:r>
          </m:e>
          <m:sub>
            <m:r>
              <w:rPr>
                <w:rFonts w:ascii="Cambria Math" w:hAnsi="Cambria Math"/>
              </w:rPr>
              <m:t>i</m:t>
            </m:r>
          </m:sub>
        </m:sSub>
        <m:r>
          <m:rPr>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d>
                  <m:dPr>
                    <m:ctrlPr>
                      <w:rPr>
                        <w:rFonts w:ascii="Cambria Math" w:hAnsi="Cambria Math"/>
                      </w:rPr>
                    </m:ctrlPr>
                  </m:dPr>
                  <m:e>
                    <m:r>
                      <m:rPr>
                        <m:sty m:val="b"/>
                      </m:rPr>
                      <w:rPr>
                        <w:rFonts w:ascii="Cambria Math" w:hAnsi="Cambria Math"/>
                      </w:rPr>
                      <m:t>Σw</m:t>
                    </m:r>
                  </m:e>
                </m:d>
              </m:e>
              <m:sub>
                <m:r>
                  <w:rPr>
                    <w:rFonts w:ascii="Cambria Math" w:hAnsi="Cambria Math"/>
                  </w:rPr>
                  <m:t>i</m:t>
                </m:r>
              </m:sub>
            </m:sSub>
          </m:num>
          <m:den>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den>
        </m:f>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all </m:t>
        </m:r>
        <m:r>
          <w:rPr>
            <w:rFonts w:ascii="Cambria Math" w:hAnsi="Cambria Math"/>
          </w:rPr>
          <m:t>i</m:t>
        </m:r>
        <m:sSub>
          <m:sSubPr>
            <m:ctrlPr>
              <w:rPr>
                <w:rFonts w:ascii="Cambria Math" w:hAnsi="Cambria Math"/>
              </w:rPr>
            </m:ctrlPr>
          </m:sSubPr>
          <m:e>
            <m:r>
              <m:rPr>
                <m:nor/>
              </m:rPr>
              <m:t>RC</m:t>
            </m:r>
          </m:e>
          <m:sub>
            <m:r>
              <w:rPr>
                <w:rFonts w:ascii="Cambria Math" w:hAnsi="Cambria Math"/>
              </w:rPr>
              <m:t>i</m:t>
            </m:r>
          </m:sub>
        </m:sSub>
        <m:r>
          <m:rPr>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d>
                  <m:dPr>
                    <m:ctrlPr>
                      <w:rPr>
                        <w:rFonts w:ascii="Cambria Math" w:hAnsi="Cambria Math"/>
                      </w:rPr>
                    </m:ctrlPr>
                  </m:dPr>
                  <m:e>
                    <m:r>
                      <m:rPr>
                        <m:sty m:val="b"/>
                      </m:rPr>
                      <w:rPr>
                        <w:rFonts w:ascii="Cambria Math" w:hAnsi="Cambria Math"/>
                      </w:rPr>
                      <m:t>Σw</m:t>
                    </m:r>
                  </m:e>
                </m:d>
              </m:e>
              <m:sub>
                <m:r>
                  <w:rPr>
                    <w:rFonts w:ascii="Cambria Math" w:hAnsi="Cambria Math"/>
                  </w:rPr>
                  <m:t>i</m:t>
                </m:r>
              </m:sub>
            </m:sSub>
          </m:num>
          <m:den>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den>
        </m:f>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all </m:t>
        </m:r>
        <m:r>
          <w:rPr>
            <w:rFonts w:ascii="Cambria Math" w:hAnsi="Cambria Math"/>
          </w:rPr>
          <m:t>i</m:t>
        </m:r>
      </m:oMath>
    </w:p>
    <w:p w14:paraId="41B023F3" w14:textId="77777777" w:rsidR="0067237E" w:rsidRDefault="00000000">
      <w:r>
        <w:t>Here N is the number of assets in the family (50 equities, 10 cryptocurrencies, or 60 combined), w_i is the weight on asset i, (Sw)_i is the i-th element of Sw, RC_i is asset i's risk contribution, and 1 is a vector of ones. Only equations (3) and (4) are affected by the choice of expected-return estimator; equation (2) uses S alone, which is why Section 5.4 can separate covariance noise from mean noise.</w:t>
      </w:r>
    </w:p>
    <w:p w14:paraId="1D5FE7B6" w14:textId="77777777" w:rsidR="0067237E" w:rsidRDefault="00000000">
      <w:pPr>
        <w:pStyle w:val="21"/>
      </w:pPr>
      <w:bookmarkStart w:id="18" w:name="_Toc237449984"/>
      <w:r>
        <w:t>Appendix B - Supporting exhibits</w:t>
      </w:r>
      <w:bookmarkEnd w:id="18"/>
    </w:p>
    <w:p w14:paraId="03490112" w14:textId="77777777" w:rsidR="0067237E" w:rsidRDefault="00000000">
      <w:r>
        <w:t>Exhibits not needed in the main narrative.</w:t>
      </w:r>
    </w:p>
    <w:p w14:paraId="22BABBC0" w14:textId="77777777" w:rsidR="0067237E" w:rsidRDefault="00000000">
      <w:pPr>
        <w:jc w:val="center"/>
      </w:pPr>
      <w:r>
        <w:rPr>
          <w:noProof/>
        </w:rPr>
        <w:drawing>
          <wp:inline distT="0" distB="0" distL="0" distR="0" wp14:anchorId="2BB79537" wp14:editId="3CE426D6">
            <wp:extent cx="5577840" cy="29960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996083"/>
                    </a:xfrm>
                    <a:prstGeom prst="rect">
                      <a:avLst/>
                    </a:prstGeom>
                  </pic:spPr>
                </pic:pic>
              </a:graphicData>
            </a:graphic>
          </wp:inline>
        </w:drawing>
      </w:r>
    </w:p>
    <w:p w14:paraId="70C16EAB" w14:textId="1A5BE6B8" w:rsidR="0067237E" w:rsidRDefault="00000000">
      <w:pPr>
        <w:pStyle w:val="af7"/>
      </w:pPr>
      <w:r>
        <w:t xml:space="preserve">Figure </w:t>
      </w:r>
      <w:fldSimple w:instr=" SEQ Figure \* ARABIC ">
        <w:r w:rsidR="00EC0521">
          <w:rPr>
            <w:noProof/>
          </w:rPr>
          <w:t>13</w:t>
        </w:r>
      </w:fldSimple>
      <w:r>
        <w:t>: Sector weights over time for the Combined Minimum-Variance fund, the single-fund version of the across-methods exhibit.</w:t>
      </w:r>
    </w:p>
    <w:p w14:paraId="47BF969F" w14:textId="20F7D4DF" w:rsidR="0067237E" w:rsidRDefault="00000000">
      <w:pPr>
        <w:pStyle w:val="af7"/>
      </w:pPr>
      <w:r>
        <w:t xml:space="preserve">Table </w:t>
      </w:r>
      <w:fldSimple w:instr=" SEQ Table \* ARABIC ">
        <w:r w:rsidR="00EC0521">
          <w:rPr>
            <w:noProof/>
          </w:rPr>
          <w:t>11</w:t>
        </w:r>
      </w:fldSimple>
      <w:r>
        <w:t>: Full rebalance-frequency study: four schedules across the four combined funds, gross and net of 10 bp of one-way turnover.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77DE930F"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C023F62" w14:textId="77777777" w:rsidR="0067237E" w:rsidRDefault="00000000">
            <w:r>
              <w:rPr>
                <w:sz w:val="16"/>
              </w:rPr>
              <w:t>method</w:t>
            </w:r>
          </w:p>
        </w:tc>
        <w:tc>
          <w:tcPr>
            <w:tcW w:w="1505" w:type="dxa"/>
          </w:tcPr>
          <w:p w14:paraId="1D46627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frequency</w:t>
            </w:r>
          </w:p>
        </w:tc>
        <w:tc>
          <w:tcPr>
            <w:tcW w:w="1505" w:type="dxa"/>
          </w:tcPr>
          <w:p w14:paraId="303CADE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rebalances</w:t>
            </w:r>
          </w:p>
        </w:tc>
        <w:tc>
          <w:tcPr>
            <w:tcW w:w="1505" w:type="dxa"/>
          </w:tcPr>
          <w:p w14:paraId="22E91B2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63C2F6D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505" w:type="dxa"/>
          </w:tcPr>
          <w:p w14:paraId="498469E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annual turnover</w:t>
            </w:r>
          </w:p>
        </w:tc>
      </w:tr>
      <w:tr w:rsidR="0067237E" w14:paraId="5ACD0FE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0BC9ABD" w14:textId="77777777" w:rsidR="0067237E" w:rsidRDefault="00000000">
            <w:r>
              <w:rPr>
                <w:sz w:val="16"/>
              </w:rPr>
              <w:t>Equal-Weight</w:t>
            </w:r>
          </w:p>
        </w:tc>
        <w:tc>
          <w:tcPr>
            <w:tcW w:w="1505" w:type="dxa"/>
          </w:tcPr>
          <w:p w14:paraId="4E891AE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7CD9EC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4F4E24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0.769</w:t>
            </w:r>
          </w:p>
        </w:tc>
        <w:tc>
          <w:tcPr>
            <w:tcW w:w="1505" w:type="dxa"/>
          </w:tcPr>
          <w:p w14:paraId="03DFCA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505" w:type="dxa"/>
          </w:tcPr>
          <w:p w14:paraId="3B66335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0.930</w:t>
            </w:r>
          </w:p>
        </w:tc>
      </w:tr>
      <w:tr w:rsidR="0067237E" w14:paraId="43C18CF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7E74B8A" w14:textId="77777777" w:rsidR="0067237E" w:rsidRDefault="00000000">
            <w:r>
              <w:rPr>
                <w:sz w:val="16"/>
              </w:rPr>
              <w:t>Equal-Weight</w:t>
            </w:r>
          </w:p>
        </w:tc>
        <w:tc>
          <w:tcPr>
            <w:tcW w:w="1505" w:type="dxa"/>
          </w:tcPr>
          <w:p w14:paraId="4F4998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557E1F8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28CA28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0.794</w:t>
            </w:r>
          </w:p>
        </w:tc>
        <w:tc>
          <w:tcPr>
            <w:tcW w:w="1505" w:type="dxa"/>
          </w:tcPr>
          <w:p w14:paraId="484349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0.791</w:t>
            </w:r>
          </w:p>
        </w:tc>
        <w:tc>
          <w:tcPr>
            <w:tcW w:w="1505" w:type="dxa"/>
          </w:tcPr>
          <w:p w14:paraId="587962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0.692</w:t>
            </w:r>
          </w:p>
        </w:tc>
      </w:tr>
      <w:tr w:rsidR="0067237E" w14:paraId="3127E0B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349E7B9" w14:textId="77777777" w:rsidR="0067237E" w:rsidRDefault="00000000">
            <w:r>
              <w:rPr>
                <w:sz w:val="16"/>
              </w:rPr>
              <w:t>Equal-Weight</w:t>
            </w:r>
          </w:p>
        </w:tc>
        <w:tc>
          <w:tcPr>
            <w:tcW w:w="1505" w:type="dxa"/>
          </w:tcPr>
          <w:p w14:paraId="754B98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7014D72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6A8EE86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0777A82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0.759</w:t>
            </w:r>
          </w:p>
        </w:tc>
        <w:tc>
          <w:tcPr>
            <w:tcW w:w="1505" w:type="dxa"/>
          </w:tcPr>
          <w:p w14:paraId="147A41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r>
      <w:tr w:rsidR="0067237E" w14:paraId="6289BD4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1E5B496" w14:textId="77777777" w:rsidR="0067237E" w:rsidRDefault="00000000">
            <w:r>
              <w:rPr>
                <w:sz w:val="16"/>
              </w:rPr>
              <w:t>Equal-Weight</w:t>
            </w:r>
          </w:p>
        </w:tc>
        <w:tc>
          <w:tcPr>
            <w:tcW w:w="1505" w:type="dxa"/>
          </w:tcPr>
          <w:p w14:paraId="444DB6F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7471A8E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4768969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0.725</w:t>
            </w:r>
          </w:p>
        </w:tc>
        <w:tc>
          <w:tcPr>
            <w:tcW w:w="1505" w:type="dxa"/>
          </w:tcPr>
          <w:p w14:paraId="126599B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0.724</w:t>
            </w:r>
          </w:p>
        </w:tc>
        <w:tc>
          <w:tcPr>
            <w:tcW w:w="1505" w:type="dxa"/>
          </w:tcPr>
          <w:p w14:paraId="5EC5BA5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0.270</w:t>
            </w:r>
          </w:p>
        </w:tc>
      </w:tr>
      <w:tr w:rsidR="0067237E" w14:paraId="7007A8C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92EE5F8" w14:textId="77777777" w:rsidR="0067237E" w:rsidRDefault="00000000">
            <w:r>
              <w:rPr>
                <w:sz w:val="16"/>
              </w:rPr>
              <w:t>Minimum-Variance</w:t>
            </w:r>
          </w:p>
        </w:tc>
        <w:tc>
          <w:tcPr>
            <w:tcW w:w="1505" w:type="dxa"/>
          </w:tcPr>
          <w:p w14:paraId="7739362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68DE846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3B8B2DC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0.520</w:t>
            </w:r>
          </w:p>
        </w:tc>
        <w:tc>
          <w:tcPr>
            <w:tcW w:w="1505" w:type="dxa"/>
          </w:tcPr>
          <w:p w14:paraId="6567FF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0.492</w:t>
            </w:r>
          </w:p>
        </w:tc>
        <w:tc>
          <w:tcPr>
            <w:tcW w:w="1505" w:type="dxa"/>
          </w:tcPr>
          <w:p w14:paraId="61C224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3.459</w:t>
            </w:r>
          </w:p>
        </w:tc>
      </w:tr>
      <w:tr w:rsidR="0067237E" w14:paraId="668D38E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0E2660E" w14:textId="77777777" w:rsidR="0067237E" w:rsidRDefault="00000000">
            <w:r>
              <w:rPr>
                <w:sz w:val="16"/>
              </w:rPr>
              <w:t>Minimum-Variance</w:t>
            </w:r>
          </w:p>
        </w:tc>
        <w:tc>
          <w:tcPr>
            <w:tcW w:w="1505" w:type="dxa"/>
          </w:tcPr>
          <w:p w14:paraId="387214D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0B96F37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390626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0.499</w:t>
            </w:r>
          </w:p>
        </w:tc>
        <w:tc>
          <w:tcPr>
            <w:tcW w:w="1505" w:type="dxa"/>
          </w:tcPr>
          <w:p w14:paraId="3C09280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4652838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2.497</w:t>
            </w:r>
          </w:p>
        </w:tc>
      </w:tr>
      <w:tr w:rsidR="0067237E" w14:paraId="20C2463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CC9B62" w14:textId="77777777" w:rsidR="0067237E" w:rsidRDefault="00000000">
            <w:r>
              <w:rPr>
                <w:sz w:val="16"/>
              </w:rPr>
              <w:t>Minimum-Variance</w:t>
            </w:r>
          </w:p>
        </w:tc>
        <w:tc>
          <w:tcPr>
            <w:tcW w:w="1505" w:type="dxa"/>
          </w:tcPr>
          <w:p w14:paraId="0E71D18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3F80C4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4A03DCA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1134EB2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0.463</w:t>
            </w:r>
          </w:p>
        </w:tc>
        <w:tc>
          <w:tcPr>
            <w:tcW w:w="1505" w:type="dxa"/>
          </w:tcPr>
          <w:p w14:paraId="362E14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1.840</w:t>
            </w:r>
          </w:p>
        </w:tc>
      </w:tr>
      <w:tr w:rsidR="0067237E" w14:paraId="14040B0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80CED12" w14:textId="77777777" w:rsidR="0067237E" w:rsidRDefault="00000000">
            <w:r>
              <w:rPr>
                <w:sz w:val="16"/>
              </w:rPr>
              <w:t>Minimum-Variance</w:t>
            </w:r>
          </w:p>
        </w:tc>
        <w:tc>
          <w:tcPr>
            <w:tcW w:w="1505" w:type="dxa"/>
          </w:tcPr>
          <w:p w14:paraId="02EFA8C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3F29A61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3BD5A01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0.360</w:t>
            </w:r>
          </w:p>
        </w:tc>
        <w:tc>
          <w:tcPr>
            <w:tcW w:w="1505" w:type="dxa"/>
          </w:tcPr>
          <w:p w14:paraId="0D6C6EA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0.352</w:t>
            </w:r>
          </w:p>
        </w:tc>
        <w:tc>
          <w:tcPr>
            <w:tcW w:w="1505" w:type="dxa"/>
          </w:tcPr>
          <w:p w14:paraId="13DCAD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1.164</w:t>
            </w:r>
          </w:p>
        </w:tc>
      </w:tr>
      <w:tr w:rsidR="0067237E" w14:paraId="0DBBACC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A27F3EA" w14:textId="77777777" w:rsidR="0067237E" w:rsidRDefault="00000000">
            <w:r>
              <w:rPr>
                <w:sz w:val="16"/>
              </w:rPr>
              <w:t>Maximum-Sharpe</w:t>
            </w:r>
          </w:p>
        </w:tc>
        <w:tc>
          <w:tcPr>
            <w:tcW w:w="1505" w:type="dxa"/>
          </w:tcPr>
          <w:p w14:paraId="69C559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52FB3F9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0BC40DD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0.971</w:t>
            </w:r>
          </w:p>
        </w:tc>
        <w:tc>
          <w:tcPr>
            <w:tcW w:w="1505" w:type="dxa"/>
          </w:tcPr>
          <w:p w14:paraId="7B54374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0.939</w:t>
            </w:r>
          </w:p>
        </w:tc>
        <w:tc>
          <w:tcPr>
            <w:tcW w:w="1505" w:type="dxa"/>
          </w:tcPr>
          <w:p w14:paraId="68D9FC9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7.669</w:t>
            </w:r>
          </w:p>
        </w:tc>
      </w:tr>
      <w:tr w:rsidR="0067237E" w14:paraId="0BE03BE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3E04786" w14:textId="77777777" w:rsidR="0067237E" w:rsidRDefault="00000000">
            <w:r>
              <w:rPr>
                <w:sz w:val="16"/>
              </w:rPr>
              <w:t>Maximum-Sharpe</w:t>
            </w:r>
          </w:p>
        </w:tc>
        <w:tc>
          <w:tcPr>
            <w:tcW w:w="1505" w:type="dxa"/>
          </w:tcPr>
          <w:p w14:paraId="7E24DB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671279D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4AD8B92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0.937</w:t>
            </w:r>
          </w:p>
        </w:tc>
        <w:tc>
          <w:tcPr>
            <w:tcW w:w="1505" w:type="dxa"/>
          </w:tcPr>
          <w:p w14:paraId="774489D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1B6850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5.531</w:t>
            </w:r>
          </w:p>
        </w:tc>
      </w:tr>
      <w:tr w:rsidR="0067237E" w14:paraId="07CBA2A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467F71F" w14:textId="77777777" w:rsidR="0067237E" w:rsidRDefault="00000000">
            <w:r>
              <w:rPr>
                <w:sz w:val="16"/>
              </w:rPr>
              <w:t>Maximum-</w:t>
            </w:r>
            <w:r>
              <w:rPr>
                <w:sz w:val="16"/>
              </w:rPr>
              <w:lastRenderedPageBreak/>
              <w:t>Sharpe</w:t>
            </w:r>
          </w:p>
        </w:tc>
        <w:tc>
          <w:tcPr>
            <w:tcW w:w="1505" w:type="dxa"/>
          </w:tcPr>
          <w:p w14:paraId="13803C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monthly</w:t>
            </w:r>
          </w:p>
        </w:tc>
        <w:tc>
          <w:tcPr>
            <w:tcW w:w="1505" w:type="dxa"/>
          </w:tcPr>
          <w:p w14:paraId="398C85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5EF41E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5640D36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0.966</w:t>
            </w:r>
          </w:p>
        </w:tc>
        <w:tc>
          <w:tcPr>
            <w:tcW w:w="1505" w:type="dxa"/>
          </w:tcPr>
          <w:p w14:paraId="0FFA138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3.926</w:t>
            </w:r>
          </w:p>
        </w:tc>
      </w:tr>
      <w:tr w:rsidR="0067237E" w14:paraId="5D79158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A2B58CD" w14:textId="77777777" w:rsidR="0067237E" w:rsidRDefault="00000000">
            <w:r>
              <w:rPr>
                <w:sz w:val="16"/>
              </w:rPr>
              <w:t>Maximum-Sharpe</w:t>
            </w:r>
          </w:p>
        </w:tc>
        <w:tc>
          <w:tcPr>
            <w:tcW w:w="1505" w:type="dxa"/>
          </w:tcPr>
          <w:p w14:paraId="5BFA878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352E958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572AE7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0.857</w:t>
            </w:r>
          </w:p>
        </w:tc>
        <w:tc>
          <w:tcPr>
            <w:tcW w:w="1505" w:type="dxa"/>
          </w:tcPr>
          <w:p w14:paraId="2408D7A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0.850</w:t>
            </w:r>
          </w:p>
        </w:tc>
        <w:tc>
          <w:tcPr>
            <w:tcW w:w="1505" w:type="dxa"/>
          </w:tcPr>
          <w:p w14:paraId="0246495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2.078</w:t>
            </w:r>
          </w:p>
        </w:tc>
      </w:tr>
      <w:tr w:rsidR="0067237E" w14:paraId="4A20856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93BC459" w14:textId="77777777" w:rsidR="0067237E" w:rsidRDefault="00000000">
            <w:r>
              <w:rPr>
                <w:sz w:val="16"/>
              </w:rPr>
              <w:t>Risk Parity</w:t>
            </w:r>
          </w:p>
        </w:tc>
        <w:tc>
          <w:tcPr>
            <w:tcW w:w="1505" w:type="dxa"/>
          </w:tcPr>
          <w:p w14:paraId="54E84E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6F2482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66AFCC9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0.902</w:t>
            </w:r>
          </w:p>
        </w:tc>
        <w:tc>
          <w:tcPr>
            <w:tcW w:w="1505" w:type="dxa"/>
          </w:tcPr>
          <w:p w14:paraId="014846A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0.896</w:t>
            </w:r>
          </w:p>
        </w:tc>
        <w:tc>
          <w:tcPr>
            <w:tcW w:w="1505" w:type="dxa"/>
          </w:tcPr>
          <w:p w14:paraId="4CCC067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0.905</w:t>
            </w:r>
          </w:p>
        </w:tc>
      </w:tr>
      <w:tr w:rsidR="0067237E" w14:paraId="7F9D657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CAAAFFC" w14:textId="77777777" w:rsidR="0067237E" w:rsidRDefault="00000000">
            <w:r>
              <w:rPr>
                <w:sz w:val="16"/>
              </w:rPr>
              <w:t>Risk Parity</w:t>
            </w:r>
          </w:p>
        </w:tc>
        <w:tc>
          <w:tcPr>
            <w:tcW w:w="1505" w:type="dxa"/>
          </w:tcPr>
          <w:p w14:paraId="1B2E422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58AC58F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6DEA9B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0720C59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0.911</w:t>
            </w:r>
          </w:p>
        </w:tc>
        <w:tc>
          <w:tcPr>
            <w:tcW w:w="1505" w:type="dxa"/>
          </w:tcPr>
          <w:p w14:paraId="0F4906F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0.665</w:t>
            </w:r>
          </w:p>
        </w:tc>
      </w:tr>
      <w:tr w:rsidR="0067237E" w14:paraId="4CDEC21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44B1685" w14:textId="77777777" w:rsidR="0067237E" w:rsidRDefault="00000000">
            <w:r>
              <w:rPr>
                <w:sz w:val="16"/>
              </w:rPr>
              <w:t>Risk Parity</w:t>
            </w:r>
          </w:p>
        </w:tc>
        <w:tc>
          <w:tcPr>
            <w:tcW w:w="1505" w:type="dxa"/>
          </w:tcPr>
          <w:p w14:paraId="5FABC9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5C5678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7C6409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24D482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0.885</w:t>
            </w:r>
          </w:p>
        </w:tc>
        <w:tc>
          <w:tcPr>
            <w:tcW w:w="1505" w:type="dxa"/>
          </w:tcPr>
          <w:p w14:paraId="07AE82D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0.456</w:t>
            </w:r>
          </w:p>
        </w:tc>
      </w:tr>
      <w:tr w:rsidR="0067237E" w14:paraId="1E9D4E6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8C968A4" w14:textId="77777777" w:rsidR="0067237E" w:rsidRDefault="00000000">
            <w:r>
              <w:rPr>
                <w:sz w:val="16"/>
              </w:rPr>
              <w:t>Risk Parity</w:t>
            </w:r>
          </w:p>
        </w:tc>
        <w:tc>
          <w:tcPr>
            <w:tcW w:w="1505" w:type="dxa"/>
          </w:tcPr>
          <w:p w14:paraId="01C025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4369D71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4E6D622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0.828</w:t>
            </w:r>
          </w:p>
        </w:tc>
        <w:tc>
          <w:tcPr>
            <w:tcW w:w="1505" w:type="dxa"/>
          </w:tcPr>
          <w:p w14:paraId="555C3A8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0.827</w:t>
            </w:r>
          </w:p>
        </w:tc>
        <w:tc>
          <w:tcPr>
            <w:tcW w:w="1505" w:type="dxa"/>
          </w:tcPr>
          <w:p w14:paraId="4E3D3EC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0.283</w:t>
            </w:r>
          </w:p>
        </w:tc>
      </w:tr>
    </w:tbl>
    <w:p w14:paraId="13D67D0C" w14:textId="77777777" w:rsidR="00AA7ECC" w:rsidRDefault="00AA7ECC"/>
    <w:p w14:paraId="2687F9D9" w14:textId="77777777" w:rsidR="0067237E" w:rsidRDefault="00000000">
      <w:pPr>
        <w:pStyle w:val="21"/>
      </w:pPr>
      <w:bookmarkStart w:id="19" w:name="_Toc237449985"/>
      <w:r>
        <w:t>Appendix C - The figure design system</w:t>
      </w:r>
      <w:bookmarkEnd w:id="19"/>
    </w:p>
    <w:p w14:paraId="4988AE0F" w14:textId="77777777" w:rsidR="0067237E" w:rsidRDefault="00000000">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 The requirement that categorical series stay separable under simulated colour-blind vision, rather than only under normal vision, follows the colour-universal-design guidance of Okabe and Ito (2008).</w:t>
      </w:r>
    </w:p>
    <w:p w14:paraId="1B8A4015" w14:textId="77777777" w:rsidR="0067237E" w:rsidRDefault="00000000">
      <w:r>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p w14:paraId="21C915CF" w14:textId="77777777" w:rsidR="003A717B" w:rsidRDefault="00000000">
      <w:pPr>
        <w:pStyle w:val="21"/>
      </w:pPr>
      <w:bookmarkStart w:id="20" w:name="_Toc237449986"/>
      <w:r>
        <w:t>Appendix D - Rolling against expanding estimation windows</w:t>
      </w:r>
      <w:bookmarkEnd w:id="20"/>
    </w:p>
    <w:p w14:paraId="3A56782C" w14:textId="77777777" w:rsidR="003A717B" w:rsidRDefault="00000000">
      <w:r>
        <w:t>Section 2 argues the estimation sample is too thin, which invites the question of why a longer one is not used. Each fund was therefore re-run with an expanding window that starts at the first observation instead of 252 days back, everything else unchanged. More history means less estimation noise but a longer memory of a regime that may have ended, and the two pull against each other. On equities, where the regime is comparatively stable, the extra data wins: minimum variance gains +0.110 and maximum Sharpe +0.090, while risk parity, which reads only the diagonal, is unmoved (-0.006). On the combined universe the memory costs more than the data is worth: Combined Maximum-Sharpe loses 0.583 of a Sharpe point, because an expanding window carries the 2020-21 crypto rally forward and keeps overweighting crypto into the 2022 drawdown. The rolling window is kept because the combined fund is the product. The main finding is unaffected either way: equal weighting at 0.819 still beats every optimised equity fund under both window types.</w:t>
      </w:r>
    </w:p>
    <w:p w14:paraId="224CFEE3" w14:textId="51BD6BAC" w:rsidR="003A717B" w:rsidRDefault="00000000">
      <w:pPr>
        <w:pStyle w:val="af7"/>
      </w:pPr>
      <w:r>
        <w:t xml:space="preserve">Table </w:t>
      </w:r>
      <w:fldSimple w:instr=" SEQ Table \* ARABIC ">
        <w:r w:rsidR="00EC0521">
          <w:rPr>
            <w:noProof/>
          </w:rPr>
          <w:t>12</w:t>
        </w:r>
      </w:fldSimple>
      <w:r>
        <w:t>: Sharpe ratio under a rolling 252-day window against an expanding window, out of sample.</w:t>
      </w:r>
    </w:p>
    <w:tbl>
      <w:tblPr>
        <w:tblStyle w:val="-11"/>
        <w:tblW w:w="0" w:type="auto"/>
        <w:tblLook w:val="04A0" w:firstRow="1" w:lastRow="0" w:firstColumn="1" w:lastColumn="0" w:noHBand="0" w:noVBand="1"/>
      </w:tblPr>
      <w:tblGrid>
        <w:gridCol w:w="1806"/>
        <w:gridCol w:w="1806"/>
        <w:gridCol w:w="1806"/>
        <w:gridCol w:w="1806"/>
        <w:gridCol w:w="1806"/>
      </w:tblGrid>
      <w:tr w:rsidR="003A717B" w14:paraId="2D6A2781" w14:textId="77777777" w:rsidTr="003A71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EDB0834" w14:textId="77777777" w:rsidR="003A717B" w:rsidRDefault="00000000">
            <w:r>
              <w:rPr>
                <w:sz w:val="16"/>
              </w:rPr>
              <w:t>Family</w:t>
            </w:r>
          </w:p>
        </w:tc>
        <w:tc>
          <w:tcPr>
            <w:tcW w:w="1806" w:type="dxa"/>
          </w:tcPr>
          <w:p w14:paraId="33D6A682"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806" w:type="dxa"/>
          </w:tcPr>
          <w:p w14:paraId="4CBE8731"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Rolling</w:t>
            </w:r>
          </w:p>
        </w:tc>
        <w:tc>
          <w:tcPr>
            <w:tcW w:w="1806" w:type="dxa"/>
          </w:tcPr>
          <w:p w14:paraId="445544F5"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Expanding</w:t>
            </w:r>
          </w:p>
        </w:tc>
        <w:tc>
          <w:tcPr>
            <w:tcW w:w="1806" w:type="dxa"/>
          </w:tcPr>
          <w:p w14:paraId="164342E6"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Change</w:t>
            </w:r>
          </w:p>
        </w:tc>
      </w:tr>
      <w:tr w:rsidR="003A717B" w14:paraId="541BEB1F"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C7A514F" w14:textId="77777777" w:rsidR="003A717B" w:rsidRDefault="00000000">
            <w:r>
              <w:rPr>
                <w:sz w:val="16"/>
              </w:rPr>
              <w:t>Equity</w:t>
            </w:r>
          </w:p>
        </w:tc>
        <w:tc>
          <w:tcPr>
            <w:tcW w:w="1806" w:type="dxa"/>
          </w:tcPr>
          <w:p w14:paraId="5B8E2E8C"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806" w:type="dxa"/>
          </w:tcPr>
          <w:p w14:paraId="789C8B72"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289E8568"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0.589</w:t>
            </w:r>
          </w:p>
        </w:tc>
        <w:tc>
          <w:tcPr>
            <w:tcW w:w="1806" w:type="dxa"/>
          </w:tcPr>
          <w:p w14:paraId="6470BD52"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+0.110</w:t>
            </w:r>
          </w:p>
        </w:tc>
      </w:tr>
      <w:tr w:rsidR="003A717B" w14:paraId="426F52D5"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E17F986" w14:textId="77777777" w:rsidR="003A717B" w:rsidRDefault="00000000">
            <w:r>
              <w:rPr>
                <w:sz w:val="16"/>
              </w:rPr>
              <w:t>Equity</w:t>
            </w:r>
          </w:p>
        </w:tc>
        <w:tc>
          <w:tcPr>
            <w:tcW w:w="1806" w:type="dxa"/>
          </w:tcPr>
          <w:p w14:paraId="08CC6DCA"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806" w:type="dxa"/>
          </w:tcPr>
          <w:p w14:paraId="259C8546"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00B18C53"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0.663</w:t>
            </w:r>
          </w:p>
        </w:tc>
        <w:tc>
          <w:tcPr>
            <w:tcW w:w="1806" w:type="dxa"/>
          </w:tcPr>
          <w:p w14:paraId="366100FA"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r>
      <w:tr w:rsidR="003A717B" w14:paraId="647FF9EA"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3C99CC8" w14:textId="77777777" w:rsidR="003A717B" w:rsidRDefault="00000000">
            <w:r>
              <w:rPr>
                <w:sz w:val="16"/>
              </w:rPr>
              <w:t>Equity</w:t>
            </w:r>
          </w:p>
        </w:tc>
        <w:tc>
          <w:tcPr>
            <w:tcW w:w="1806" w:type="dxa"/>
          </w:tcPr>
          <w:p w14:paraId="2890719C"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806" w:type="dxa"/>
          </w:tcPr>
          <w:p w14:paraId="4863360D"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806" w:type="dxa"/>
          </w:tcPr>
          <w:p w14:paraId="211D7C66"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0.717</w:t>
            </w:r>
          </w:p>
        </w:tc>
        <w:tc>
          <w:tcPr>
            <w:tcW w:w="1806" w:type="dxa"/>
          </w:tcPr>
          <w:p w14:paraId="033A0935"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3A717B" w14:paraId="28C43327"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CA360AD" w14:textId="77777777" w:rsidR="003A717B" w:rsidRDefault="00000000">
            <w:r>
              <w:rPr>
                <w:sz w:val="16"/>
              </w:rPr>
              <w:t>Combined</w:t>
            </w:r>
          </w:p>
        </w:tc>
        <w:tc>
          <w:tcPr>
            <w:tcW w:w="1806" w:type="dxa"/>
          </w:tcPr>
          <w:p w14:paraId="42C08F16"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806" w:type="dxa"/>
          </w:tcPr>
          <w:p w14:paraId="703E0858"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806" w:type="dxa"/>
          </w:tcPr>
          <w:p w14:paraId="16D31181"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0.589</w:t>
            </w:r>
          </w:p>
        </w:tc>
        <w:tc>
          <w:tcPr>
            <w:tcW w:w="1806" w:type="dxa"/>
          </w:tcPr>
          <w:p w14:paraId="3A534D2B"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+0.112</w:t>
            </w:r>
          </w:p>
        </w:tc>
      </w:tr>
      <w:tr w:rsidR="003A717B" w14:paraId="28323417"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9EB326B" w14:textId="77777777" w:rsidR="003A717B" w:rsidRDefault="00000000">
            <w:r>
              <w:rPr>
                <w:sz w:val="16"/>
              </w:rPr>
              <w:t>Combined</w:t>
            </w:r>
          </w:p>
        </w:tc>
        <w:tc>
          <w:tcPr>
            <w:tcW w:w="1806" w:type="dxa"/>
          </w:tcPr>
          <w:p w14:paraId="1EF9DEC8"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806" w:type="dxa"/>
          </w:tcPr>
          <w:p w14:paraId="72E46310"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806" w:type="dxa"/>
          </w:tcPr>
          <w:p w14:paraId="3EB956CC"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0.398</w:t>
            </w:r>
          </w:p>
        </w:tc>
        <w:tc>
          <w:tcPr>
            <w:tcW w:w="1806" w:type="dxa"/>
          </w:tcPr>
          <w:p w14:paraId="67439EDB"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-0.583</w:t>
            </w:r>
          </w:p>
        </w:tc>
      </w:tr>
      <w:tr w:rsidR="003A717B" w14:paraId="335F22B9"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9052BDA" w14:textId="77777777" w:rsidR="003A717B" w:rsidRDefault="00000000">
            <w:r>
              <w:rPr>
                <w:sz w:val="16"/>
              </w:rPr>
              <w:t>Combined</w:t>
            </w:r>
          </w:p>
        </w:tc>
        <w:tc>
          <w:tcPr>
            <w:tcW w:w="1806" w:type="dxa"/>
          </w:tcPr>
          <w:p w14:paraId="46700756"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806" w:type="dxa"/>
          </w:tcPr>
          <w:p w14:paraId="52D65079"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806" w:type="dxa"/>
          </w:tcPr>
          <w:p w14:paraId="02DA10D2"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0.777</w:t>
            </w:r>
          </w:p>
        </w:tc>
        <w:tc>
          <w:tcPr>
            <w:tcW w:w="1806" w:type="dxa"/>
          </w:tcPr>
          <w:p w14:paraId="02C3FA1F"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-0.111</w:t>
            </w:r>
          </w:p>
        </w:tc>
      </w:tr>
    </w:tbl>
    <w:p w14:paraId="63C3EB2B" w14:textId="77777777" w:rsidR="003A717B" w:rsidRDefault="00000000">
      <w:r>
        <w:t xml:space="preserve">The same test doubles as a check that this backtest is correctly implemented. The course's reference project estimates on an expanding window and publishes a Sharpe ratio for every fund, and those figures differ from the ones in Section 2 - most sharply for Combined Maximum-Sharpe, 0.40 there against 0.981 here. A gap that size would normally indicate an error. Re-running these funds on the reference window instead reproduces its numbers to a mean </w:t>
      </w:r>
      <w:r>
        <w:lastRenderedPageBreak/>
        <w:t>absolute difference of 0.024, and to 0.002 on the fund where the headline figures diverge most. Equal weighting, which uses no estimation window at all, lands at 0.761 against its 0.76. The whole discrepancy is the window choice documented above, independently coded, and not a defect.</w:t>
      </w:r>
    </w:p>
    <w:p w14:paraId="6E21AC42" w14:textId="7C3768D8" w:rsidR="003A717B" w:rsidRDefault="00000000">
      <w:pPr>
        <w:pStyle w:val="af7"/>
      </w:pPr>
      <w:r>
        <w:t xml:space="preserve">Table </w:t>
      </w:r>
      <w:fldSimple w:instr=" SEQ Table \* ARABIC ">
        <w:r w:rsidR="00EC0521">
          <w:rPr>
            <w:noProof/>
          </w:rPr>
          <w:t>13</w:t>
        </w:r>
      </w:fldSimple>
      <w:r>
        <w:t>: These funds on an expanding window against the Sharpe ratios published by the course reference implementation.</w:t>
      </w:r>
    </w:p>
    <w:tbl>
      <w:tblPr>
        <w:tblStyle w:val="-11"/>
        <w:tblW w:w="0" w:type="auto"/>
        <w:tblLook w:val="04A0" w:firstRow="1" w:lastRow="0" w:firstColumn="1" w:lastColumn="0" w:noHBand="0" w:noVBand="1"/>
      </w:tblPr>
      <w:tblGrid>
        <w:gridCol w:w="2257"/>
        <w:gridCol w:w="2257"/>
        <w:gridCol w:w="2257"/>
        <w:gridCol w:w="2257"/>
      </w:tblGrid>
      <w:tr w:rsidR="003A717B" w14:paraId="277FB201" w14:textId="77777777" w:rsidTr="003A71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1CDA3F70" w14:textId="77777777" w:rsidR="003A717B" w:rsidRDefault="00000000">
            <w:r>
              <w:rPr>
                <w:sz w:val="16"/>
              </w:rPr>
              <w:t>Fund</w:t>
            </w:r>
          </w:p>
        </w:tc>
        <w:tc>
          <w:tcPr>
            <w:tcW w:w="2257" w:type="dxa"/>
          </w:tcPr>
          <w:p w14:paraId="7BC06EE5"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Reference</w:t>
            </w:r>
          </w:p>
        </w:tc>
        <w:tc>
          <w:tcPr>
            <w:tcW w:w="2257" w:type="dxa"/>
          </w:tcPr>
          <w:p w14:paraId="206B44C6"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This project, expanding</w:t>
            </w:r>
          </w:p>
        </w:tc>
        <w:tc>
          <w:tcPr>
            <w:tcW w:w="2257" w:type="dxa"/>
          </w:tcPr>
          <w:p w14:paraId="4E3A23E4"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r>
      <w:tr w:rsidR="003A717B" w14:paraId="3A236F54"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68DC9179" w14:textId="77777777" w:rsidR="003A717B" w:rsidRDefault="00000000">
            <w:r>
              <w:rPr>
                <w:sz w:val="16"/>
              </w:rPr>
              <w:t>Combined Maximum-Sharpe</w:t>
            </w:r>
          </w:p>
        </w:tc>
        <w:tc>
          <w:tcPr>
            <w:tcW w:w="2257" w:type="dxa"/>
          </w:tcPr>
          <w:p w14:paraId="70C5C93D"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0.40</w:t>
            </w:r>
          </w:p>
        </w:tc>
        <w:tc>
          <w:tcPr>
            <w:tcW w:w="2257" w:type="dxa"/>
          </w:tcPr>
          <w:p w14:paraId="6EC613C8"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0.398</w:t>
            </w:r>
          </w:p>
        </w:tc>
        <w:tc>
          <w:tcPr>
            <w:tcW w:w="2257" w:type="dxa"/>
          </w:tcPr>
          <w:p w14:paraId="3FF1CBC7"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r>
      <w:tr w:rsidR="003A717B" w14:paraId="6A942821"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7C72C1C7" w14:textId="77777777" w:rsidR="003A717B" w:rsidRDefault="00000000">
            <w:r>
              <w:rPr>
                <w:sz w:val="16"/>
              </w:rPr>
              <w:t>Combined Risk Parity</w:t>
            </w:r>
          </w:p>
        </w:tc>
        <w:tc>
          <w:tcPr>
            <w:tcW w:w="2257" w:type="dxa"/>
          </w:tcPr>
          <w:p w14:paraId="5980EE72"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0.78</w:t>
            </w:r>
          </w:p>
        </w:tc>
        <w:tc>
          <w:tcPr>
            <w:tcW w:w="2257" w:type="dxa"/>
          </w:tcPr>
          <w:p w14:paraId="42486EB2"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0.777</w:t>
            </w:r>
          </w:p>
        </w:tc>
        <w:tc>
          <w:tcPr>
            <w:tcW w:w="2257" w:type="dxa"/>
          </w:tcPr>
          <w:p w14:paraId="6FCB6FFD"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r>
      <w:tr w:rsidR="003A717B" w14:paraId="22F7956C"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50D4777E" w14:textId="77777777" w:rsidR="003A717B" w:rsidRDefault="00000000">
            <w:r>
              <w:rPr>
                <w:sz w:val="16"/>
              </w:rPr>
              <w:t>Combined Minimum-Variance</w:t>
            </w:r>
          </w:p>
        </w:tc>
        <w:tc>
          <w:tcPr>
            <w:tcW w:w="2257" w:type="dxa"/>
          </w:tcPr>
          <w:p w14:paraId="01F90022"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0.61</w:t>
            </w:r>
          </w:p>
        </w:tc>
        <w:tc>
          <w:tcPr>
            <w:tcW w:w="2257" w:type="dxa"/>
          </w:tcPr>
          <w:p w14:paraId="4886C648"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0.589</w:t>
            </w:r>
          </w:p>
        </w:tc>
        <w:tc>
          <w:tcPr>
            <w:tcW w:w="2257" w:type="dxa"/>
          </w:tcPr>
          <w:p w14:paraId="75719F42"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0.021</w:t>
            </w:r>
          </w:p>
        </w:tc>
      </w:tr>
      <w:tr w:rsidR="003A717B" w14:paraId="63FF91C3"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0F2C2009" w14:textId="77777777" w:rsidR="003A717B" w:rsidRDefault="00000000">
            <w:r>
              <w:rPr>
                <w:sz w:val="16"/>
              </w:rPr>
              <w:t>Equity Minimum-Variance</w:t>
            </w:r>
          </w:p>
        </w:tc>
        <w:tc>
          <w:tcPr>
            <w:tcW w:w="2257" w:type="dxa"/>
          </w:tcPr>
          <w:p w14:paraId="2AD5BDE8"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0.62</w:t>
            </w:r>
          </w:p>
        </w:tc>
        <w:tc>
          <w:tcPr>
            <w:tcW w:w="2257" w:type="dxa"/>
          </w:tcPr>
          <w:p w14:paraId="64E32F71"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0.589</w:t>
            </w:r>
          </w:p>
        </w:tc>
        <w:tc>
          <w:tcPr>
            <w:tcW w:w="2257" w:type="dxa"/>
          </w:tcPr>
          <w:p w14:paraId="7A9FEACC"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0.031</w:t>
            </w:r>
          </w:p>
        </w:tc>
      </w:tr>
      <w:tr w:rsidR="003A717B" w14:paraId="294EF79E"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5E87D734" w14:textId="77777777" w:rsidR="003A717B" w:rsidRDefault="00000000">
            <w:r>
              <w:rPr>
                <w:sz w:val="16"/>
              </w:rPr>
              <w:t>Equity Risk Parity</w:t>
            </w:r>
          </w:p>
        </w:tc>
        <w:tc>
          <w:tcPr>
            <w:tcW w:w="2257" w:type="dxa"/>
          </w:tcPr>
          <w:p w14:paraId="1C57DF47"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0.75</w:t>
            </w:r>
          </w:p>
        </w:tc>
        <w:tc>
          <w:tcPr>
            <w:tcW w:w="2257" w:type="dxa"/>
          </w:tcPr>
          <w:p w14:paraId="721D6428"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0.717</w:t>
            </w:r>
          </w:p>
        </w:tc>
        <w:tc>
          <w:tcPr>
            <w:tcW w:w="2257" w:type="dxa"/>
          </w:tcPr>
          <w:p w14:paraId="6C9849AA"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0.033</w:t>
            </w:r>
          </w:p>
        </w:tc>
      </w:tr>
      <w:tr w:rsidR="003A717B" w14:paraId="2F69E149"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557E41C9" w14:textId="77777777" w:rsidR="003A717B" w:rsidRDefault="00000000">
            <w:r>
              <w:rPr>
                <w:sz w:val="16"/>
              </w:rPr>
              <w:t>Equity Maximum-Sharpe</w:t>
            </w:r>
          </w:p>
        </w:tc>
        <w:tc>
          <w:tcPr>
            <w:tcW w:w="2257" w:type="dxa"/>
          </w:tcPr>
          <w:p w14:paraId="67AEB09B"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0.72</w:t>
            </w:r>
          </w:p>
        </w:tc>
        <w:tc>
          <w:tcPr>
            <w:tcW w:w="2257" w:type="dxa"/>
          </w:tcPr>
          <w:p w14:paraId="33BA1C6D"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0.663</w:t>
            </w:r>
          </w:p>
        </w:tc>
        <w:tc>
          <w:tcPr>
            <w:tcW w:w="2257" w:type="dxa"/>
          </w:tcPr>
          <w:p w14:paraId="05E14D94"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0.057</w:t>
            </w:r>
          </w:p>
        </w:tc>
      </w:tr>
    </w:tbl>
    <w:p w14:paraId="0BF4820B" w14:textId="77777777" w:rsidR="00CF5EDC" w:rsidRDefault="00CF5EDC"/>
    <w:p w14:paraId="3E2D8F47" w14:textId="77777777" w:rsidR="0067237E" w:rsidRDefault="00000000">
      <w:pPr>
        <w:pStyle w:val="21"/>
      </w:pPr>
      <w:bookmarkStart w:id="21" w:name="_Toc237449987"/>
      <w:r>
        <w:t>Appendix E - Does correcting the covariance fix the result?</w:t>
      </w:r>
      <w:bookmarkEnd w:id="21"/>
    </w:p>
    <w:p w14:paraId="74DE61DE" w14:textId="77777777" w:rsidR="0067237E" w:rsidRDefault="00000000">
      <w:r>
        <w:t>The sample-noise half of that argument is testable, so it was tested rather than asserted. Ledoit-Wolf shrinkage (Ledoit and Wolf 2004)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14:paraId="125D8201" w14:textId="77777777" w:rsidR="0067237E" w:rsidRDefault="00000000">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14:paraId="285119AF" w14:textId="77777777" w:rsidR="0067237E" w:rsidRDefault="00000000">
      <w:r>
        <w:t>It does not, however, change the conclusion. Shrunk minimum variance still reaches only 0.500 against equal weighting's 0.819. Correcting the covariance recovers part of what sample noise costs and leaves the gap intact, which is the same result DeMiguel, Garlappi and Uppal (2009) report for the estimation-error corrections they test. The second force in the ordering - an objective that does not price return - is not something a better estimator can fix.</w:t>
      </w:r>
    </w:p>
    <w:p w14:paraId="4A5326B1" w14:textId="077B8E6E" w:rsidR="0067237E" w:rsidRDefault="00000000">
      <w:pPr>
        <w:pStyle w:val="af7"/>
      </w:pPr>
      <w:r>
        <w:t xml:space="preserve">Table </w:t>
      </w:r>
      <w:fldSimple w:instr=" SEQ Table \* ARABIC ">
        <w:r w:rsidR="00EC0521">
          <w:rPr>
            <w:noProof/>
          </w:rPr>
          <w:t>14</w:t>
        </w:r>
      </w:fldSimple>
      <w:r>
        <w:t>: Each fund re-run with a Ledoit-Wolf shrunk covariance matrix against the sample covariance. Out-of-sample,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0CD2AAE0"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3001F27" w14:textId="77777777" w:rsidR="0067237E" w:rsidRDefault="00000000">
            <w:r>
              <w:rPr>
                <w:sz w:val="16"/>
              </w:rPr>
              <w:t>family</w:t>
            </w:r>
          </w:p>
        </w:tc>
        <w:tc>
          <w:tcPr>
            <w:tcW w:w="1505" w:type="dxa"/>
          </w:tcPr>
          <w:p w14:paraId="66B8069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505" w:type="dxa"/>
          </w:tcPr>
          <w:p w14:paraId="3CE2A10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shrinkage</w:t>
            </w:r>
          </w:p>
        </w:tc>
        <w:tc>
          <w:tcPr>
            <w:tcW w:w="1505" w:type="dxa"/>
          </w:tcPr>
          <w:p w14:paraId="5D4799C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1EE2344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66FCD70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assets held</w:t>
            </w:r>
          </w:p>
        </w:tc>
      </w:tr>
      <w:tr w:rsidR="0067237E" w14:paraId="5519789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8F1F9BE" w14:textId="77777777" w:rsidR="0067237E" w:rsidRDefault="00000000">
            <w:r>
              <w:rPr>
                <w:sz w:val="16"/>
              </w:rPr>
              <w:t>Equity</w:t>
            </w:r>
          </w:p>
        </w:tc>
        <w:tc>
          <w:tcPr>
            <w:tcW w:w="1505" w:type="dxa"/>
          </w:tcPr>
          <w:p w14:paraId="4606A18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076E7D2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4C4DA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505" w:type="dxa"/>
          </w:tcPr>
          <w:p w14:paraId="7EFA63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505" w:type="dxa"/>
          </w:tcPr>
          <w:p w14:paraId="66B8A83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w:t>
            </w:r>
          </w:p>
        </w:tc>
      </w:tr>
      <w:tr w:rsidR="0067237E" w14:paraId="7F3AEB4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D33AD9E" w14:textId="77777777" w:rsidR="0067237E" w:rsidRDefault="00000000">
            <w:r>
              <w:rPr>
                <w:sz w:val="16"/>
              </w:rPr>
              <w:t>Equity</w:t>
            </w:r>
          </w:p>
        </w:tc>
        <w:tc>
          <w:tcPr>
            <w:tcW w:w="1505" w:type="dxa"/>
          </w:tcPr>
          <w:p w14:paraId="529856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3946A6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6660078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0.500</w:t>
            </w:r>
          </w:p>
        </w:tc>
        <w:tc>
          <w:tcPr>
            <w:tcW w:w="1505" w:type="dxa"/>
          </w:tcPr>
          <w:p w14:paraId="0D0E4B3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78696B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w:t>
            </w:r>
          </w:p>
        </w:tc>
      </w:tr>
      <w:tr w:rsidR="0067237E" w14:paraId="5FE78C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606ABE" w14:textId="77777777" w:rsidR="0067237E" w:rsidRDefault="00000000">
            <w:r>
              <w:rPr>
                <w:sz w:val="16"/>
              </w:rPr>
              <w:t>Equity</w:t>
            </w:r>
          </w:p>
        </w:tc>
        <w:tc>
          <w:tcPr>
            <w:tcW w:w="1505" w:type="dxa"/>
          </w:tcPr>
          <w:p w14:paraId="17EBC92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4B9188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292050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57BB2C4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429EC48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7237E" w14:paraId="1C89992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0FA49BB" w14:textId="77777777" w:rsidR="0067237E" w:rsidRDefault="00000000">
            <w:r>
              <w:rPr>
                <w:sz w:val="16"/>
              </w:rPr>
              <w:t>Equity</w:t>
            </w:r>
          </w:p>
        </w:tc>
        <w:tc>
          <w:tcPr>
            <w:tcW w:w="1505" w:type="dxa"/>
          </w:tcPr>
          <w:p w14:paraId="2CEB76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602F12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08F6E26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0.587</w:t>
            </w:r>
          </w:p>
        </w:tc>
        <w:tc>
          <w:tcPr>
            <w:tcW w:w="1505" w:type="dxa"/>
          </w:tcPr>
          <w:p w14:paraId="0259238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505" w:type="dxa"/>
          </w:tcPr>
          <w:p w14:paraId="30B4A0C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7237E" w14:paraId="3C91F73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5C4BB30" w14:textId="77777777" w:rsidR="0067237E" w:rsidRDefault="00000000">
            <w:r>
              <w:rPr>
                <w:sz w:val="16"/>
              </w:rPr>
              <w:t>Equity</w:t>
            </w:r>
          </w:p>
        </w:tc>
        <w:tc>
          <w:tcPr>
            <w:tcW w:w="1505" w:type="dxa"/>
          </w:tcPr>
          <w:p w14:paraId="474E1AB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1A63EF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06E694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505" w:type="dxa"/>
          </w:tcPr>
          <w:p w14:paraId="56D33EC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0.145</w:t>
            </w:r>
          </w:p>
        </w:tc>
        <w:tc>
          <w:tcPr>
            <w:tcW w:w="1505" w:type="dxa"/>
          </w:tcPr>
          <w:p w14:paraId="011C7A7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r>
      <w:tr w:rsidR="0067237E" w14:paraId="1231336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6C62C0F" w14:textId="77777777" w:rsidR="0067237E" w:rsidRDefault="00000000">
            <w:r>
              <w:rPr>
                <w:sz w:val="16"/>
              </w:rPr>
              <w:t>Equity</w:t>
            </w:r>
          </w:p>
        </w:tc>
        <w:tc>
          <w:tcPr>
            <w:tcW w:w="1505" w:type="dxa"/>
          </w:tcPr>
          <w:p w14:paraId="3B9525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63C88D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1FF2D47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41CDD1A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0FF0567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50</w:t>
            </w:r>
          </w:p>
        </w:tc>
      </w:tr>
      <w:tr w:rsidR="0067237E" w14:paraId="1975566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48D9DAF" w14:textId="77777777" w:rsidR="0067237E" w:rsidRDefault="00000000">
            <w:r>
              <w:rPr>
                <w:sz w:val="16"/>
              </w:rPr>
              <w:t>Combined</w:t>
            </w:r>
          </w:p>
        </w:tc>
        <w:tc>
          <w:tcPr>
            <w:tcW w:w="1505" w:type="dxa"/>
          </w:tcPr>
          <w:p w14:paraId="47E6FC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0382968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43D4640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460E048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0.128</w:t>
            </w:r>
          </w:p>
        </w:tc>
        <w:tc>
          <w:tcPr>
            <w:tcW w:w="1505" w:type="dxa"/>
          </w:tcPr>
          <w:p w14:paraId="22CFD04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w:t>
            </w:r>
          </w:p>
        </w:tc>
      </w:tr>
      <w:tr w:rsidR="0067237E" w14:paraId="3D1DBCB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581ADBA" w14:textId="77777777" w:rsidR="0067237E" w:rsidRDefault="00000000">
            <w:r>
              <w:rPr>
                <w:sz w:val="16"/>
              </w:rPr>
              <w:lastRenderedPageBreak/>
              <w:t>Combined</w:t>
            </w:r>
          </w:p>
        </w:tc>
        <w:tc>
          <w:tcPr>
            <w:tcW w:w="1505" w:type="dxa"/>
          </w:tcPr>
          <w:p w14:paraId="1AF284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64CE10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5048ACC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0.536</w:t>
            </w:r>
          </w:p>
        </w:tc>
        <w:tc>
          <w:tcPr>
            <w:tcW w:w="1505" w:type="dxa"/>
          </w:tcPr>
          <w:p w14:paraId="0F1889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3B68C3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w:t>
            </w:r>
          </w:p>
        </w:tc>
      </w:tr>
      <w:tr w:rsidR="0067237E" w14:paraId="4522984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DD479E" w14:textId="77777777" w:rsidR="0067237E" w:rsidRDefault="00000000">
            <w:r>
              <w:rPr>
                <w:sz w:val="16"/>
              </w:rPr>
              <w:t>Combined</w:t>
            </w:r>
          </w:p>
        </w:tc>
        <w:tc>
          <w:tcPr>
            <w:tcW w:w="1505" w:type="dxa"/>
          </w:tcPr>
          <w:p w14:paraId="1C1146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5DC694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2632CD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05F0FEC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096A113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r>
      <w:tr w:rsidR="0067237E" w14:paraId="310CFEB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B3807CC" w14:textId="77777777" w:rsidR="0067237E" w:rsidRDefault="00000000">
            <w:r>
              <w:rPr>
                <w:sz w:val="16"/>
              </w:rPr>
              <w:t>Combined</w:t>
            </w:r>
          </w:p>
        </w:tc>
        <w:tc>
          <w:tcPr>
            <w:tcW w:w="1505" w:type="dxa"/>
          </w:tcPr>
          <w:p w14:paraId="0F9005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233220B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551E815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0.960</w:t>
            </w:r>
          </w:p>
        </w:tc>
        <w:tc>
          <w:tcPr>
            <w:tcW w:w="1505" w:type="dxa"/>
          </w:tcPr>
          <w:p w14:paraId="0E54FD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0.254</w:t>
            </w:r>
          </w:p>
        </w:tc>
        <w:tc>
          <w:tcPr>
            <w:tcW w:w="1505" w:type="dxa"/>
          </w:tcPr>
          <w:p w14:paraId="6D9CBD0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8</w:t>
            </w:r>
          </w:p>
        </w:tc>
      </w:tr>
      <w:tr w:rsidR="0067237E" w14:paraId="5349B25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A94F42B" w14:textId="77777777" w:rsidR="0067237E" w:rsidRDefault="00000000">
            <w:r>
              <w:rPr>
                <w:sz w:val="16"/>
              </w:rPr>
              <w:t>Combined</w:t>
            </w:r>
          </w:p>
        </w:tc>
        <w:tc>
          <w:tcPr>
            <w:tcW w:w="1505" w:type="dxa"/>
          </w:tcPr>
          <w:p w14:paraId="1F68043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74768F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037442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1E1DE11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0.162</w:t>
            </w:r>
          </w:p>
        </w:tc>
        <w:tc>
          <w:tcPr>
            <w:tcW w:w="1505" w:type="dxa"/>
          </w:tcPr>
          <w:p w14:paraId="7B50513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60</w:t>
            </w:r>
          </w:p>
        </w:tc>
      </w:tr>
      <w:tr w:rsidR="0067237E" w14:paraId="745AC35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D4B35A1" w14:textId="77777777" w:rsidR="0067237E" w:rsidRDefault="00000000">
            <w:r>
              <w:rPr>
                <w:sz w:val="16"/>
              </w:rPr>
              <w:t>Combined</w:t>
            </w:r>
          </w:p>
        </w:tc>
        <w:tc>
          <w:tcPr>
            <w:tcW w:w="1505" w:type="dxa"/>
          </w:tcPr>
          <w:p w14:paraId="595537A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3544FD8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32BEE13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5FD1AA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097F51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60</w:t>
            </w:r>
          </w:p>
        </w:tc>
      </w:tr>
    </w:tbl>
    <w:p w14:paraId="59054BE1" w14:textId="77777777" w:rsidR="00DA586A" w:rsidRDefault="00DA586A"/>
    <w:sectPr w:rsidR="00DA586A"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3A717B"/>
    <w:rsid w:val="00500508"/>
    <w:rsid w:val="005F5473"/>
    <w:rsid w:val="0067237E"/>
    <w:rsid w:val="007C41AC"/>
    <w:rsid w:val="00A609E4"/>
    <w:rsid w:val="00AA1D8D"/>
    <w:rsid w:val="00AA7ECC"/>
    <w:rsid w:val="00B47730"/>
    <w:rsid w:val="00CB0664"/>
    <w:rsid w:val="00CF5EDC"/>
    <w:rsid w:val="00D13CB4"/>
    <w:rsid w:val="00DA586A"/>
    <w:rsid w:val="00DD0DF7"/>
    <w:rsid w:val="00EC0521"/>
    <w:rsid w:val="00F0103B"/>
    <w:rsid w:val="00FA1BFF"/>
    <w:rsid w:val="00FA27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F94796"/>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7983</Words>
  <Characters>45504</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53381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3</cp:revision>
  <cp:lastPrinted>2026-08-12T07:59:00Z</cp:lastPrinted>
  <dcterms:created xsi:type="dcterms:W3CDTF">2026-08-12T07:59:00Z</dcterms:created>
  <dcterms:modified xsi:type="dcterms:W3CDTF">2026-08-12T07:59:00Z</dcterms:modified>
  <cp:category/>
</cp:coreProperties>
</file>