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C0000" w:sz="36"/>
        </w:pBdr>
        <w:spacing w:after="0" w:before="1800"/>
      </w:pPr>
    </w:p>
    <w:p>
      <w:pPr>
        <w:spacing w:after="60" w:before="300"/>
      </w:pPr>
      <w:r>
        <w:rPr>
          <w:rFonts w:ascii="Calibri" w:cs="Calibri" w:eastAsia="Calibri" w:hAnsi="Calibri"/>
          <w:b/>
          <w:bCs/>
          <w:color w:val="CC0000"/>
          <w:sz w:val="24"/>
          <w:szCs w:val="24"/>
        </w:rPr>
        <w:t xml:space="preserve">DAVID ECCLES SCHOOL OF BUSINESS</w:t>
      </w:r>
    </w:p>
    <w:p>
      <w:pPr>
        <w:spacing w:after="500" w:before="0"/>
      </w:pPr>
      <w:r>
        <w:rPr>
          <w:rFonts w:ascii="Calibri" w:cs="Calibri" w:eastAsia="Calibri" w:hAnsi="Calibri"/>
          <w:color w:val="6B6B6B"/>
          <w:sz w:val="20"/>
          <w:szCs w:val="20"/>
        </w:rPr>
        <w:t xml:space="preserve">FULL-TIME MBA PROGRAM</w:t>
      </w:r>
    </w:p>
    <w:p>
      <w:pPr>
        <w:spacing w:after="200"/>
      </w:pPr>
      <w:r>
        <w:rPr>
          <w:rFonts w:ascii="Georgia" w:cs="Georgia" w:eastAsia="Georgia" w:hAnsi="Georgia"/>
          <w:b/>
          <w:bCs/>
          <w:color w:val="1A1A1A"/>
          <w:sz w:val="60"/>
          <w:szCs w:val="60"/>
        </w:rPr>
        <w:t xml:space="preserve">Interview Prep Guide</w:t>
      </w:r>
    </w:p>
    <w:p>
      <w:pPr>
        <w:spacing w:after="400"/>
      </w:pPr>
      <w:r>
        <w:rPr>
          <w:rFonts w:ascii="Georgia" w:cs="Georgia" w:eastAsia="Georgia" w:hAnsi="Georgia"/>
          <w:color w:val="890000"/>
          <w:sz w:val="34"/>
          <w:szCs w:val="34"/>
        </w:rPr>
        <w:t xml:space="preserve">Student Edition</w:t>
      </w:r>
    </w:p>
    <w:p>
      <w:pPr>
        <w:spacing w:after="200" w:before="0"/>
      </w:pPr>
      <w:r>
        <w:rPr>
          <w:rFonts w:ascii="Calibri" w:cs="Calibri" w:eastAsia="Calibri" w:hAnsi="Calibri"/>
          <w:i/>
          <w:iCs/>
          <w:color w:val="6B6B6B"/>
          <w:sz w:val="26"/>
          <w:szCs w:val="26"/>
        </w:rPr>
        <w:t xml:space="preserve">Prepare evidence, not answers.</w:t>
      </w:r>
    </w:p>
    <w:p>
      <w:pPr>
        <w:spacing w:after="600" w:before="0"/>
      </w:pPr>
      <w:r>
        <w:rPr>
          <w:rFonts w:ascii="Calibri" w:cs="Calibri" w:eastAsia="Calibri" w:hAnsi="Calibri"/>
          <w:color w:val="262626"/>
          <w:sz w:val="24"/>
          <w:szCs w:val="24"/>
        </w:rPr>
        <w:t xml:space="preserve">How structured, competency-based interviews work — and how to build, practice, and deliver the evidence that scores.</w:t>
      </w:r>
    </w:p>
    <w:p>
      <w:pPr>
        <w:spacing w:after="60" w:before="0"/>
      </w:pPr>
      <w:r>
        <w:rPr>
          <w:rFonts w:ascii="Calibri" w:cs="Calibri" w:eastAsia="Calibri" w:hAnsi="Calibri"/>
          <w:color w:val="6B6B6B"/>
          <w:sz w:val="20"/>
          <w:szCs w:val="20"/>
        </w:rPr>
        <w:t xml:space="preserve">Online playbook, role explorer, retired question bank, and AI practice coach:</w:t>
      </w:r>
    </w:p>
    <w:p>
      <w:pPr>
        <w:spacing w:after="1600" w:before="0"/>
      </w:pPr>
      <w:r>
        <w:rPr>
          <w:rFonts w:ascii="Calibri" w:cs="Calibri" w:eastAsia="Calibri" w:hAnsi="Calibri"/>
          <w:color w:val="890000"/>
          <w:sz w:val="20"/>
          <w:szCs w:val="20"/>
        </w:rPr>
        <w:t xml:space="preserve">https://coryjburk.github.io/competency-interview/student_playbook.html</w:t>
      </w:r>
    </w:p>
    <w:p>
      <w:pPr>
        <w:spacing w:after="160" w:before="0"/>
      </w:pPr>
      <w:r>
        <w:rPr>
          <w:rFonts w:ascii="Calibri" w:cs="Calibri" w:eastAsia="Calibri" w:hAnsi="Calibri"/>
          <w:color w:val="6B6B6B"/>
          <w:sz w:val="20"/>
          <w:szCs w:val="20"/>
        </w:rPr>
        <w:t xml:space="preserve">University of Utah  ·  David Eccles School of Business  ·  2026</w:t>
      </w:r>
    </w:p>
    <w:p>
      <w:r>
        <w:br w:type="page"/>
      </w:r>
    </w:p>
    <w:p>
      <w:pPr>
        <w:pStyle w:val="Heading1"/>
        <w:spacing w:after="200" w:before="360"/>
      </w:pPr>
      <w:r>
        <w:rPr>
          <w:rFonts w:ascii="Georgia" w:cs="Georgia" w:eastAsia="Georgia" w:hAnsi="Georgia"/>
          <w:b/>
          <w:bCs/>
          <w:color w:val="890000"/>
          <w:sz w:val="32"/>
          <w:szCs w:val="32"/>
        </w:rPr>
        <w:t xml:space="preserve">1. Structured Interviews Are Good News for You</w:t>
      </w:r>
    </w:p>
    <w:p>
      <w:pPr>
        <w:spacing w:after="160" w:before="0"/>
      </w:pPr>
      <w:r>
        <w:rPr>
          <w:rFonts w:ascii="Calibri" w:cs="Calibri" w:eastAsia="Calibri" w:hAnsi="Calibri"/>
          <w:color w:val="262626"/>
          <w:sz w:val="22"/>
          <w:szCs w:val="22"/>
        </w:rPr>
        <w:t xml:space="preserve">Many employers hiring Eccles MBAs — including partners using the Eccles Structured Interview Toolkit — run structured interviews: every candidate for a role gets the same questions, scored 1–4 against written behavioral anchors, discussed in a debrief that argues from evidence.</w:t>
      </w:r>
    </w:p>
    <w:p>
      <w:pPr>
        <w:spacing w:after="160" w:before="0"/>
      </w:pPr>
      <w:r>
        <w:rPr>
          <w:rFonts w:ascii="Calibri" w:cs="Calibri" w:eastAsia="Calibri" w:hAnsi="Calibri"/>
          <w:color w:val="262626"/>
          <w:sz w:val="22"/>
          <w:szCs w:val="22"/>
        </w:rPr>
        <w:t xml:space="preserve">This is good news, for a reason worth internalizing: an unstructured interview is a charm contest, and charm contests are luck. A structured interview is an evidence review — and evidence can be prepared. The candidate who wins is not the smoothest talker; it's the one who knows their own track record cold and can present it in scoreable form.</w:t>
      </w:r>
    </w:p>
    <w:p>
      <w:pPr>
        <w:spacing w:after="160"/>
      </w:pPr>
      <w:r>
        <w:rPr>
          <w:rFonts w:ascii="Calibri" w:cs="Calibri" w:eastAsia="Calibri" w:hAnsi="Calibri"/>
          <w:b/>
          <w:bCs/>
          <w:color w:val="262626"/>
          <w:sz w:val="22"/>
          <w:szCs w:val="22"/>
        </w:rPr>
        <w:t xml:space="preserve">The core mindset shift: </w:t>
      </w:r>
      <w:r>
        <w:rPr>
          <w:rFonts w:ascii="Calibri" w:cs="Calibri" w:eastAsia="Calibri" w:hAnsi="Calibri"/>
          <w:color w:val="262626"/>
          <w:sz w:val="22"/>
          <w:szCs w:val="22"/>
        </w:rPr>
        <w:t xml:space="preserve">stop preparing answers and start preparing evidence. Interviewers using this framework are trained to probe past your delivery — “what did you specifically do?”, “what was the result, in numbers?” — until they hit either real evidence or the bottom of the story. Your preparation is making sure there's something solid to hit.</w:t>
      </w:r>
    </w:p>
    <w:p>
      <w:pPr>
        <w:spacing w:after="160"/>
      </w:pPr>
      <w:r>
        <w:rPr>
          <w:rFonts w:ascii="Calibri" w:cs="Calibri" w:eastAsia="Calibri" w:hAnsi="Calibri"/>
          <w:b/>
          <w:bCs/>
          <w:color w:val="262626"/>
          <w:sz w:val="22"/>
          <w:szCs w:val="22"/>
        </w:rPr>
        <w:t xml:space="preserve">Full transparency, by design: </w:t>
      </w:r>
      <w:r>
        <w:rPr>
          <w:rFonts w:ascii="Calibri" w:cs="Calibri" w:eastAsia="Calibri" w:hAnsi="Calibri"/>
          <w:color w:val="262626"/>
          <w:sz w:val="22"/>
          <w:szCs w:val="22"/>
        </w:rPr>
        <w:t xml:space="preserve">you get the framework, the exact scoring rubric, the competencies by role, and a bank of real retired questions to practice on. What you don't get is the live question set — and that protects you too: it means your interview measures your capability, not who obtained this cycle's questions.</w:t>
      </w:r>
    </w:p>
    <w:p>
      <w:pPr>
        <w:pStyle w:val="Heading1"/>
        <w:spacing w:after="200" w:before="360"/>
      </w:pPr>
      <w:r>
        <w:rPr>
          <w:rFonts w:ascii="Georgia" w:cs="Georgia" w:eastAsia="Georgia" w:hAnsi="Georgia"/>
          <w:b/>
          <w:bCs/>
          <w:color w:val="890000"/>
          <w:sz w:val="32"/>
          <w:szCs w:val="32"/>
        </w:rPr>
        <w:t xml:space="preserve">2. The Rubric You're Scored Against</w:t>
      </w:r>
    </w:p>
    <w:p>
      <w:pPr>
        <w:spacing w:after="160" w:before="0"/>
      </w:pPr>
      <w:r>
        <w:rPr>
          <w:rFonts w:ascii="Calibri" w:cs="Calibri" w:eastAsia="Calibri" w:hAnsi="Calibri"/>
          <w:color w:val="262626"/>
          <w:sz w:val="22"/>
          <w:szCs w:val="22"/>
        </w:rPr>
        <w:t xml:space="preserve">Every answer to every question is scored on this scale. Read the anchors like a target.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7900"/>
      </w:tblGrid>
      <w:tr>
        <w:trPr>
          <w:tblHeader/>
        </w:trPr>
        <w:tc>
          <w:tcPr>
            <w:tcW w:type="dxa" w:w="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Score</w:t>
            </w:r>
          </w:p>
        </w:tc>
        <w:tc>
          <w:tcPr>
            <w:tcW w:type="dxa" w:w="1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Label</w:t>
            </w:r>
          </w:p>
        </w:tc>
        <w:tc>
          <w:tcPr>
            <w:tcW w:type="dxa" w:w="7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it sounds like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Does Not Meet</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No clear example. Vague, theoretical, or irrelevant; little ownership; can't explain impact.</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Partially Meets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but basic example. Some relevant actions; limited depth or measurable impact; the interviewer had to dig to find your role.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Meets</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Clear, relevant example. Ownership, judgment, structured thinking, named trade-offs, a credible outcome or lesson.</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Exceeds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High-complexity example with real impact. Leadership beyond formal authority; a repeatable method; you elevated others.</w:t>
            </w:r>
          </w:p>
        </w:tc>
      </w:tr>
    </w:tbl>
    <w:p>
      <w:pPr>
        <w:spacing w:after="100" w:before="0"/>
      </w:pPr>
      <w:r>
        <w:rPr>
          <w:rFonts w:ascii="Calibri" w:cs="Calibri" w:eastAsia="Calibri" w:hAnsi="Calibri"/>
          <w:color w:val="262626"/>
          <w:sz w:val="22"/>
          <w:szCs w:val="22"/>
        </w:rPr>
        <w:t xml:space="preserve"/>
      </w:r>
    </w:p>
    <w:p>
      <w:pPr>
        <w:pStyle w:val="Heading3"/>
        <w:spacing w:after="110" w:before="200"/>
      </w:pPr>
      <w:r>
        <w:rPr>
          <w:rFonts w:ascii="Calibri" w:cs="Calibri" w:eastAsia="Calibri" w:hAnsi="Calibri"/>
          <w:b/>
          <w:bCs/>
          <w:color w:val="CC0000"/>
          <w:sz w:val="23"/>
          <w:szCs w:val="23"/>
        </w:rPr>
        <w:t xml:space="preserve">What moves a score up one level</w:t>
      </w:r>
    </w:p>
    <w:p>
      <w:pPr>
        <w:pStyle w:val="ListParagraph"/>
        <w:numPr>
          <w:ilvl w:val="0"/>
          <w:numId w:val="2"/>
        </w:numPr>
        <w:spacing w:after="80"/>
      </w:pPr>
      <w:r>
        <w:rPr>
          <w:rFonts w:ascii="Calibri" w:cs="Calibri" w:eastAsia="Calibri" w:hAnsi="Calibri"/>
          <w:color w:val="262626"/>
          <w:sz w:val="22"/>
          <w:szCs w:val="22"/>
        </w:rPr>
        <w:t xml:space="preserve">2 → 3 is ownership, trade-offs, and a credible result: “I” instead of “we,” a decision you can defend, a number or a named outcome.</w:t>
      </w:r>
    </w:p>
    <w:p>
      <w:pPr>
        <w:pStyle w:val="ListParagraph"/>
        <w:numPr>
          <w:ilvl w:val="0"/>
          <w:numId w:val="2"/>
        </w:numPr>
        <w:spacing w:after="80"/>
      </w:pPr>
      <w:r>
        <w:rPr>
          <w:rFonts w:ascii="Calibri" w:cs="Calibri" w:eastAsia="Calibri" w:hAnsi="Calibri"/>
          <w:color w:val="262626"/>
          <w:sz w:val="22"/>
          <w:szCs w:val="22"/>
        </w:rPr>
        <w:t xml:space="preserve">3 → 4 is complexity, method, and lift: a genuinely hard situation, an approach you could repeat, and evidence you made others better.</w:t>
      </w:r>
    </w:p>
    <w:p>
      <w:pPr>
        <w:spacing w:after="160" w:before="0"/>
      </w:pPr>
      <w:r>
        <w:rPr>
          <w:rFonts w:ascii="Calibri" w:cs="Calibri" w:eastAsia="Calibri" w:hAnsi="Calibri"/>
          <w:color w:val="262626"/>
          <w:sz w:val="22"/>
          <w:szCs w:val="22"/>
        </w:rPr>
        <w:t xml:space="preserve">For competencies from the Eccles MBA Competency Model, interview scores map to your developmental scale: 1 → Advanced Beginner (1–2), 2 → Competent (3–5), 3 → Proficient (6–8), 4 → Expert (9–10). Your program self-assessments and employer interviews speak the same language — use your self-assessment to know which competencies need the most story-building.</w:t>
      </w:r>
    </w:p>
    <w:p>
      <w:pPr>
        <w:pStyle w:val="Heading3"/>
        <w:spacing w:after="110" w:before="200"/>
      </w:pPr>
      <w:r>
        <w:rPr>
          <w:rFonts w:ascii="Calibri" w:cs="Calibri" w:eastAsia="Calibri" w:hAnsi="Calibri"/>
          <w:b/>
          <w:bCs/>
          <w:color w:val="CC0000"/>
          <w:sz w:val="23"/>
          <w:szCs w:val="23"/>
        </w:rPr>
        <w:t xml:space="preserve">Gatekeepers and thresholds</w:t>
      </w:r>
    </w:p>
    <w:p>
      <w:pPr>
        <w:spacing w:after="160" w:before="0"/>
      </w:pPr>
      <w:r>
        <w:rPr>
          <w:rFonts w:ascii="Calibri" w:cs="Calibri" w:eastAsia="Calibri" w:hAnsi="Calibri"/>
          <w:color w:val="262626"/>
          <w:sz w:val="22"/>
          <w:szCs w:val="22"/>
        </w:rPr>
        <w:t xml:space="preserve">Each role designates 1–2 gatekeeper competencies: score a 1 on one and the candidacy ends regardless of your total. Gatekeepers are assessed twice, by different interviewers. Totals convert to percentages: 80%+ advances, 70–79% advances with discussion, below 60% does not. The practical read: identify your target role's gatekeepers (role explorer, online) and prepare your deepest evidence there first.</w:t>
      </w:r>
    </w:p>
    <w:p>
      <w:r>
        <w:br w:type="page"/>
      </w:r>
    </w:p>
    <w:p>
      <w:pPr>
        <w:pStyle w:val="Heading1"/>
        <w:spacing w:after="200" w:before="360"/>
      </w:pPr>
      <w:r>
        <w:rPr>
          <w:rFonts w:ascii="Georgia" w:cs="Georgia" w:eastAsia="Georgia" w:hAnsi="Georgia"/>
          <w:b/>
          <w:bCs/>
          <w:color w:val="890000"/>
          <w:sz w:val="32"/>
          <w:szCs w:val="32"/>
        </w:rPr>
        <w:t xml:space="preserve">3. The Four Stages, From Your Seat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4100"/>
      </w:tblGrid>
      <w:tr>
        <w:trPr>
          <w:tblHeader/>
        </w:trPr>
        <w:tc>
          <w:tcPr>
            <w:tcW w:type="dxa" w:w="2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Stage</w:t>
            </w:r>
          </w:p>
        </w:tc>
        <w:tc>
          <w:tcPr>
            <w:tcW w:type="dxa" w:w="4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happens</w:t>
            </w:r>
          </w:p>
        </w:tc>
        <w:tc>
          <w:tcPr>
            <w:tcW w:type="dxa" w:w="41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Your preparation</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1 · Initial Screen (20–30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Motivation, role clarity, one competency. Scored — not a chat.</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A two-minute answer connecting your background, this role, and what you'll do in it. Vague enthusiasm reads as a 1.</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 · Hiring Manager (45–60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Deep behavioral evidence on core competencies; first gatekeeper pass.</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Your strongest, most quantified stories for the role's top competencies.</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3 · Team / Panel (60–90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2–3 interviewers splitting competencies; often a case or simulation; second gatekeeper pass.</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Different stories than Stage 2 — interviewers compare notes; one story stretched across five questions reads as thin evidence.</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 · Final / Readiness (30–45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Values, judgment under pressure, risk re-check, closing.</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example of a hard call, honestly told — including what it cost you.</w:t>
            </w:r>
          </w:p>
        </w:tc>
      </w:tr>
    </w:tbl>
    <w:p>
      <w:pPr>
        <w:spacing w:after="100" w:before="0"/>
      </w:pPr>
      <w:r>
        <w:rPr>
          <w:rFonts w:ascii="Calibri" w:cs="Calibri" w:eastAsia="Calibri" w:hAnsi="Calibri"/>
          <w:color w:val="262626"/>
          <w:sz w:val="22"/>
          <w:szCs w:val="22"/>
        </w:rPr>
        <w:t xml:space="preserve"/>
      </w:r>
    </w:p>
    <w:p>
      <w:pPr>
        <w:pStyle w:val="Heading1"/>
        <w:spacing w:after="200" w:before="360"/>
      </w:pPr>
      <w:r>
        <w:rPr>
          <w:rFonts w:ascii="Georgia" w:cs="Georgia" w:eastAsia="Georgia" w:hAnsi="Georgia"/>
          <w:b/>
          <w:bCs/>
          <w:color w:val="890000"/>
          <w:sz w:val="32"/>
          <w:szCs w:val="32"/>
        </w:rPr>
        <w:t xml:space="preserve">4. Building Answers: STAR/CAR + R</w:t>
      </w:r>
    </w:p>
    <w:p>
      <w:pPr>
        <w:spacing w:after="160" w:before="0"/>
      </w:pPr>
      <w:r>
        <w:rPr>
          <w:rFonts w:ascii="Calibri" w:cs="Calibri" w:eastAsia="Calibri" w:hAnsi="Calibri"/>
          <w:color w:val="262626"/>
          <w:sz w:val="22"/>
          <w:szCs w:val="22"/>
        </w:rPr>
        <w:t xml:space="preserve">Structure every story in five beats. The fifth is where 3s become 4s — and most candidates skip it.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000"/>
        <w:gridCol w:w="8600"/>
      </w:tblGrid>
      <w:tr>
        <w:trPr>
          <w:tblHeader/>
        </w:trPr>
        <w:tc>
          <w:tcPr>
            <w:tcW w:type="dxa" w:w="2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Beat</w:t>
            </w:r>
          </w:p>
        </w:tc>
        <w:tc>
          <w:tcPr>
            <w:tcW w:type="dxa" w:w="86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to say</w:t>
            </w:r>
          </w:p>
        </w:tc>
      </w:tr>
      <w:tr>
        <w:tc>
          <w:tcPr>
            <w:tcW w:type="dxa" w:w="2000"/>
            <w:tcMar>
              <w:top w:type="dxa" w:w="60"/>
              <w:left w:type="dxa" w:w="100"/>
              <w:bottom w:type="dxa" w:w="60"/>
              <w:right w:type="dxa" w:w="100"/>
            </w:tcMar>
          </w:tcPr>
          <w:p>
            <w:pPr>
              <w:spacing w:after="0"/>
            </w:pPr>
            <w:r>
              <w:rPr>
                <w:rFonts w:ascii="Calibri" w:cs="Calibri" w:eastAsia="Calibri" w:hAnsi="Calibri"/>
                <w:color w:val="262626"/>
                <w:sz w:val="20"/>
                <w:szCs w:val="20"/>
              </w:rPr>
              <w:t xml:space="preserve">Situation</w:t>
            </w:r>
          </w:p>
        </w:tc>
        <w:tc>
          <w:tcPr>
            <w:tcW w:type="dxa" w:w="8600"/>
            <w:tcMar>
              <w:top w:type="dxa" w:w="60"/>
              <w:left w:type="dxa" w:w="100"/>
              <w:bottom w:type="dxa" w:w="60"/>
              <w:right w:type="dxa" w:w="100"/>
            </w:tcMar>
          </w:tcPr>
          <w:p>
            <w:pPr>
              <w:spacing w:after="0"/>
            </w:pPr>
            <w:r>
              <w:rPr>
                <w:rFonts w:ascii="Calibri" w:cs="Calibri" w:eastAsia="Calibri" w:hAnsi="Calibri"/>
                <w:color w:val="262626"/>
                <w:sz w:val="20"/>
                <w:szCs w:val="20"/>
              </w:rPr>
              <w:t xml:space="preserve">One or two sentences of context. Resist the urge to give five.</w:t>
            </w:r>
          </w:p>
        </w:tc>
      </w:tr>
      <w:tr>
        <w:tc>
          <w:tcPr>
            <w:tcW w:type="dxa" w:w="2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Task</w:t>
            </w:r>
          </w:p>
        </w:tc>
        <w:tc>
          <w:tcPr>
            <w:tcW w:type="dxa" w:w="8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specifically were responsible for — not the team's mission statement.</w:t>
            </w:r>
          </w:p>
        </w:tc>
      </w:tr>
      <w:tr>
        <w:tc>
          <w:tcPr>
            <w:tcW w:type="dxa" w:w="2000"/>
            <w:tcMar>
              <w:top w:type="dxa" w:w="60"/>
              <w:left w:type="dxa" w:w="100"/>
              <w:bottom w:type="dxa" w:w="60"/>
              <w:right w:type="dxa" w:w="100"/>
            </w:tcMar>
          </w:tcPr>
          <w:p>
            <w:pPr>
              <w:spacing w:after="0"/>
            </w:pPr>
            <w:r>
              <w:rPr>
                <w:rFonts w:ascii="Calibri" w:cs="Calibri" w:eastAsia="Calibri" w:hAnsi="Calibri"/>
                <w:color w:val="262626"/>
                <w:sz w:val="20"/>
                <w:szCs w:val="20"/>
              </w:rPr>
              <w:t xml:space="preserve">Action</w:t>
            </w:r>
          </w:p>
        </w:tc>
        <w:tc>
          <w:tcPr>
            <w:tcW w:type="dxa" w:w="8600"/>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did, in first person singular. “We” answers get probed until an “I” appears; volunteer it first.</w:t>
            </w:r>
          </w:p>
        </w:tc>
      </w:tr>
      <w:tr>
        <w:tc>
          <w:tcPr>
            <w:tcW w:type="dxa" w:w="2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Result</w:t>
            </w:r>
          </w:p>
        </w:tc>
        <w:tc>
          <w:tcPr>
            <w:tcW w:type="dxa" w:w="8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Outcome with a number where you have one. A miss honestly accounted for beats a vague win.</w:t>
            </w:r>
          </w:p>
        </w:tc>
      </w:tr>
      <w:tr>
        <w:tc>
          <w:tcPr>
            <w:tcW w:type="dxa" w:w="2000"/>
            <w:tcMar>
              <w:top w:type="dxa" w:w="60"/>
              <w:left w:type="dxa" w:w="100"/>
              <w:bottom w:type="dxa" w:w="60"/>
              <w:right w:type="dxa" w:w="100"/>
            </w:tcMar>
          </w:tcPr>
          <w:p>
            <w:pPr>
              <w:spacing w:after="0"/>
            </w:pPr>
            <w:r>
              <w:rPr>
                <w:rFonts w:ascii="Calibri" w:cs="Calibri" w:eastAsia="Calibri" w:hAnsi="Calibri"/>
                <w:color w:val="262626"/>
                <w:sz w:val="20"/>
                <w:szCs w:val="20"/>
              </w:rPr>
              <w:t xml:space="preserve">+ Reflection</w:t>
            </w:r>
          </w:p>
        </w:tc>
        <w:tc>
          <w:tcPr>
            <w:tcW w:type="dxa" w:w="8600"/>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learned and where you've applied it since. This is the “repeatable method” signal in the 4 anchor.</w:t>
            </w:r>
          </w:p>
        </w:tc>
      </w:tr>
    </w:tbl>
    <w:p>
      <w:pPr>
        <w:spacing w:after="100" w:before="0"/>
      </w:pPr>
      <w:r>
        <w:rPr>
          <w:rFonts w:ascii="Calibri" w:cs="Calibri" w:eastAsia="Calibri" w:hAnsi="Calibri"/>
          <w:color w:val="262626"/>
          <w:sz w:val="22"/>
          <w:szCs w:val="22"/>
        </w:rPr>
        <w:t xml:space="preserve"/>
      </w:r>
    </w:p>
    <w:p>
      <w:pPr>
        <w:spacing w:after="160"/>
      </w:pPr>
      <w:r>
        <w:rPr>
          <w:rFonts w:ascii="Calibri" w:cs="Calibri" w:eastAsia="Calibri" w:hAnsi="Calibri"/>
          <w:b/>
          <w:bCs/>
          <w:color w:val="262626"/>
          <w:sz w:val="22"/>
          <w:szCs w:val="22"/>
        </w:rPr>
        <w:t xml:space="preserve">On honesty: </w:t>
      </w:r>
      <w:r>
        <w:rPr>
          <w:rFonts w:ascii="Calibri" w:cs="Calibri" w:eastAsia="Calibri" w:hAnsi="Calibri"/>
          <w:color w:val="262626"/>
          <w:sz w:val="22"/>
          <w:szCs w:val="22"/>
        </w:rPr>
        <w:t xml:space="preserve">never inflate or invent. Trained interviewers probe every story from three angles, and a fabricated example collapses under “what did you do next?” — which converts a would-be 3 into a 1 plus a risk flag. A modest real story with a clear lesson outscores an impressive fake one every time, because the rubric rewards ownership and reflection, not scale.</w:t>
      </w:r>
    </w:p>
    <w:p>
      <w:pPr>
        <w:pStyle w:val="Heading1"/>
        <w:spacing w:after="200" w:before="360"/>
      </w:pPr>
      <w:r>
        <w:rPr>
          <w:rFonts w:ascii="Georgia" w:cs="Georgia" w:eastAsia="Georgia" w:hAnsi="Georgia"/>
          <w:b/>
          <w:bCs/>
          <w:color w:val="890000"/>
          <w:sz w:val="32"/>
          <w:szCs w:val="32"/>
        </w:rPr>
        <w:t xml:space="preserve">5. The Story Bank Method</w:t>
      </w:r>
    </w:p>
    <w:p>
      <w:pPr>
        <w:spacing w:after="160" w:before="0"/>
      </w:pPr>
      <w:r>
        <w:rPr>
          <w:rFonts w:ascii="Calibri" w:cs="Calibri" w:eastAsia="Calibri" w:hAnsi="Calibri"/>
          <w:color w:val="262626"/>
          <w:sz w:val="22"/>
          <w:szCs w:val="22"/>
        </w:rPr>
        <w:t xml:space="preserve">Build 8–10 stories before your first interview. Each story should serve 2–3 competencies, and together they should cover your target role's full competency map (role explorer, online). Draft them in the matrix below, then practice them out loud until the beats are automatic and the delivery is not.</w:t>
      </w:r>
    </w:p>
    <w:p>
      <w:pPr>
        <w:pStyle w:val="ListParagraph"/>
        <w:numPr>
          <w:ilvl w:val="0"/>
          <w:numId w:val="3"/>
        </w:numPr>
        <w:spacing w:after="80"/>
      </w:pPr>
      <w:r>
        <w:rPr>
          <w:rFonts w:ascii="Calibri" w:cs="Calibri" w:eastAsia="Calibri" w:hAnsi="Calibri"/>
          <w:color w:val="262626"/>
          <w:sz w:val="22"/>
          <w:szCs w:val="22"/>
        </w:rPr>
        <w:t xml:space="preserve">List your raw material: projects, turnarounds, conflicts, failures, launches, analyses — from work, the MBA, and anywhere you had real responsibility.</w:t>
      </w:r>
    </w:p>
    <w:p>
      <w:pPr>
        <w:pStyle w:val="ListParagraph"/>
        <w:numPr>
          <w:ilvl w:val="0"/>
          <w:numId w:val="3"/>
        </w:numPr>
        <w:spacing w:after="80"/>
      </w:pPr>
      <w:r>
        <w:rPr>
          <w:rFonts w:ascii="Calibri" w:cs="Calibri" w:eastAsia="Calibri" w:hAnsi="Calibri"/>
          <w:color w:val="262626"/>
          <w:sz w:val="22"/>
          <w:szCs w:val="22"/>
        </w:rPr>
        <w:t xml:space="preserve">Pick 8–10 with a genuine result or a genuine lesson. Include at least two failures or hard calls — Stage 4 runs on them.</w:t>
      </w:r>
    </w:p>
    <w:p>
      <w:pPr>
        <w:pStyle w:val="ListParagraph"/>
        <w:numPr>
          <w:ilvl w:val="0"/>
          <w:numId w:val="3"/>
        </w:numPr>
        <w:spacing w:after="80"/>
      </w:pPr>
      <w:r>
        <w:rPr>
          <w:rFonts w:ascii="Calibri" w:cs="Calibri" w:eastAsia="Calibri" w:hAnsi="Calibri"/>
          <w:color w:val="262626"/>
          <w:sz w:val="22"/>
          <w:szCs w:val="22"/>
        </w:rPr>
        <w:t xml:space="preserve">Map each story to the competencies it evidences. Fill gaps: a competency with no story is a question you can't answer.</w:t>
      </w:r>
    </w:p>
    <w:p>
      <w:pPr>
        <w:pStyle w:val="ListParagraph"/>
        <w:numPr>
          <w:ilvl w:val="0"/>
          <w:numId w:val="3"/>
        </w:numPr>
        <w:spacing w:after="80"/>
      </w:pPr>
      <w:r>
        <w:rPr>
          <w:rFonts w:ascii="Calibri" w:cs="Calibri" w:eastAsia="Calibri" w:hAnsi="Calibri"/>
          <w:color w:val="262626"/>
          <w:sz w:val="22"/>
          <w:szCs w:val="22"/>
        </w:rPr>
        <w:t xml:space="preserve">Attach one number to every story. Revenue, hours, percentage, headcount, deadline — anything true and concrete.</w:t>
      </w:r>
    </w:p>
    <w:p>
      <w:pPr>
        <w:pStyle w:val="ListParagraph"/>
        <w:numPr>
          <w:ilvl w:val="0"/>
          <w:numId w:val="3"/>
        </w:numPr>
        <w:spacing w:after="80"/>
      </w:pPr>
      <w:r>
        <w:rPr>
          <w:rFonts w:ascii="Calibri" w:cs="Calibri" w:eastAsia="Calibri" w:hAnsi="Calibri"/>
          <w:color w:val="262626"/>
          <w:sz w:val="22"/>
          <w:szCs w:val="22"/>
        </w:rPr>
        <w:t xml:space="preserve">Write the Reflection line for each: what you learned and where you've used it since.</w:t>
      </w:r>
    </w:p>
    <w:p>
      <w:pPr>
        <w:pStyle w:val="Heading3"/>
        <w:spacing w:after="110" w:before="200"/>
      </w:pPr>
      <w:r>
        <w:rPr>
          <w:rFonts w:ascii="Calibri" w:cs="Calibri" w:eastAsia="Calibri" w:hAnsi="Calibri"/>
          <w:b/>
          <w:bCs/>
          <w:color w:val="CC0000"/>
          <w:sz w:val="23"/>
          <w:szCs w:val="23"/>
        </w:rPr>
        <w:t xml:space="preserve">Story bank matrix (fill this in)</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800"/>
        <w:gridCol w:w="1700"/>
        <w:gridCol w:w="2400"/>
      </w:tblGrid>
      <w:tr>
        <w:trPr>
          <w:tblHeader/>
        </w:trPr>
        <w:tc>
          <w:tcPr>
            <w:tcW w:type="dxa" w:w="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t>
            </w:r>
          </w:p>
        </w:tc>
        <w:tc>
          <w:tcPr>
            <w:tcW w:type="dxa" w:w="32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Story (one line)</w:t>
            </w:r>
          </w:p>
        </w:tc>
        <w:tc>
          <w:tcPr>
            <w:tcW w:type="dxa" w:w="2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Competencies it serves</w:t>
            </w:r>
          </w:p>
        </w:tc>
        <w:tc>
          <w:tcPr>
            <w:tcW w:type="dxa" w:w="17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The number</w:t>
            </w:r>
          </w:p>
        </w:tc>
        <w:tc>
          <w:tcPr>
            <w:tcW w:type="dxa" w:w="24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Reflection line</w:t>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5</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6</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7</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8</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9</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10</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bl>
    <w:p>
      <w:r>
        <w:br w:type="page"/>
      </w:r>
    </w:p>
    <w:p>
      <w:pPr>
        <w:pStyle w:val="Heading1"/>
        <w:spacing w:after="200" w:before="360"/>
      </w:pPr>
      <w:r>
        <w:rPr>
          <w:rFonts w:ascii="Georgia" w:cs="Georgia" w:eastAsia="Georgia" w:hAnsi="Georgia"/>
          <w:b/>
          <w:bCs/>
          <w:color w:val="890000"/>
          <w:sz w:val="32"/>
          <w:szCs w:val="32"/>
        </w:rPr>
        <w:t xml:space="preserve">6. Calibrate Yourself: One Worked Example Per Domain</w:t>
      </w:r>
    </w:p>
    <w:p>
      <w:pPr>
        <w:spacing w:after="160" w:before="0"/>
      </w:pPr>
      <w:r>
        <w:rPr>
          <w:rFonts w:ascii="Calibri" w:cs="Calibri" w:eastAsia="Calibri" w:hAnsi="Calibri"/>
          <w:color w:val="262626"/>
          <w:sz w:val="22"/>
          <w:szCs w:val="22"/>
        </w:rPr>
        <w:t xml:space="preserve">Five real retired questions — one per Eccles domain — each with a weak answer and a strong answer sketched. Read the weak ones carefully: they are not bad answers; they are average answers, which is the point. Score yourself honestly against the difference.</w:t>
      </w:r>
    </w:p>
    <w:p>
      <w:pPr>
        <w:pStyle w:val="Heading3"/>
        <w:spacing w:after="110" w:before="200"/>
      </w:pPr>
      <w:r>
        <w:rPr>
          <w:rFonts w:ascii="Calibri" w:cs="Calibri" w:eastAsia="Calibri" w:hAnsi="Calibri"/>
          <w:b/>
          <w:bCs/>
          <w:color w:val="CC0000"/>
          <w:sz w:val="23"/>
          <w:szCs w:val="23"/>
        </w:rPr>
        <w:t xml:space="preserve">Strategic &amp; Critical Thinking — Strategic Planning</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 decision where you had to choose among several viable options. How did you evaluate them?</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“We looked at a few vendors and went with the one that had the best reviews and pricing. It worked out well — the team was happy with the choice.”</w:t>
      </w:r>
    </w:p>
    <w:p>
      <w:pPr>
        <w:spacing w:after="120" w:before="0"/>
      </w:pPr>
      <w:r>
        <w:rPr>
          <w:rFonts w:ascii="Calibri" w:cs="Calibri" w:eastAsia="Calibri" w:hAnsi="Calibri"/>
          <w:color w:val="6B6B6B"/>
          <w:sz w:val="20"/>
          <w:szCs w:val="20"/>
        </w:rPr>
        <w:t xml:space="preserve">Why it's weak: No criteria, no trade-offs, no “I,” no result. The interviewer must probe for everything. Scores 2 at best.</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“I set three criteria upfront — integration cost, support SLA, and 3-year TCO — and weighted TCO highest because our budget was fixed. Option B won on features but lost on TCO by 22%, so I recommended A and documented the trade-off. Six months in, we were 8% under budget. I've reused that criteria-first approach on two decisions since.”</w:t>
      </w:r>
    </w:p>
    <w:p>
      <w:pPr>
        <w:spacing w:after="200" w:before="0"/>
      </w:pPr>
      <w:r>
        <w:rPr>
          <w:rFonts w:ascii="Calibri" w:cs="Calibri" w:eastAsia="Calibri" w:hAnsi="Calibri"/>
          <w:color w:val="6B6B6B"/>
          <w:sz w:val="20"/>
          <w:szCs w:val="20"/>
        </w:rPr>
        <w:t xml:space="preserve">Why it scores: Explicit criteria, quantified trade-off, ownership, result, reflection. Scores 4.</w:t>
      </w:r>
    </w:p>
    <w:p>
      <w:pPr>
        <w:pStyle w:val="Heading3"/>
        <w:spacing w:after="110" w:before="200"/>
      </w:pPr>
      <w:r>
        <w:rPr>
          <w:rFonts w:ascii="Calibri" w:cs="Calibri" w:eastAsia="Calibri" w:hAnsi="Calibri"/>
          <w:b/>
          <w:bCs/>
          <w:color w:val="CC0000"/>
          <w:sz w:val="23"/>
          <w:szCs w:val="23"/>
        </w:rPr>
        <w:t xml:space="preserve">Relationship Management &amp; Teamwork — Effective Participation</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Give me an example of a team where you were not the leader. What did you contribute?</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“I'm comfortable in any role. On my capstone team I supported wherever needed and made sure things ran smoothly. We all got along really well.”</w:t>
      </w:r>
    </w:p>
    <w:p>
      <w:pPr>
        <w:spacing w:after="120" w:before="0"/>
      </w:pPr>
      <w:r>
        <w:rPr>
          <w:rFonts w:ascii="Calibri" w:cs="Calibri" w:eastAsia="Calibri" w:hAnsi="Calibri"/>
          <w:color w:val="6B6B6B"/>
          <w:sz w:val="20"/>
          <w:szCs w:val="20"/>
        </w:rPr>
        <w:t xml:space="preserve">Why it's weak: Harmony is not evidence. No specific contribution, no moment of following well.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“On my capstone, a second-year led and I deliberately took the modeling workstream. Mid-project I disagreed with her scoping call, said so once with my reasoning, and when she held the decision I committed fully — and told the team I was behind it. Her call turned out right. I learned that dissent-then-commit out loud is what actually protects a team.”</w:t>
      </w:r>
    </w:p>
    <w:p>
      <w:pPr>
        <w:spacing w:after="200" w:before="0"/>
      </w:pPr>
      <w:r>
        <w:rPr>
          <w:rFonts w:ascii="Calibri" w:cs="Calibri" w:eastAsia="Calibri" w:hAnsi="Calibri"/>
          <w:color w:val="6B6B6B"/>
          <w:sz w:val="20"/>
          <w:szCs w:val="20"/>
        </w:rPr>
        <w:t xml:space="preserve">Why it scores: Specific role, real disagreement handled well, credits the leader, reflection. Scores 4.</w:t>
      </w:r>
    </w:p>
    <w:p>
      <w:pPr>
        <w:pStyle w:val="Heading3"/>
        <w:spacing w:after="110" w:before="200"/>
      </w:pPr>
      <w:r>
        <w:rPr>
          <w:rFonts w:ascii="Calibri" w:cs="Calibri" w:eastAsia="Calibri" w:hAnsi="Calibri"/>
          <w:b/>
          <w:bCs/>
          <w:color w:val="CC0000"/>
          <w:sz w:val="23"/>
          <w:szCs w:val="23"/>
        </w:rPr>
        <w:t xml:space="preserve">Leadership &amp; Ethics — Stakeholder Management</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project with stakeholders whose interests genuinely conflicted.</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kept everyone in the loop with regular updates and made sure all sides felt heard, and eventually we got everyone on the same page.”</w:t>
      </w:r>
    </w:p>
    <w:p>
      <w:pPr>
        <w:spacing w:after="120" w:before="0"/>
      </w:pPr>
      <w:r>
        <w:rPr>
          <w:rFonts w:ascii="Calibri" w:cs="Calibri" w:eastAsia="Calibri" w:hAnsi="Calibri"/>
          <w:color w:val="6B6B6B"/>
          <w:sz w:val="20"/>
          <w:szCs w:val="20"/>
        </w:rPr>
        <w:t xml:space="preserve">Why it's weak: “Everyone ended up happy” with no trade-offs named is the classic red flag for this competency.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“Ops wanted the rollout delayed a quarter; sales had committed dates to two accounts. I mapped what each actually needed — ops feared support load, not the date — so I traded a phased rollout for a dedicated support rotation sales helped fund. Ops was still unhappy about the pace, and I told them so directly rather than pretending consensus. Both accounts renewed.”</w:t>
      </w:r>
    </w:p>
    <w:p>
      <w:pPr>
        <w:spacing w:after="200" w:before="0"/>
      </w:pPr>
      <w:r>
        <w:rPr>
          <w:rFonts w:ascii="Calibri" w:cs="Calibri" w:eastAsia="Calibri" w:hAnsi="Calibri"/>
          <w:color w:val="6B6B6B"/>
          <w:sz w:val="20"/>
          <w:szCs w:val="20"/>
        </w:rPr>
        <w:t xml:space="preserve">Why it scores: Maps interests, negotiates a visible trade, admits who stayed unhappy, result. Scores 4.</w:t>
      </w:r>
    </w:p>
    <w:p>
      <w:pPr>
        <w:pStyle w:val="Heading3"/>
        <w:spacing w:after="110" w:before="200"/>
      </w:pPr>
      <w:r>
        <w:rPr>
          <w:rFonts w:ascii="Calibri" w:cs="Calibri" w:eastAsia="Calibri" w:hAnsi="Calibri"/>
          <w:b/>
          <w:bCs/>
          <w:color w:val="CC0000"/>
          <w:sz w:val="23"/>
          <w:szCs w:val="23"/>
        </w:rPr>
        <w:t xml:space="preserve">Business Knowledge &amp; Skills — Data Analytics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an analysis you built that changed a decision.</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built a dashboard in Tableau pulling several data sources. Leadership really liked it and used it in their meetings.”</w:t>
      </w:r>
    </w:p>
    <w:p>
      <w:pPr>
        <w:spacing w:after="120" w:before="0"/>
      </w:pPr>
      <w:r>
        <w:rPr>
          <w:rFonts w:ascii="Calibri" w:cs="Calibri" w:eastAsia="Calibri" w:hAnsi="Calibri"/>
          <w:color w:val="6B6B6B"/>
          <w:sz w:val="20"/>
          <w:szCs w:val="20"/>
        </w:rPr>
        <w:t xml:space="preserve">Why it's weak: Tools named, question unnamed, decision unnamed. “They liked it” is not a changed decision.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“Marketing believed churn was price-driven. I started from the decision — renew the discount program or not — segmented churned accounts, and found 60% churned within 30 days of a support escalation; price was fourth. We killed the discount renewal and funded two support hires instead; churn fell 3 points in two quarters. The lesson I've kept: start from the decision, not the data.”</w:t>
      </w:r>
    </w:p>
    <w:p>
      <w:pPr>
        <w:spacing w:after="200" w:before="0"/>
      </w:pPr>
      <w:r>
        <w:rPr>
          <w:rFonts w:ascii="Calibri" w:cs="Calibri" w:eastAsia="Calibri" w:hAnsi="Calibri"/>
          <w:color w:val="6B6B6B"/>
          <w:sz w:val="20"/>
          <w:szCs w:val="20"/>
        </w:rPr>
        <w:t xml:space="preserve">Why it scores: Decision-first framing, contrarian finding, action taken, quantified result, reflection. Scores 4.</w:t>
      </w:r>
    </w:p>
    <w:p>
      <w:pPr>
        <w:pStyle w:val="Heading3"/>
        <w:spacing w:after="110" w:before="200"/>
      </w:pPr>
      <w:r>
        <w:rPr>
          <w:rFonts w:ascii="Calibri" w:cs="Calibri" w:eastAsia="Calibri" w:hAnsi="Calibri"/>
          <w:b/>
          <w:bCs/>
          <w:color w:val="CC0000"/>
          <w:sz w:val="23"/>
          <w:szCs w:val="23"/>
        </w:rPr>
        <w:t xml:space="preserve">Communication — Crucial Conversations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conversation you knew would be difficult but had anyway.</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“A teammate wasn't pulling their weight, so I had a talk with them and after that things improved. I believe in addressing issues directly.”</w:t>
      </w:r>
    </w:p>
    <w:p>
      <w:pPr>
        <w:spacing w:after="120" w:before="0"/>
      </w:pPr>
      <w:r>
        <w:rPr>
          <w:rFonts w:ascii="Calibri" w:cs="Calibri" w:eastAsia="Calibri" w:hAnsi="Calibri"/>
          <w:color w:val="6B6B6B"/>
          <w:sz w:val="20"/>
          <w:szCs w:val="20"/>
        </w:rPr>
        <w:t xml:space="preserve">Why it's weak: The entire conversation — the hard part — is skipped. No opening line, no reaction, no repair.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“A teammate's deliverables were slipping and the group was routing around him. I asked for 30 minutes, opened with what I'd observed — two specific misses — and asked what was going on before prescribing anything. He was dealing with a family issue he hadn't shared. We re-split the work for three weeks, and I told the team the plan without the reasons. He finished the project strong, and he's the reference who told me I should do this for a living.”</w:t>
      </w:r>
    </w:p>
    <w:p>
      <w:pPr>
        <w:spacing w:after="200" w:before="0"/>
      </w:pPr>
      <w:r>
        <w:rPr>
          <w:rFonts w:ascii="Calibri" w:cs="Calibri" w:eastAsia="Calibri" w:hAnsi="Calibri"/>
          <w:color w:val="6B6B6B"/>
          <w:sz w:val="20"/>
          <w:szCs w:val="20"/>
        </w:rPr>
        <w:t xml:space="preserve">Why it scores: Initiated early, specifics over accusations, listened first, protected dignity, durable outcome. Scores 4.</w:t>
      </w:r>
    </w:p>
    <w:p>
      <w:r>
        <w:br w:type="page"/>
      </w:r>
    </w:p>
    <w:p>
      <w:pPr>
        <w:pStyle w:val="Heading1"/>
        <w:spacing w:after="200" w:before="360"/>
      </w:pPr>
      <w:r>
        <w:rPr>
          <w:rFonts w:ascii="Georgia" w:cs="Georgia" w:eastAsia="Georgia" w:hAnsi="Georgia"/>
          <w:b/>
          <w:bCs/>
          <w:color w:val="890000"/>
          <w:sz w:val="32"/>
          <w:szCs w:val="32"/>
        </w:rPr>
        <w:t xml:space="preserve">7. Your Practice System</w:t>
      </w:r>
    </w:p>
    <w:p>
      <w:pPr>
        <w:pStyle w:val="Heading2"/>
        <w:spacing w:after="140" w:before="260"/>
      </w:pPr>
      <w:r>
        <w:rPr>
          <w:rFonts w:ascii="Georgia" w:cs="Georgia" w:eastAsia="Georgia" w:hAnsi="Georgia"/>
          <w:b/>
          <w:bCs/>
          <w:color w:val="1A1A1A"/>
          <w:sz w:val="26"/>
          <w:szCs w:val="26"/>
        </w:rPr>
        <w:t xml:space="preserve">7.1 The retired question bank</w:t>
      </w:r>
    </w:p>
    <w:p>
      <w:pPr>
        <w:spacing w:after="160" w:before="0"/>
      </w:pPr>
      <w:r>
        <w:rPr>
          <w:rFonts w:ascii="Calibri" w:cs="Calibri" w:eastAsia="Calibri" w:hAnsi="Calibri"/>
          <w:color w:val="262626"/>
          <w:sz w:val="22"/>
          <w:szCs w:val="22"/>
        </w:rPr>
        <w:t xml:space="preserve">The online playbook publishes the full retired employer question bank — 120 competency questions and 20 role screen questions, real questions rotated out of live use precisely so you can practice on them. Filter by your target role; start with the gatekeepers. Live interviews will use different questions targeting the same competencies — which is exactly why practicing the competency, not the sentence, is the whole method.</w:t>
      </w:r>
    </w:p>
    <w:p>
      <w:pPr>
        <w:spacing w:after="160" w:before="0"/>
      </w:pPr>
      <w:r>
        <w:rPr>
          <w:rFonts w:ascii="Calibri" w:cs="Calibri" w:eastAsia="Calibri" w:hAnsi="Calibri"/>
          <w:color w:val="890000"/>
          <w:sz w:val="22"/>
          <w:szCs w:val="22"/>
        </w:rPr>
        <w:t xml:space="preserve">Online: https://coryjburk.github.io/competency-interview/student_playbook.html</w:t>
      </w:r>
    </w:p>
    <w:p>
      <w:pPr>
        <w:pStyle w:val="Heading2"/>
        <w:spacing w:after="140" w:before="260"/>
      </w:pPr>
      <w:r>
        <w:rPr>
          <w:rFonts w:ascii="Georgia" w:cs="Georgia" w:eastAsia="Georgia" w:hAnsi="Georgia"/>
          <w:b/>
          <w:bCs/>
          <w:color w:val="1A1A1A"/>
          <w:sz w:val="26"/>
          <w:szCs w:val="26"/>
        </w:rPr>
        <w:t xml:space="preserve">7.2 The AI practice coach</w:t>
      </w:r>
    </w:p>
    <w:p>
      <w:pPr>
        <w:spacing w:after="160" w:before="0"/>
      </w:pPr>
      <w:r>
        <w:rPr>
          <w:rFonts w:ascii="Calibri" w:cs="Calibri" w:eastAsia="Calibri" w:hAnsi="Calibri"/>
          <w:color w:val="262626"/>
          <w:sz w:val="22"/>
          <w:szCs w:val="22"/>
        </w:rPr>
        <w:t xml:space="preserve">Every retired question has a “Practice with AI” button, and every competency has a prompt generator. Copy the prompt into Claude or another AI assistant and it will interview you, probe like a trained interviewer, score both answers on the exact rubric above, and tell you the single change that would raise each score one level. The prompt orders the AI not to flatter you — a candid 2 helps more than a kind 3.</w:t>
      </w:r>
    </w:p>
    <w:p>
      <w:pPr>
        <w:pStyle w:val="ListParagraph"/>
        <w:numPr>
          <w:ilvl w:val="0"/>
          <w:numId w:val="4"/>
        </w:numPr>
        <w:spacing w:after="80"/>
      </w:pPr>
      <w:r>
        <w:rPr>
          <w:rFonts w:ascii="Calibri" w:cs="Calibri" w:eastAsia="Calibri" w:hAnsi="Calibri"/>
          <w:color w:val="262626"/>
          <w:sz w:val="22"/>
          <w:szCs w:val="22"/>
        </w:rPr>
        <w:t xml:space="preserve">Practice out loud, not in your head. Typing an answer and delivering one are different skills.</w:t>
      </w:r>
    </w:p>
    <w:p>
      <w:pPr>
        <w:pStyle w:val="ListParagraph"/>
        <w:numPr>
          <w:ilvl w:val="0"/>
          <w:numId w:val="4"/>
        </w:numPr>
        <w:spacing w:after="80"/>
      </w:pPr>
      <w:r>
        <w:rPr>
          <w:rFonts w:ascii="Calibri" w:cs="Calibri" w:eastAsia="Calibri" w:hAnsi="Calibri"/>
          <w:color w:val="262626"/>
          <w:sz w:val="22"/>
          <w:szCs w:val="22"/>
        </w:rPr>
        <w:t xml:space="preserve">Score yourself before reading the AI's score. Calibration is the skill; the gap between your score and the rubric's is your homework.</w:t>
      </w:r>
    </w:p>
    <w:p>
      <w:pPr>
        <w:pStyle w:val="ListParagraph"/>
        <w:numPr>
          <w:ilvl w:val="0"/>
          <w:numId w:val="4"/>
        </w:numPr>
        <w:spacing w:after="80"/>
      </w:pPr>
      <w:r>
        <w:rPr>
          <w:rFonts w:ascii="Calibri" w:cs="Calibri" w:eastAsia="Calibri" w:hAnsi="Calibri"/>
          <w:color w:val="262626"/>
          <w:sz w:val="22"/>
          <w:szCs w:val="22"/>
        </w:rPr>
        <w:t xml:space="preserve">Re-run the same question after coaching. One question practiced to a 4 beats five practiced to a 2.</w:t>
      </w:r>
    </w:p>
    <w:p>
      <w:pPr>
        <w:pStyle w:val="Heading2"/>
        <w:spacing w:after="140" w:before="260"/>
      </w:pPr>
      <w:r>
        <w:rPr>
          <w:rFonts w:ascii="Georgia" w:cs="Georgia" w:eastAsia="Georgia" w:hAnsi="Georgia"/>
          <w:b/>
          <w:bCs/>
          <w:color w:val="1A1A1A"/>
          <w:sz w:val="26"/>
          <w:szCs w:val="26"/>
        </w:rPr>
        <w:t xml:space="preserve">7.3 Peer mock interviews</w:t>
      </w:r>
    </w:p>
    <w:p>
      <w:pPr>
        <w:spacing w:after="160" w:before="0"/>
      </w:pPr>
      <w:r>
        <w:rPr>
          <w:rFonts w:ascii="Calibri" w:cs="Calibri" w:eastAsia="Calibri" w:hAnsi="Calibri"/>
          <w:color w:val="262626"/>
          <w:sz w:val="22"/>
          <w:szCs w:val="22"/>
        </w:rPr>
        <w:t xml:space="preserve">Run full mock stages with a classmate: one interviews from the retired bank, one answers, both hold the rubric. Interviewer practices probing without leading (“what did you do next?” — never “so you escalated, right?”); candidate practices under real eye contact. Swap. Bring your scores to your career coach — self-assessment plus a second set of eyes is the whole method.</w:t>
      </w:r>
    </w:p>
    <w:p>
      <w:pPr>
        <w:pStyle w:val="Heading1"/>
        <w:spacing w:after="200" w:before="360"/>
      </w:pPr>
      <w:r>
        <w:rPr>
          <w:rFonts w:ascii="Georgia" w:cs="Georgia" w:eastAsia="Georgia" w:hAnsi="Georgia"/>
          <w:b/>
          <w:bCs/>
          <w:color w:val="890000"/>
          <w:sz w:val="32"/>
          <w:szCs w:val="32"/>
        </w:rPr>
        <w:t xml:space="preserve">8. Interview Day</w:t>
      </w:r>
    </w:p>
    <w:p>
      <w:pPr>
        <w:pStyle w:val="ListParagraph"/>
        <w:numPr>
          <w:ilvl w:val="0"/>
          <w:numId w:val="2"/>
        </w:numPr>
        <w:spacing w:after="80"/>
      </w:pPr>
      <w:r>
        <w:rPr>
          <w:rFonts w:ascii="Calibri" w:cs="Calibri" w:eastAsia="Calibri" w:hAnsi="Calibri"/>
          <w:color w:val="262626"/>
          <w:sz w:val="22"/>
          <w:szCs w:val="22"/>
        </w:rPr>
        <w:t xml:space="preserve">Probes are gifts. “What was your specific role?” is the interviewer offering you a path to a higher score. Answer the probe, precisely, without defensiveness.</w:t>
      </w:r>
    </w:p>
    <w:p>
      <w:pPr>
        <w:pStyle w:val="ListParagraph"/>
        <w:numPr>
          <w:ilvl w:val="0"/>
          <w:numId w:val="2"/>
        </w:numPr>
        <w:spacing w:after="80"/>
      </w:pPr>
      <w:r>
        <w:rPr>
          <w:rFonts w:ascii="Calibri" w:cs="Calibri" w:eastAsia="Calibri" w:hAnsi="Calibri"/>
          <w:color w:val="262626"/>
          <w:sz w:val="22"/>
          <w:szCs w:val="22"/>
        </w:rPr>
        <w:t xml:space="preserve">If you don't have an example, say so and offer the nearest real one: “I haven't led a pricing decision; the closest is a scoping call I made on X — useful?” Honesty reads as a signal; improvisation reads as a 1.</w:t>
      </w:r>
    </w:p>
    <w:p>
      <w:pPr>
        <w:pStyle w:val="ListParagraph"/>
        <w:numPr>
          <w:ilvl w:val="0"/>
          <w:numId w:val="2"/>
        </w:numPr>
        <w:spacing w:after="80"/>
      </w:pPr>
      <w:r>
        <w:rPr>
          <w:rFonts w:ascii="Calibri" w:cs="Calibri" w:eastAsia="Calibri" w:hAnsi="Calibri"/>
          <w:color w:val="262626"/>
          <w:sz w:val="22"/>
          <w:szCs w:val="22"/>
        </w:rPr>
        <w:t xml:space="preserve">Bring numbers on purpose. Rehearse the two or three figures per story so they arrive naturally.</w:t>
      </w:r>
    </w:p>
    <w:p>
      <w:pPr>
        <w:pStyle w:val="ListParagraph"/>
        <w:numPr>
          <w:ilvl w:val="0"/>
          <w:numId w:val="2"/>
        </w:numPr>
        <w:spacing w:after="80"/>
      </w:pPr>
      <w:r>
        <w:rPr>
          <w:rFonts w:ascii="Calibri" w:cs="Calibri" w:eastAsia="Calibri" w:hAnsi="Calibri"/>
          <w:color w:val="262626"/>
          <w:sz w:val="22"/>
          <w:szCs w:val="22"/>
        </w:rPr>
        <w:t xml:space="preserve">For situational questions (“what would you do if…”), structure out loud: name your assumptions, your first steps, and the trade-off you're accepting. They score reasoning, not the “right answer.”</w:t>
      </w:r>
    </w:p>
    <w:p>
      <w:pPr>
        <w:pStyle w:val="ListParagraph"/>
        <w:numPr>
          <w:ilvl w:val="0"/>
          <w:numId w:val="2"/>
        </w:numPr>
        <w:spacing w:after="80"/>
      </w:pPr>
      <w:r>
        <w:rPr>
          <w:rFonts w:ascii="Calibri" w:cs="Calibri" w:eastAsia="Calibri" w:hAnsi="Calibri"/>
          <w:color w:val="262626"/>
          <w:sz w:val="22"/>
          <w:szCs w:val="22"/>
        </w:rPr>
        <w:t xml:space="preserve">Use your question time. Prepared, specific questions about the role's first six months are themselves evidence of Strategic Alignment.</w:t>
      </w:r>
    </w:p>
    <w:p>
      <w:pPr>
        <w:pStyle w:val="ListParagraph"/>
        <w:numPr>
          <w:ilvl w:val="0"/>
          <w:numId w:val="2"/>
        </w:numPr>
        <w:spacing w:after="80"/>
      </w:pPr>
      <w:r>
        <w:rPr>
          <w:rFonts w:ascii="Calibri" w:cs="Calibri" w:eastAsia="Calibri" w:hAnsi="Calibri"/>
          <w:color w:val="262626"/>
          <w:sz w:val="22"/>
          <w:szCs w:val="22"/>
        </w:rPr>
        <w:t xml:space="preserve">Expect the same process as every other candidate — that's the framework working. Consistency is fairness, not coldness.</w:t>
      </w:r>
    </w:p>
    <w:p>
      <w:pPr>
        <w:pStyle w:val="Heading1"/>
        <w:spacing w:after="200" w:before="360"/>
      </w:pPr>
      <w:r>
        <w:rPr>
          <w:rFonts w:ascii="Georgia" w:cs="Georgia" w:eastAsia="Georgia" w:hAnsi="Georgia"/>
          <w:b/>
          <w:bCs/>
          <w:color w:val="890000"/>
          <w:sz w:val="32"/>
          <w:szCs w:val="32"/>
        </w:rPr>
        <w:t xml:space="preserve">9. A Note on AI Use</w:t>
      </w:r>
    </w:p>
    <w:p>
      <w:pPr>
        <w:spacing w:after="160" w:before="0"/>
      </w:pPr>
      <w:r>
        <w:rPr>
          <w:rFonts w:ascii="Calibri" w:cs="Calibri" w:eastAsia="Calibri" w:hAnsi="Calibri"/>
          <w:color w:val="262626"/>
          <w:sz w:val="22"/>
          <w:szCs w:val="22"/>
        </w:rPr>
        <w:t xml:space="preserve">Preparing with AI — practice, coaching, story refinement — is legitimate and encouraged; it's the modern equivalent of a prep book and a patient friend. Real-time AI assistance during a live interview is not: most employers prohibit it, detection is increasingly reliable, and it converts a preparation advantage into an integrity risk on a framework with an ethics gatekeeper. The line is simple: AI sharpens your evidence before the room; only you carry it into the room.</w:t>
      </w:r>
    </w:p>
    <w:p>
      <w:pPr>
        <w:pStyle w:val="Heading1"/>
        <w:spacing w:after="200" w:before="360"/>
      </w:pPr>
      <w:r>
        <w:rPr>
          <w:rFonts w:ascii="Georgia" w:cs="Georgia" w:eastAsia="Georgia" w:hAnsi="Georgia"/>
          <w:b/>
          <w:bCs/>
          <w:color w:val="890000"/>
          <w:sz w:val="32"/>
          <w:szCs w:val="32"/>
        </w:rPr>
        <w:t xml:space="preserve">10. Connect It to Your Development</w:t>
      </w:r>
    </w:p>
    <w:p>
      <w:pPr>
        <w:spacing w:after="160" w:before="0"/>
      </w:pPr>
      <w:r>
        <w:rPr>
          <w:rFonts w:ascii="Calibri" w:cs="Calibri" w:eastAsia="Calibri" w:hAnsi="Calibri"/>
          <w:color w:val="262626"/>
          <w:sz w:val="22"/>
          <w:szCs w:val="22"/>
        </w:rPr>
        <w:t xml:space="preserve">This framework runs on the same 22 competencies as your program self-assessments. Use that: your orientation and mid-program self-assessments tell you which competencies are your weakest evidence, which tells you which stories to build next. Interview preparation and competency development are the same activity viewed from two ends — and your career coach can see both.</w:t>
      </w:r>
    </w:p>
    <w:p>
      <w:pPr>
        <w:spacing w:after="160" w:before="0"/>
      </w:pPr>
      <w:r>
        <w:rPr>
          <w:rFonts w:ascii="Calibri" w:cs="Calibri" w:eastAsia="Calibri" w:hAnsi="Calibri"/>
          <w:i/>
          <w:iCs/>
          <w:color w:val="262626"/>
          <w:sz w:val="22"/>
          <w:szCs w:val="22"/>
        </w:rPr>
        <w:t xml:space="preserve">Resources: online playbook, role explorer, retired question bank, and AI coach at https://coryjburk.github.io/competency-interview/student_playbook.html · this guide · the student overview deck · your career coaching appointments.</w:t>
      </w:r>
    </w:p>
    <w:sectPr>
      <w:headerReference w:type="default" r:id="rId7"/>
      <w:footerReference w:type="default" r:id="rId8"/>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color w:val="6B6B6B"/>
        <w:sz w:val="16"/>
        <w:szCs w:val="16"/>
      </w:rPr>
      <w:t xml:space="preserve">David Eccles School of Business — Full-Time MBA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6B6B"/>
        <w:sz w:val="16"/>
        <w:szCs w:val="16"/>
      </w:rPr>
      <w:t xml:space="preserve">Eccles MBA Interview Prep Guide — Student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2026-07-10T16:48:27.992Z</dcterms:created>
  <dcterms:modified xsi:type="dcterms:W3CDTF">2026-07-10T16:48:27.994Z</dcterms:modified>
</cp:coreProperties>
</file>

<file path=docProps/custom.xml><?xml version="1.0" encoding="utf-8"?>
<Properties xmlns="http://schemas.openxmlformats.org/officeDocument/2006/custom-properties" xmlns:vt="http://schemas.openxmlformats.org/officeDocument/2006/docPropsVTypes"/>
</file>