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C0000" w:sz="30"/>
        </w:pBdr>
        <w:spacing w:after="0" w:before="0"/>
      </w:pP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FULL-TIME MBA PROGRAM</w:t>
      </w:r>
    </w:p>
    <w:p>
      <w:pPr>
        <w:spacing w:after="260" w:before="0"/>
      </w:pPr>
      <w:r>
        <w:rPr>
          <w:rFonts w:ascii="Calibri" w:cs="Calibri" w:eastAsia="Calibri" w:hAnsi="Calibri"/>
          <w:color w:val="6B6B6B"/>
          <w:sz w:val="18"/>
          <w:szCs w:val="18"/>
        </w:rPr>
        <w:t xml:space="preserve">DAVID ECCLES SCHOOL OF BUSINESS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A1A1A"/>
          <w:sz w:val="40"/>
          <w:szCs w:val="40"/>
        </w:rPr>
        <w:t xml:space="preserve">Coach Brief</w:t>
      </w:r>
    </w:p>
    <w:p>
      <w:pPr>
        <w:spacing w:after="240" w:before="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Reading a student's mock-interview practice summary — one page, everything you need.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What students are using</w:t>
      </w:r>
    </w:p>
    <w:p>
      <w:pPr>
        <w:spacing w:after="14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Students practice with the public Interview Prep system at https://coryjburk.github.io/competency-interview/ — a prep playbook, a bank of real retired employer interview questions, and a Mock Interview Lifecycle tool that runs them through all four stages of a structured interview (Screen → Hiring Manager → Panel → Final). They answer out loud, get scored by an AI coach against the official rubric, log those scores, and track trends. When they bring you a summary, it came from that tool.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Reading the numbers</w:t>
      </w:r>
    </w:p>
    <w:p>
      <w:pPr>
        <w:spacing w:after="14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Everything is scored on the employer rubric — the same one partner companies use in live interviews: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600"/>
        <w:gridCol w:w="3200"/>
      </w:tblGrid>
      <w:tr>
        <w:trPr>
          <w:tblHeader/>
        </w:trPr>
        <w:tc>
          <w:tcPr>
            <w:tcW w:type="dxa" w:w="700"/>
            <w:shd w:fill="89000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5600"/>
            <w:shd w:fill="89000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3200"/>
            <w:shd w:fill="89000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Developmental scale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1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No real example; no ownership; can't explain impact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Advanced Beginner (1–2)</w:t>
            </w:r>
          </w:p>
        </w:tc>
      </w:tr>
      <w:tr>
        <w:tc>
          <w:tcPr>
            <w:tcW w:type="dxa" w:w="7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2</w:t>
            </w:r>
          </w:p>
        </w:tc>
        <w:tc>
          <w:tcPr>
            <w:tcW w:type="dxa" w:w="56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Real but thin; role had to be dug out; no measurable result</w:t>
            </w:r>
          </w:p>
        </w:tc>
        <w:tc>
          <w:tcPr>
            <w:tcW w:type="dxa" w:w="32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Competent (3–5)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3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Ownership, judgment, trade-offs, credible outcome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Proficient (6–8)</w:t>
            </w:r>
          </w:p>
        </w:tc>
      </w:tr>
      <w:tr>
        <w:tc>
          <w:tcPr>
            <w:tcW w:type="dxa" w:w="7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4</w:t>
            </w:r>
          </w:p>
        </w:tc>
        <w:tc>
          <w:tcPr>
            <w:tcW w:type="dxa" w:w="56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High complexity, repeatable method, elevates others</w:t>
            </w:r>
          </w:p>
        </w:tc>
        <w:tc>
          <w:tcPr>
            <w:tcW w:type="dxa" w:w="3200"/>
            <w:shd w:fill="F7F3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Expert (9–10)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262626"/>
          <w:sz w:val="21"/>
          <w:szCs w:val="21"/>
        </w:rPr>
        <w:t xml:space="preserve">Percentages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are averages against the employer decision thresholds: 80%+ advance (3.2 avg) · 70–79% advance with discussion (2.8) · below 60% do not advance (2.4). The student's charts draw these as dashed lines.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262626"/>
          <w:sz w:val="21"/>
          <w:szCs w:val="21"/>
        </w:rPr>
        <w:t xml:space="preserve">Gates: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each role designates 1–2 gatekeeper competencies where a score of 1 ends a real candidacy at any total. A gate trigger in a practice summary is the single highest-priority coaching target. Gates going quiet across sessions is the strongest progress signal.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262626"/>
          <w:sz w:val="21"/>
          <w:szCs w:val="21"/>
        </w:rPr>
        <w:t xml:space="preserve">Same 22 competencies </w:t>
      </w:r>
      <w:r>
        <w:rPr>
          <w:rFonts w:ascii="Calibri" w:cs="Calibri" w:eastAsia="Calibri" w:hAnsi="Calibri"/>
          <w:color w:val="262626"/>
          <w:sz w:val="21"/>
          <w:szCs w:val="21"/>
        </w:rPr>
        <w:t xml:space="preserve">as the program self-assessments — a student's interview evidence and their developmental self-ratings are two views of one model, and divergence between them is itself coaching material.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Honest caveats</w:t>
      </w:r>
    </w:p>
    <w:p>
      <w:pPr>
        <w:spacing w:after="140" w:before="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These are self-reported practice scores from AI coaching sessions — different days, different question difficulty, and the human temptation to log generously. Treat the trend across sessions as signal and any single session as noise. This is a private practice log, not a credential or a readiness certification; the only thing it certifies is that the student is doing the work.</w:t>
      </w:r>
    </w:p>
    <w:p>
      <w:pPr>
        <w:pStyle w:val="Heading1"/>
        <w:spacing w:after="150" w:before="280"/>
      </w:pPr>
      <w:r>
        <w:rPr>
          <w:rFonts w:ascii="Georgia" w:cs="Georgia" w:eastAsia="Georgia" w:hAnsi="Georgia"/>
          <w:b/>
          <w:bCs/>
          <w:color w:val="890000"/>
          <w:sz w:val="29"/>
          <w:szCs w:val="29"/>
        </w:rPr>
        <w:t xml:space="preserve">In the session — five moves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Start at any gate trigger: which competency, and is the miss story choice or story telling?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Compare the competency table's first→latest trend against their program self-assessment; probe divergence.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Find the competencies with no scores at all — those are story-bank gaps, not skill gaps, until proven otherwise.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Assign homework by question, not by topic: specific retired-bank questions to re-run with the AI coach to a 3+.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Treat a full four-stage mock as a milestone event — suggest one before each real interview cycle, not weekly.</w:t>
      </w:r>
    </w:p>
    <w:p>
      <w:pPr>
        <w:spacing w:after="140" w:before="12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Student-facing materials, the rubric in full, and this system's documentation: https://coryjburk.github.io/competency-interview/</w:t>
      </w:r>
    </w:p>
    <w:sectPr>
      <w:headerReference w:type="default" r:id="rId7"/>
      <w:footerReference w:type="default" r:id="rId8"/>
      <w:pgSz w:w="12240" w:h="15840" w:orient="portrait"/>
      <w:pgMar w:top="10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6B6B6B"/>
        <w:sz w:val="15"/>
        <w:szCs w:val="15"/>
      </w:rPr>
      <w:t xml:space="preserve">Full-Time MBA Program · David Eccles School of Business   ·   Page </w:t>
    </w:r>
    <w:r>
      <w:rPr>
        <w:rFonts w:ascii="Calibri" w:cs="Calibri" w:eastAsia="Calibri" w:hAnsi="Calibri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B6B6B"/>
        <w:sz w:val="15"/>
        <w:szCs w:val="15"/>
      </w:rPr>
      <w:t xml:space="preserve">Coach Brief — Mock Interview Practice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2026-07-10T21:42:30.843Z</dcterms:created>
  <dcterms:modified xsi:type="dcterms:W3CDTF">2026-07-10T21:42:30.855Z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