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CC0000" w:sz="30"/>
        </w:pBdr>
        <w:spacing w:after="0" w:before="0"/>
      </w:pP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CC0000"/>
          <w:sz w:val="22"/>
          <w:szCs w:val="22"/>
        </w:rPr>
        <w:t xml:space="preserve">FULL-TIME MBA PROGRAM</w:t>
      </w:r>
    </w:p>
    <w:p>
      <w:pPr>
        <w:spacing w:after="260" w:before="0"/>
      </w:pPr>
      <w:r>
        <w:rPr>
          <w:rFonts w:ascii="Calibri" w:cs="Calibri" w:eastAsia="Calibri" w:hAnsi="Calibri"/>
          <w:color w:val="6B6B6B"/>
          <w:sz w:val="18"/>
          <w:szCs w:val="18"/>
        </w:rPr>
        <w:t xml:space="preserve">DAVID ECCLES SCHOOL OF BUSINESS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A1A1A"/>
          <w:sz w:val="40"/>
          <w:szCs w:val="40"/>
        </w:rPr>
        <w:t xml:space="preserve">Coach Brief</w:t>
      </w:r>
    </w:p>
    <w:p>
      <w:pPr>
        <w:spacing w:after="240" w:before="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Reading a student's mock-interview practice summary — one page, everything you need.</w:t>
      </w:r>
    </w:p>
    <w:p>
      <w:pPr>
        <w:pStyle w:val="Heading1"/>
        <w:spacing w:after="150" w:before="280"/>
      </w:pPr>
      <w:r>
        <w:rPr>
          <w:rFonts w:ascii="Georgia" w:cs="Georgia" w:eastAsia="Georgia" w:hAnsi="Georgia"/>
          <w:b/>
          <w:bCs/>
          <w:color w:val="890000"/>
          <w:sz w:val="29"/>
          <w:szCs w:val="29"/>
        </w:rPr>
        <w:t xml:space="preserve">What students are using</w:t>
      </w:r>
    </w:p>
    <w:p>
      <w:pPr>
        <w:spacing w:after="140" w:before="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Students practice with the public Interview Prep system at https://coryjburk.github.io/competency-interview/ — a prep playbook, a bank of real retired employer interview questions, and a Mock Interview Lifecycle tool that runs them through all four stages of a structured interview (Screen → Hiring Manager → Panel → Final). They answer out loud, get scored by an AI coach against the official rubric, log those scores, and track trends. When they bring you a summary, it came from that tool.</w:t>
      </w:r>
    </w:p>
    <w:p>
      <w:pPr>
        <w:pStyle w:val="Heading1"/>
        <w:spacing w:after="150" w:before="280"/>
      </w:pPr>
      <w:r>
        <w:rPr>
          <w:rFonts w:ascii="Georgia" w:cs="Georgia" w:eastAsia="Georgia" w:hAnsi="Georgia"/>
          <w:b/>
          <w:bCs/>
          <w:color w:val="890000"/>
          <w:sz w:val="29"/>
          <w:szCs w:val="29"/>
        </w:rPr>
        <w:t xml:space="preserve">Reading the numbers</w:t>
      </w:r>
    </w:p>
    <w:p>
      <w:pPr>
        <w:spacing w:after="140" w:before="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Everything is scored on the employer rubric — the same one partner companies use in live interviews: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600"/>
        <w:gridCol w:w="3200"/>
      </w:tblGrid>
      <w:tr>
        <w:trPr>
          <w:tblHeader/>
        </w:trPr>
        <w:tc>
          <w:tcPr>
            <w:tcW w:type="dxa" w:w="700"/>
            <w:shd w:fill="89000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</w:t>
            </w:r>
          </w:p>
        </w:tc>
        <w:tc>
          <w:tcPr>
            <w:tcW w:type="dxa" w:w="5600"/>
            <w:shd w:fill="89000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  <w:tc>
          <w:tcPr>
            <w:tcW w:type="dxa" w:w="3200"/>
            <w:shd w:fill="89000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Developmental scale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1</w:t>
            </w:r>
          </w:p>
        </w:tc>
        <w:tc>
          <w:tcPr>
            <w:tcW w:type="dxa" w:w="5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No real example; no ownership; can't explain impact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Advanced Beginner (1–2)</w:t>
            </w:r>
          </w:p>
        </w:tc>
      </w:tr>
      <w:tr>
        <w:tc>
          <w:tcPr>
            <w:tcW w:type="dxa" w:w="700"/>
            <w:shd w:fill="F7F3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2</w:t>
            </w:r>
          </w:p>
        </w:tc>
        <w:tc>
          <w:tcPr>
            <w:tcW w:type="dxa" w:w="5600"/>
            <w:shd w:fill="F7F3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Real but thin; role had to be dug out; no measurable result</w:t>
            </w:r>
          </w:p>
        </w:tc>
        <w:tc>
          <w:tcPr>
            <w:tcW w:type="dxa" w:w="3200"/>
            <w:shd w:fill="F7F3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Competent (3–5)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3</w:t>
            </w:r>
          </w:p>
        </w:tc>
        <w:tc>
          <w:tcPr>
            <w:tcW w:type="dxa" w:w="5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Ownership, judgment, trade-offs, credible outcome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Proficient (6–8)</w:t>
            </w:r>
          </w:p>
        </w:tc>
      </w:tr>
      <w:tr>
        <w:tc>
          <w:tcPr>
            <w:tcW w:type="dxa" w:w="700"/>
            <w:shd w:fill="F7F3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4</w:t>
            </w:r>
          </w:p>
        </w:tc>
        <w:tc>
          <w:tcPr>
            <w:tcW w:type="dxa" w:w="5600"/>
            <w:shd w:fill="F7F3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High complexity, repeatable method, elevates others</w:t>
            </w:r>
          </w:p>
        </w:tc>
        <w:tc>
          <w:tcPr>
            <w:tcW w:type="dxa" w:w="3200"/>
            <w:shd w:fill="F7F3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Expert (9–10)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262626"/>
          <w:sz w:val="21"/>
          <w:szCs w:val="21"/>
        </w:rPr>
        <w:t xml:space="preserve">Percentages </w:t>
      </w:r>
      <w:r>
        <w:rPr>
          <w:rFonts w:ascii="Calibri" w:cs="Calibri" w:eastAsia="Calibri" w:hAnsi="Calibri"/>
          <w:color w:val="262626"/>
          <w:sz w:val="21"/>
          <w:szCs w:val="21"/>
        </w:rPr>
        <w:t xml:space="preserve">are averages against the employer decision thresholds: 80%+ advance (3.2 avg) · 70–79% advance with discussion (2.8) · below 60% do not advance (2.4). The student's charts draw these as dashed lines.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262626"/>
          <w:sz w:val="21"/>
          <w:szCs w:val="21"/>
        </w:rPr>
        <w:t xml:space="preserve">Gates: </w:t>
      </w:r>
      <w:r>
        <w:rPr>
          <w:rFonts w:ascii="Calibri" w:cs="Calibri" w:eastAsia="Calibri" w:hAnsi="Calibri"/>
          <w:color w:val="262626"/>
          <w:sz w:val="21"/>
          <w:szCs w:val="21"/>
        </w:rPr>
        <w:t xml:space="preserve">each role designates 1–2 gatekeeper competencies where a score of 1 ends a real candidacy at any total. A gate trigger in a practice summary is the single highest-priority coaching target. Gates going quiet across sessions is the strongest progress signal.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262626"/>
          <w:sz w:val="21"/>
          <w:szCs w:val="21"/>
        </w:rPr>
        <w:t xml:space="preserve">Same 22 competencies </w:t>
      </w:r>
      <w:r>
        <w:rPr>
          <w:rFonts w:ascii="Calibri" w:cs="Calibri" w:eastAsia="Calibri" w:hAnsi="Calibri"/>
          <w:color w:val="262626"/>
          <w:sz w:val="21"/>
          <w:szCs w:val="21"/>
        </w:rPr>
        <w:t xml:space="preserve">as the program self-assessments — a student's interview evidence and their developmental self-ratings are two views of one model, and divergence between them is itself coaching material.</w:t>
      </w:r>
    </w:p>
    <w:p>
      <w:r>
        <w:rPr>
          <w:rFonts w:ascii="Calibri" w:hAnsi="Calibri"/>
          <w:sz w:val="21"/>
        </w:rPr>
        <w:t>The answer framework is CARL — Context/Challenge, Action, Results, Learning — the storytelling method taught in the careers class; every AI coaching prompt in the system scores against it. When a summary shows a competency stuck at 2, the missing beat is almost always the Action specifics (“we” instead of “I”) or the Learning — the beat that separates 3s from 4s.</w:t>
      </w:r>
    </w:p>
    <w:p>
      <w:pPr>
        <w:pStyle w:val="Heading1"/>
        <w:spacing w:after="150" w:before="280"/>
      </w:pPr>
      <w:r>
        <w:rPr>
          <w:rFonts w:ascii="Georgia" w:cs="Georgia" w:eastAsia="Georgia" w:hAnsi="Georgia"/>
          <w:b/>
          <w:bCs/>
          <w:color w:val="890000"/>
          <w:sz w:val="29"/>
          <w:szCs w:val="29"/>
        </w:rPr>
        <w:t xml:space="preserve">Honest caveats</w:t>
      </w:r>
    </w:p>
    <w:p>
      <w:pPr>
        <w:spacing w:after="140" w:before="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These are self-reported practice scores from AI coaching sessions — different days, different question difficulty, and the human temptation to log generously. Treat the trend across sessions as signal and any single session as noise. This is a private practice log, not a credential or a readiness certification; the only thing it certifies is that the student is doing the work.</w:t>
      </w:r>
    </w:p>
    <w:p>
      <w:pPr>
        <w:pStyle w:val="Heading1"/>
        <w:spacing w:after="150" w:before="280"/>
      </w:pPr>
      <w:r>
        <w:rPr>
          <w:rFonts w:ascii="Georgia" w:cs="Georgia" w:eastAsia="Georgia" w:hAnsi="Georgia"/>
          <w:b/>
          <w:bCs/>
          <w:color w:val="890000"/>
          <w:sz w:val="29"/>
          <w:szCs w:val="29"/>
        </w:rPr>
        <w:t xml:space="preserve">In the session — five moves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Start at any gate trigger: which competency, and is the miss story choice or story telling?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Compare the competency table's first→latest trend against their program self-assessment; probe divergence.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Find the competencies with no scores at all — those are story-bank gaps, not skill gaps, until proven otherwise.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Assign homework by question, not by topic: specific retired-bank questions to re-run with the AI coach to a 3+.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Treat a full four-stage mock as a milestone event — suggest one before each real interview cycle, not weekly.</w:t>
      </w:r>
    </w:p>
    <w:p>
      <w:pPr>
        <w:spacing w:after="140" w:before="12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Student-facing materials, the rubric in full, and this system's documentation: https://coryjburk.github.io/competency-interview/</w:t>
      </w:r>
    </w:p>
    <w:sectPr>
      <w:headerReference w:type="default" r:id="rId7"/>
      <w:footerReference w:type="default" r:id="rId8"/>
      <w:pgSz w:w="12240" w:h="15840" w:orient="portrait"/>
      <w:pgMar w:top="1000" w:right="1250" w:bottom="10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6B6B6B"/>
        <w:sz w:val="15"/>
        <w:szCs w:val="15"/>
      </w:rPr>
      <w:t xml:space="preserve">Full-Time MBA Program · David Eccles School of Business   ·   Page </w:t>
    </w:r>
    <w:r>
      <w:rPr>
        <w:rFonts w:ascii="Calibri" w:cs="Calibri" w:eastAsia="Calibri" w:hAnsi="Calibri"/>
        <w:color w:val="6B6B6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B6B6B"/>
        <w:sz w:val="15"/>
        <w:szCs w:val="15"/>
      </w:rPr>
      <w:t xml:space="preserve">Coach Brief — Mock Interview Practice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2026-07-10T21:42:30.843Z</dcterms:created>
  <dcterms:modified xsi:type="dcterms:W3CDTF">2026-07-10T21:42:30.855Z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