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CC0000" w:sz="36"/>
        </w:pBdr>
        <w:spacing w:after="0" w:before="1800"/>
      </w:pPr>
    </w:p>
    <w:p>
      <w:pPr>
        <w:spacing w:after="60" w:before="300"/>
      </w:pPr>
      <w:r>
        <w:rPr>
          <w:rFonts w:ascii="Calibri" w:cs="Calibri" w:eastAsia="Calibri" w:hAnsi="Calibri"/>
          <w:b/>
          <w:bCs/>
          <w:color w:val="CC0000"/>
          <w:sz w:val="24"/>
          <w:szCs w:val="24"/>
        </w:rPr>
        <w:t xml:space="preserve">FULL-TIME MBA PROGRAM</w:t>
      </w:r>
    </w:p>
    <w:p>
      <w:pPr>
        <w:spacing w:after="500" w:before="0"/>
      </w:pPr>
      <w:r>
        <w:rPr>
          <w:rFonts w:ascii="Calibri" w:cs="Calibri" w:eastAsia="Calibri" w:hAnsi="Calibri"/>
          <w:color w:val="6B6B6B"/>
          <w:sz w:val="20"/>
          <w:szCs w:val="20"/>
        </w:rPr>
        <w:t xml:space="preserve">DAVID ECCLES SCHOOL OF BUSINESS</w:t>
      </w:r>
    </w:p>
    <w:p>
      <w:pPr>
        <w:spacing w:after="200"/>
      </w:pPr>
      <w:r>
        <w:rPr>
          <w:rFonts w:ascii="Georgia" w:cs="Georgia" w:eastAsia="Georgia" w:hAnsi="Georgia"/>
          <w:b/>
          <w:bCs/>
          <w:color w:val="1A1A1A"/>
          <w:sz w:val="60"/>
          <w:szCs w:val="60"/>
        </w:rPr>
        <w:t xml:space="preserve">Interview Prep Guide</w:t>
      </w:r>
    </w:p>
    <w:p>
      <w:pPr>
        <w:spacing w:after="400"/>
      </w:pPr>
      <w:r>
        <w:rPr>
          <w:rFonts w:ascii="Georgia" w:cs="Georgia" w:eastAsia="Georgia" w:hAnsi="Georgia"/>
          <w:color w:val="890000"/>
          <w:sz w:val="34"/>
          <w:szCs w:val="34"/>
        </w:rPr>
        <w:t xml:space="preserve">Student Edition</w:t>
      </w:r>
    </w:p>
    <w:p>
      <w:pPr>
        <w:spacing w:after="200" w:before="0"/>
      </w:pPr>
      <w:r>
        <w:rPr>
          <w:rFonts w:ascii="Calibri" w:cs="Calibri" w:eastAsia="Calibri" w:hAnsi="Calibri"/>
          <w:i/>
          <w:iCs/>
          <w:color w:val="6B6B6B"/>
          <w:sz w:val="26"/>
          <w:szCs w:val="26"/>
        </w:rPr>
        <w:t xml:space="preserve">Prepare evidence, not answers.</w:t>
      </w:r>
    </w:p>
    <w:p>
      <w:pPr>
        <w:spacing w:after="600" w:before="0"/>
      </w:pPr>
      <w:r>
        <w:rPr>
          <w:rFonts w:ascii="Calibri" w:cs="Calibri" w:eastAsia="Calibri" w:hAnsi="Calibri"/>
          <w:color w:val="262626"/>
          <w:sz w:val="24"/>
          <w:szCs w:val="24"/>
        </w:rPr>
        <w:t xml:space="preserve">How structured, competency-based interviews work — and how to build, practice, and deliver the evidence that scores.</w:t>
      </w:r>
    </w:p>
    <w:p>
      <w:pPr>
        <w:spacing w:after="60" w:before="0"/>
      </w:pPr>
      <w:r>
        <w:rPr>
          <w:rFonts w:ascii="Calibri" w:cs="Calibri" w:eastAsia="Calibri" w:hAnsi="Calibri"/>
          <w:color w:val="6B6B6B"/>
          <w:sz w:val="20"/>
          <w:szCs w:val="20"/>
        </w:rPr>
        <w:t xml:space="preserve">Online playbook, role explorer, retired question bank, and AI practice coach:</w:t>
      </w:r>
    </w:p>
    <w:p>
      <w:pPr>
        <w:spacing w:after="1600" w:before="0"/>
      </w:pPr>
      <w:r>
        <w:rPr>
          <w:rFonts w:ascii="Calibri" w:cs="Calibri" w:eastAsia="Calibri" w:hAnsi="Calibri"/>
          <w:color w:val="890000"/>
          <w:sz w:val="20"/>
          <w:szCs w:val="20"/>
        </w:rPr>
        <w:t xml:space="preserve">https://coryjburk.github.io/competency-interview/student_playbook.html</w:t>
      </w:r>
    </w:p>
    <w:p>
      <w:pPr>
        <w:spacing w:after="160" w:before="0"/>
      </w:pPr>
      <w:r>
        <w:rPr>
          <w:rFonts w:ascii="Calibri" w:cs="Calibri" w:eastAsia="Calibri" w:hAnsi="Calibri"/>
          <w:color w:val="6B6B6B"/>
          <w:sz w:val="20"/>
          <w:szCs w:val="20"/>
        </w:rPr>
        <w:t xml:space="preserve">University of Utah  ·  David Eccles School of Business  ·  2026</w:t>
      </w:r>
    </w:p>
    <w:p>
      <w:r>
        <w:br w:type="page"/>
      </w:r>
    </w:p>
    <w:p>
      <w:pPr>
        <w:pStyle w:val="Heading1"/>
        <w:spacing w:after="200" w:before="360"/>
      </w:pPr>
      <w:r>
        <w:rPr>
          <w:rFonts w:ascii="Georgia" w:cs="Georgia" w:eastAsia="Georgia" w:hAnsi="Georgia"/>
          <w:b/>
          <w:bCs/>
          <w:color w:val="890000"/>
          <w:sz w:val="32"/>
          <w:szCs w:val="32"/>
        </w:rPr>
        <w:t xml:space="preserve">1. Structured Interviews Are Good News for You</w:t>
      </w:r>
    </w:p>
    <w:p>
      <w:pPr>
        <w:spacing w:after="160" w:before="0"/>
      </w:pPr>
      <w:r>
        <w:rPr>
          <w:rFonts w:ascii="Calibri" w:cs="Calibri" w:eastAsia="Calibri" w:hAnsi="Calibri"/>
          <w:color w:val="262626"/>
          <w:sz w:val="22"/>
          <w:szCs w:val="22"/>
        </w:rPr>
        <w:t xml:space="preserve">Many employers hiring Eccles MBAs — including partners using the Eccles Structured Interview Toolkit — run structured interviews: every candidate for a role gets the same questions, scored 1–4 against written behavioral anchors, discussed in a debrief that argues from evidence.</w:t>
      </w:r>
    </w:p>
    <w:p>
      <w:pPr>
        <w:spacing w:after="160" w:before="0"/>
      </w:pPr>
      <w:r>
        <w:rPr>
          <w:rFonts w:ascii="Calibri" w:cs="Calibri" w:eastAsia="Calibri" w:hAnsi="Calibri"/>
          <w:color w:val="262626"/>
          <w:sz w:val="22"/>
          <w:szCs w:val="22"/>
        </w:rPr>
        <w:t xml:space="preserve">This is good news, for a reason worth internalizing: an unstructured interview is a charm contest, and charm contests are luck. A structured interview is an evidence review — and evidence can be prepared. The candidate who wins is not the smoothest talker; it's the one who knows their own track record cold and can present it in scoreable form.</w:t>
      </w:r>
    </w:p>
    <w:p>
      <w:pPr>
        <w:spacing w:after="160"/>
      </w:pPr>
      <w:r>
        <w:rPr>
          <w:rFonts w:ascii="Calibri" w:cs="Calibri" w:eastAsia="Calibri" w:hAnsi="Calibri"/>
          <w:b/>
          <w:bCs/>
          <w:color w:val="262626"/>
          <w:sz w:val="22"/>
          <w:szCs w:val="22"/>
        </w:rPr>
        <w:t xml:space="preserve">The core mindset shift: </w:t>
      </w:r>
      <w:r>
        <w:rPr>
          <w:rFonts w:ascii="Calibri" w:cs="Calibri" w:eastAsia="Calibri" w:hAnsi="Calibri"/>
          <w:color w:val="262626"/>
          <w:sz w:val="22"/>
          <w:szCs w:val="22"/>
        </w:rPr>
        <w:t xml:space="preserve">stop preparing answers and start preparing evidence. Interviewers using this framework are trained to probe past your delivery — “what did you specifically do?”, “what was the result, in numbers?” — until they hit either real evidence or the bottom of the story. Your preparation is making sure there's something solid to hit.</w:t>
      </w:r>
    </w:p>
    <w:p>
      <w:pPr>
        <w:spacing w:after="160"/>
      </w:pPr>
      <w:r>
        <w:rPr>
          <w:rFonts w:ascii="Calibri" w:cs="Calibri" w:eastAsia="Calibri" w:hAnsi="Calibri"/>
          <w:b/>
          <w:bCs/>
          <w:color w:val="262626"/>
          <w:sz w:val="22"/>
          <w:szCs w:val="22"/>
        </w:rPr>
        <w:t xml:space="preserve">Full transparency, by design: </w:t>
      </w:r>
      <w:r>
        <w:rPr>
          <w:rFonts w:ascii="Calibri" w:cs="Calibri" w:eastAsia="Calibri" w:hAnsi="Calibri"/>
          <w:color w:val="262626"/>
          <w:sz w:val="22"/>
          <w:szCs w:val="22"/>
        </w:rPr>
        <w:t xml:space="preserve">you get the framework, the exact scoring rubric, the competencies by role, and a bank of real retired questions to practice on. What you don't get is the live question set — and that protects you too: it means your interview measures your capability, not who obtained this cycle's questions.</w:t>
      </w:r>
    </w:p>
    <w:p>
      <w:pPr>
        <w:pStyle w:val="Heading1"/>
        <w:spacing w:after="200" w:before="360"/>
      </w:pPr>
      <w:r>
        <w:rPr>
          <w:rFonts w:ascii="Georgia" w:cs="Georgia" w:eastAsia="Georgia" w:hAnsi="Georgia"/>
          <w:b/>
          <w:bCs/>
          <w:color w:val="890000"/>
          <w:sz w:val="32"/>
          <w:szCs w:val="32"/>
        </w:rPr>
        <w:t xml:space="preserve">2. The Three Streams: What Each Part Is, and Why You Can See All of It</w:t>
      </w:r>
    </w:p>
    <w:p>
      <w:pPr>
        <w:spacing w:after="160" w:before="0"/>
      </w:pPr>
      <w:r>
        <w:rPr>
          <w:rFonts w:ascii="Calibri" w:cs="Calibri" w:eastAsia="Calibri" w:hAnsi="Calibri"/>
          <w:color w:val="262626"/>
          <w:sz w:val="22"/>
          <w:szCs w:val="22"/>
        </w:rPr>
        <w:t xml:space="preserve">The toolkit site is organized as three streams — the same three you'll see in the red navigation box on every page. Knowing what each one is for removes all mystery about how you'll be evaluated:</w:t>
      </w:r>
    </w:p>
    <w:p>
      <w:pPr>
        <w:pStyle w:val="Heading3"/>
        <w:spacing w:after="110" w:before="200"/>
      </w:pPr>
      <w:r>
        <w:rPr>
          <w:rFonts w:ascii="Calibri" w:cs="Calibri" w:eastAsia="Calibri" w:hAnsi="Calibri"/>
          <w:b/>
          <w:bCs/>
          <w:color w:val="CC0000"/>
          <w:sz w:val="23"/>
          <w:szCs w:val="23"/>
        </w:rPr>
        <w:t xml:space="preserve">Interviewer side — the Interview Scorecard</w:t>
      </w:r>
    </w:p>
    <w:p>
      <w:pPr>
        <w:spacing w:after="160" w:before="0"/>
      </w:pPr>
      <w:r>
        <w:rPr>
          <w:rFonts w:ascii="Calibri" w:cs="Calibri" w:eastAsia="Calibri" w:hAnsi="Calibri"/>
          <w:color w:val="262626"/>
          <w:sz w:val="22"/>
          <w:szCs w:val="22"/>
        </w:rPr>
        <w:t xml:space="preserve">This is the live instrument employers use to score you, in the room, in real time: the 4-point rubric, evidence-note fields, gate rules, and decision thresholds. You are encouraged to open it and explore — transparency is the design. Click “Load retired practice bank (students &amp; mocks)” and the scorecard fills with real retired questions so you can see the whole machine working: how questions map to competencies, where gates sit, how totals compute. Employers load a confidential question pack for live interviews; the practice bank shows questions only, since probes, red flags, and strong signals ship exclusively in the employer pack.</w:t>
      </w:r>
    </w:p>
    <w:p>
      <w:pPr>
        <w:pStyle w:val="Heading3"/>
        <w:spacing w:after="110" w:before="200"/>
      </w:pPr>
      <w:r>
        <w:rPr>
          <w:rFonts w:ascii="Calibri" w:cs="Calibri" w:eastAsia="Calibri" w:hAnsi="Calibri"/>
          <w:b/>
          <w:bCs/>
          <w:color w:val="CC0000"/>
          <w:sz w:val="23"/>
          <w:szCs w:val="23"/>
        </w:rPr>
        <w:t xml:space="preserve">Candidate side — the Prep Playbook</w:t>
      </w:r>
    </w:p>
    <w:p>
      <w:pPr>
        <w:spacing w:after="160" w:before="0"/>
      </w:pPr>
      <w:r>
        <w:rPr>
          <w:rFonts w:ascii="Calibri" w:cs="Calibri" w:eastAsia="Calibri" w:hAnsi="Calibri"/>
          <w:color w:val="262626"/>
          <w:sz w:val="22"/>
          <w:szCs w:val="22"/>
        </w:rPr>
        <w:t xml:space="preserve">Your preparation hub: the full rubric with upgrade moves, the role explorer with every role's competency map and gatekeepers, the complete retired question bank, the AI practice coach, and the downloads (this guide, the overview deck).</w:t>
      </w:r>
    </w:p>
    <w:p>
      <w:pPr>
        <w:pStyle w:val="Heading3"/>
        <w:spacing w:after="110" w:before="200"/>
      </w:pPr>
      <w:r>
        <w:rPr>
          <w:rFonts w:ascii="Calibri" w:cs="Calibri" w:eastAsia="Calibri" w:hAnsi="Calibri"/>
          <w:b/>
          <w:bCs/>
          <w:color w:val="CC0000"/>
          <w:sz w:val="23"/>
          <w:szCs w:val="23"/>
        </w:rPr>
        <w:t xml:space="preserve">Full simulation — the Mock Interview Lifecycle</w:t>
      </w:r>
    </w:p>
    <w:p>
      <w:pPr>
        <w:spacing w:after="160" w:before="0"/>
      </w:pPr>
      <w:r>
        <w:rPr>
          <w:rFonts w:ascii="Calibri" w:cs="Calibri" w:eastAsia="Calibri" w:hAnsi="Calibri"/>
          <w:color w:val="262626"/>
          <w:sz w:val="22"/>
          <w:szCs w:val="22"/>
        </w:rPr>
        <w:t xml:space="preserve">Where both sides meet: run yourself through all four stages for your target role, speak your answers, get AI-coached on the exact rubric, log your scores, and track your progress against the same thresholds employers apply.</w:t>
      </w:r>
    </w:p>
    <w:p>
      <w:pPr>
        <w:spacing w:after="160"/>
      </w:pPr>
      <w:r>
        <w:rPr>
          <w:rFonts w:ascii="Calibri" w:cs="Calibri" w:eastAsia="Calibri" w:hAnsi="Calibri"/>
          <w:b/>
          <w:bCs/>
          <w:color w:val="262626"/>
          <w:sz w:val="22"/>
          <w:szCs w:val="22"/>
        </w:rPr>
        <w:t xml:space="preserve">The honest summary: </w:t>
      </w:r>
      <w:r>
        <w:rPr>
          <w:rFonts w:ascii="Calibri" w:cs="Calibri" w:eastAsia="Calibri" w:hAnsi="Calibri"/>
          <w:color w:val="262626"/>
          <w:sz w:val="22"/>
          <w:szCs w:val="22"/>
        </w:rPr>
        <w:t xml:space="preserve">nothing about how you'll be scored is hidden from you. The only confidential element in the entire system is the current wording of live questions — and those rotate into your practice bank when they retire. Prepare the competency, not the sentence, and the transparency is all advantage.</w:t>
      </w:r>
    </w:p>
    <w:p>
      <w:pPr>
        <w:pStyle w:val="Heading1"/>
        <w:spacing w:after="200" w:before="360"/>
      </w:pPr>
      <w:r>
        <w:rPr>
          <w:rFonts w:ascii="Georgia" w:cs="Georgia" w:eastAsia="Georgia" w:hAnsi="Georgia"/>
          <w:b/>
          <w:bCs/>
          <w:color w:val="890000"/>
          <w:sz w:val="32"/>
          <w:szCs w:val="32"/>
        </w:rPr>
        <w:t xml:space="preserve">3. The Rubric You're Scored Against</w:t>
      </w:r>
    </w:p>
    <w:p>
      <w:pPr>
        <w:spacing w:after="160" w:before="0"/>
      </w:pPr>
      <w:r>
        <w:rPr>
          <w:rFonts w:ascii="Calibri" w:cs="Calibri" w:eastAsia="Calibri" w:hAnsi="Calibri"/>
          <w:color w:val="262626"/>
          <w:sz w:val="22"/>
          <w:szCs w:val="22"/>
        </w:rPr>
        <w:t xml:space="preserve">Every answer to every question is scored on this scale. Read the anchors like a target.</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7900"/>
      </w:tblGrid>
      <w:tr>
        <w:trPr>
          <w:tblHeader/>
        </w:trPr>
        <w:tc>
          <w:tcPr>
            <w:tcW w:type="dxa" w:w="800"/>
            <w:shd w:fill="890000"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Score</w:t>
            </w:r>
          </w:p>
        </w:tc>
        <w:tc>
          <w:tcPr>
            <w:tcW w:type="dxa" w:w="1900"/>
            <w:shd w:fill="890000"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Label</w:t>
            </w:r>
          </w:p>
        </w:tc>
        <w:tc>
          <w:tcPr>
            <w:tcW w:type="dxa" w:w="7900"/>
            <w:shd w:fill="890000"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What it sounds like</w:t>
            </w:r>
          </w:p>
        </w:tc>
      </w:tr>
      <w:tr>
        <w:tc>
          <w:tcPr>
            <w:tcW w:type="dxa" w:w="800"/>
            <w:tcMar>
              <w:top w:type="dxa" w:w="60"/>
              <w:left w:type="dxa" w:w="100"/>
              <w:bottom w:type="dxa" w:w="60"/>
              <w:right w:type="dxa" w:w="100"/>
            </w:tcMar>
          </w:tcPr>
          <w:p>
            <w:pPr>
              <w:spacing w:after="0"/>
            </w:pPr>
            <w:r>
              <w:rPr>
                <w:rFonts w:ascii="Calibri" w:cs="Calibri" w:eastAsia="Calibri" w:hAnsi="Calibri"/>
                <w:color w:val="262626"/>
                <w:sz w:val="20"/>
                <w:szCs w:val="20"/>
              </w:rPr>
              <w:t xml:space="preserve">1</w:t>
            </w:r>
          </w:p>
        </w:tc>
        <w:tc>
          <w:tcPr>
            <w:tcW w:type="dxa" w:w="1900"/>
            <w:tcMar>
              <w:top w:type="dxa" w:w="60"/>
              <w:left w:type="dxa" w:w="100"/>
              <w:bottom w:type="dxa" w:w="60"/>
              <w:right w:type="dxa" w:w="100"/>
            </w:tcMar>
          </w:tcPr>
          <w:p>
            <w:pPr>
              <w:spacing w:after="0"/>
            </w:pPr>
            <w:r>
              <w:rPr>
                <w:rFonts w:ascii="Calibri" w:cs="Calibri" w:eastAsia="Calibri" w:hAnsi="Calibri"/>
                <w:color w:val="262626"/>
                <w:sz w:val="20"/>
                <w:szCs w:val="20"/>
              </w:rPr>
              <w:t xml:space="preserve">Does Not Meet</w:t>
            </w:r>
          </w:p>
        </w:tc>
        <w:tc>
          <w:tcPr>
            <w:tcW w:type="dxa" w:w="7900"/>
            <w:tcMar>
              <w:top w:type="dxa" w:w="60"/>
              <w:left w:type="dxa" w:w="100"/>
              <w:bottom w:type="dxa" w:w="60"/>
              <w:right w:type="dxa" w:w="100"/>
            </w:tcMar>
          </w:tcPr>
          <w:p>
            <w:pPr>
              <w:spacing w:after="0"/>
            </w:pPr>
            <w:r>
              <w:rPr>
                <w:rFonts w:ascii="Calibri" w:cs="Calibri" w:eastAsia="Calibri" w:hAnsi="Calibri"/>
                <w:color w:val="262626"/>
                <w:sz w:val="20"/>
                <w:szCs w:val="20"/>
              </w:rPr>
              <w:t xml:space="preserve">No clear example. Vague, theoretical, or irrelevant; little ownership; can't explain impact.</w:t>
            </w:r>
          </w:p>
        </w:tc>
      </w:tr>
      <w:tr>
        <w:tc>
          <w:tcPr>
            <w:tcW w:type="dxa" w:w="800"/>
            <w:shd w:fill="F7F3F3" w:val="clear"/>
            <w:tcMar>
              <w:top w:type="dxa" w:w="60"/>
              <w:left w:type="dxa" w:w="100"/>
              <w:bottom w:type="dxa" w:w="60"/>
              <w:right w:type="dxa" w:w="100"/>
            </w:tcMar>
          </w:tcPr>
          <w:p>
            <w:pPr>
              <w:spacing w:after="0"/>
            </w:pPr>
            <w:r>
              <w:rPr>
                <w:rFonts w:ascii="Calibri" w:cs="Calibri" w:eastAsia="Calibri" w:hAnsi="Calibri"/>
                <w:color w:val="262626"/>
                <w:sz w:val="20"/>
                <w:szCs w:val="20"/>
              </w:rPr>
              <w:t xml:space="preserve">2</w:t>
            </w:r>
          </w:p>
        </w:tc>
        <w:tc>
          <w:tcPr>
            <w:tcW w:type="dxa" w:w="1900"/>
            <w:shd w:fill="F7F3F3" w:val="clear"/>
            <w:tcMar>
              <w:top w:type="dxa" w:w="60"/>
              <w:left w:type="dxa" w:w="100"/>
              <w:bottom w:type="dxa" w:w="60"/>
              <w:right w:type="dxa" w:w="100"/>
            </w:tcMar>
          </w:tcPr>
          <w:p>
            <w:pPr>
              <w:spacing w:after="0"/>
            </w:pPr>
            <w:r>
              <w:rPr>
                <w:rFonts w:ascii="Calibri" w:cs="Calibri" w:eastAsia="Calibri" w:hAnsi="Calibri"/>
                <w:color w:val="262626"/>
                <w:sz w:val="20"/>
                <w:szCs w:val="20"/>
              </w:rPr>
              <w:t xml:space="preserve">Partially Meets</w:t>
            </w:r>
          </w:p>
        </w:tc>
        <w:tc>
          <w:tcPr>
            <w:tcW w:type="dxa" w:w="7900"/>
            <w:shd w:fill="F7F3F3" w:val="clear"/>
            <w:tcMar>
              <w:top w:type="dxa" w:w="60"/>
              <w:left w:type="dxa" w:w="100"/>
              <w:bottom w:type="dxa" w:w="60"/>
              <w:right w:type="dxa" w:w="100"/>
            </w:tcMar>
          </w:tcPr>
          <w:p>
            <w:pPr>
              <w:spacing w:after="0"/>
            </w:pPr>
            <w:r>
              <w:rPr>
                <w:rFonts w:ascii="Calibri" w:cs="Calibri" w:eastAsia="Calibri" w:hAnsi="Calibri"/>
                <w:color w:val="262626"/>
                <w:sz w:val="20"/>
                <w:szCs w:val="20"/>
              </w:rPr>
              <w:t xml:space="preserve">A real but basic example. Some relevant actions; limited depth or measurable impact; the interviewer had to dig to find your role.</w:t>
            </w:r>
          </w:p>
        </w:tc>
      </w:tr>
      <w:tr>
        <w:tc>
          <w:tcPr>
            <w:tcW w:type="dxa" w:w="800"/>
            <w:tcMar>
              <w:top w:type="dxa" w:w="60"/>
              <w:left w:type="dxa" w:w="100"/>
              <w:bottom w:type="dxa" w:w="60"/>
              <w:right w:type="dxa" w:w="100"/>
            </w:tcMar>
          </w:tcPr>
          <w:p>
            <w:pPr>
              <w:spacing w:after="0"/>
            </w:pPr>
            <w:r>
              <w:rPr>
                <w:rFonts w:ascii="Calibri" w:cs="Calibri" w:eastAsia="Calibri" w:hAnsi="Calibri"/>
                <w:color w:val="262626"/>
                <w:sz w:val="20"/>
                <w:szCs w:val="20"/>
              </w:rPr>
              <w:t xml:space="preserve">3</w:t>
            </w:r>
          </w:p>
        </w:tc>
        <w:tc>
          <w:tcPr>
            <w:tcW w:type="dxa" w:w="1900"/>
            <w:tcMar>
              <w:top w:type="dxa" w:w="60"/>
              <w:left w:type="dxa" w:w="100"/>
              <w:bottom w:type="dxa" w:w="60"/>
              <w:right w:type="dxa" w:w="100"/>
            </w:tcMar>
          </w:tcPr>
          <w:p>
            <w:pPr>
              <w:spacing w:after="0"/>
            </w:pPr>
            <w:r>
              <w:rPr>
                <w:rFonts w:ascii="Calibri" w:cs="Calibri" w:eastAsia="Calibri" w:hAnsi="Calibri"/>
                <w:color w:val="262626"/>
                <w:sz w:val="20"/>
                <w:szCs w:val="20"/>
              </w:rPr>
              <w:t xml:space="preserve">Meets</w:t>
            </w:r>
          </w:p>
        </w:tc>
        <w:tc>
          <w:tcPr>
            <w:tcW w:type="dxa" w:w="7900"/>
            <w:tcMar>
              <w:top w:type="dxa" w:w="60"/>
              <w:left w:type="dxa" w:w="100"/>
              <w:bottom w:type="dxa" w:w="60"/>
              <w:right w:type="dxa" w:w="100"/>
            </w:tcMar>
          </w:tcPr>
          <w:p>
            <w:pPr>
              <w:spacing w:after="0"/>
            </w:pPr>
            <w:r>
              <w:rPr>
                <w:rFonts w:ascii="Calibri" w:cs="Calibri" w:eastAsia="Calibri" w:hAnsi="Calibri"/>
                <w:color w:val="262626"/>
                <w:sz w:val="20"/>
                <w:szCs w:val="20"/>
              </w:rPr>
              <w:t xml:space="preserve">Clear, relevant example. Ownership, judgment, structured thinking, named trade-offs, a credible outcome or Learning.</w:t>
            </w:r>
          </w:p>
        </w:tc>
      </w:tr>
      <w:tr>
        <w:tc>
          <w:tcPr>
            <w:tcW w:type="dxa" w:w="800"/>
            <w:shd w:fill="F7F3F3" w:val="clear"/>
            <w:tcMar>
              <w:top w:type="dxa" w:w="60"/>
              <w:left w:type="dxa" w:w="100"/>
              <w:bottom w:type="dxa" w:w="60"/>
              <w:right w:type="dxa" w:w="100"/>
            </w:tcMar>
          </w:tcPr>
          <w:p>
            <w:pPr>
              <w:spacing w:after="0"/>
            </w:pPr>
            <w:r>
              <w:rPr>
                <w:rFonts w:ascii="Calibri" w:cs="Calibri" w:eastAsia="Calibri" w:hAnsi="Calibri"/>
                <w:color w:val="262626"/>
                <w:sz w:val="20"/>
                <w:szCs w:val="20"/>
              </w:rPr>
              <w:t xml:space="preserve">4</w:t>
            </w:r>
          </w:p>
        </w:tc>
        <w:tc>
          <w:tcPr>
            <w:tcW w:type="dxa" w:w="1900"/>
            <w:shd w:fill="F7F3F3" w:val="clear"/>
            <w:tcMar>
              <w:top w:type="dxa" w:w="60"/>
              <w:left w:type="dxa" w:w="100"/>
              <w:bottom w:type="dxa" w:w="60"/>
              <w:right w:type="dxa" w:w="100"/>
            </w:tcMar>
          </w:tcPr>
          <w:p>
            <w:pPr>
              <w:spacing w:after="0"/>
            </w:pPr>
            <w:r>
              <w:rPr>
                <w:rFonts w:ascii="Calibri" w:cs="Calibri" w:eastAsia="Calibri" w:hAnsi="Calibri"/>
                <w:color w:val="262626"/>
                <w:sz w:val="20"/>
                <w:szCs w:val="20"/>
              </w:rPr>
              <w:t xml:space="preserve">Exceeds</w:t>
            </w:r>
          </w:p>
        </w:tc>
        <w:tc>
          <w:tcPr>
            <w:tcW w:type="dxa" w:w="7900"/>
            <w:shd w:fill="F7F3F3" w:val="clear"/>
            <w:tcMar>
              <w:top w:type="dxa" w:w="60"/>
              <w:left w:type="dxa" w:w="100"/>
              <w:bottom w:type="dxa" w:w="60"/>
              <w:right w:type="dxa" w:w="100"/>
            </w:tcMar>
          </w:tcPr>
          <w:p>
            <w:pPr>
              <w:spacing w:after="0"/>
            </w:pPr>
            <w:r>
              <w:rPr>
                <w:rFonts w:ascii="Calibri" w:cs="Calibri" w:eastAsia="Calibri" w:hAnsi="Calibri"/>
                <w:color w:val="262626"/>
                <w:sz w:val="20"/>
                <w:szCs w:val="20"/>
              </w:rPr>
              <w:t xml:space="preserve">High-complexity example with real impact. Leadership beyond formal authority; a repeatable method; you elevated others.</w:t>
            </w:r>
          </w:p>
        </w:tc>
      </w:tr>
    </w:tbl>
    <w:p>
      <w:pPr>
        <w:spacing w:after="100" w:before="0"/>
      </w:pPr>
      <w:r>
        <w:rPr>
          <w:rFonts w:ascii="Calibri" w:cs="Calibri" w:eastAsia="Calibri" w:hAnsi="Calibri"/>
          <w:color w:val="262626"/>
          <w:sz w:val="22"/>
          <w:szCs w:val="22"/>
        </w:rPr>
        <w:t xml:space="preserve"/>
      </w:r>
    </w:p>
    <w:p>
      <w:pPr>
        <w:pStyle w:val="Heading3"/>
        <w:spacing w:after="110" w:before="200"/>
      </w:pPr>
      <w:r>
        <w:rPr>
          <w:rFonts w:ascii="Calibri" w:cs="Calibri" w:eastAsia="Calibri" w:hAnsi="Calibri"/>
          <w:b/>
          <w:bCs/>
          <w:color w:val="CC0000"/>
          <w:sz w:val="23"/>
          <w:szCs w:val="23"/>
        </w:rPr>
        <w:t xml:space="preserve">What moves a score up one level</w:t>
      </w:r>
    </w:p>
    <w:p>
      <w:pPr>
        <w:pStyle w:val="ListParagraph"/>
        <w:numPr>
          <w:ilvl w:val="0"/>
          <w:numId w:val="2"/>
        </w:numPr>
        <w:spacing w:after="80"/>
      </w:pPr>
      <w:r>
        <w:rPr>
          <w:rFonts w:ascii="Calibri" w:cs="Calibri" w:eastAsia="Calibri" w:hAnsi="Calibri"/>
          <w:color w:val="262626"/>
          <w:sz w:val="22"/>
          <w:szCs w:val="22"/>
        </w:rPr>
        <w:t xml:space="preserve">2 → 3 is ownership, trade-offs, and a credible result: “I” instead of “we,” a decision you can defend, a number or a named outcome.</w:t>
      </w:r>
    </w:p>
    <w:p>
      <w:pPr>
        <w:pStyle w:val="ListParagraph"/>
        <w:numPr>
          <w:ilvl w:val="0"/>
          <w:numId w:val="2"/>
        </w:numPr>
        <w:spacing w:after="80"/>
      </w:pPr>
      <w:r>
        <w:rPr>
          <w:rFonts w:ascii="Calibri" w:cs="Calibri" w:eastAsia="Calibri" w:hAnsi="Calibri"/>
          <w:color w:val="262626"/>
          <w:sz w:val="22"/>
          <w:szCs w:val="22"/>
        </w:rPr>
        <w:t xml:space="preserve">3 → 4 is complexity, method, and lift: a genuinely hard situation, an approach you could repeat, and evidence you made others better.</w:t>
      </w:r>
    </w:p>
    <w:p>
      <w:pPr>
        <w:spacing w:after="160" w:before="0"/>
      </w:pPr>
      <w:r>
        <w:rPr>
          <w:rFonts w:ascii="Calibri" w:cs="Calibri" w:eastAsia="Calibri" w:hAnsi="Calibri"/>
          <w:color w:val="262626"/>
          <w:sz w:val="22"/>
          <w:szCs w:val="22"/>
        </w:rPr>
        <w:t xml:space="preserve">For competencies from the Eccles MBA Competency Model, interview scores map to your developmental scale: 1 → Advanced Beginner (1–2), 2 → Competent (3–5), 3 → Proficient (6–8), 4 → Expert (9–10). Your program self-assessments and employer interviews speak the same language — use your self-assessment to know which competencies need the most story-building.</w:t>
      </w:r>
    </w:p>
    <w:p>
      <w:pPr>
        <w:pStyle w:val="Heading3"/>
        <w:spacing w:after="110" w:before="200"/>
      </w:pPr>
      <w:r>
        <w:rPr>
          <w:rFonts w:ascii="Calibri" w:cs="Calibri" w:eastAsia="Calibri" w:hAnsi="Calibri"/>
          <w:b/>
          <w:bCs/>
          <w:color w:val="CC0000"/>
          <w:sz w:val="23"/>
          <w:szCs w:val="23"/>
        </w:rPr>
        <w:t xml:space="preserve">Gatekeepers and thresholds</w:t>
      </w:r>
    </w:p>
    <w:p>
      <w:pPr>
        <w:spacing w:after="160" w:before="0"/>
      </w:pPr>
      <w:r>
        <w:rPr>
          <w:rFonts w:ascii="Calibri" w:cs="Calibri" w:eastAsia="Calibri" w:hAnsi="Calibri"/>
          <w:color w:val="262626"/>
          <w:sz w:val="22"/>
          <w:szCs w:val="22"/>
        </w:rPr>
        <w:t xml:space="preserve">Each role designates 1–2 gatekeeper competencies: score a 1 on one and the candidacy ends regardless of your total. Gatekeepers are assessed twice, by different interviewers. Totals convert to percentages: 80%+ advances, 70–79% advances with discussion, below 60% does not. The practical read: identify your target role's gatekeepers (role explorer, online) and prepare your deepest evidence there first.</w:t>
      </w:r>
    </w:p>
    <w:p>
      <w:r>
        <w:br w:type="page"/>
      </w:r>
    </w:p>
    <w:p>
      <w:pPr>
        <w:pStyle w:val="Heading1"/>
        <w:spacing w:after="200" w:before="360"/>
      </w:pPr>
      <w:r>
        <w:rPr>
          <w:rFonts w:ascii="Georgia" w:cs="Georgia" w:eastAsia="Georgia" w:hAnsi="Georgia"/>
          <w:b/>
          <w:bCs/>
          <w:color w:val="890000"/>
          <w:sz w:val="32"/>
          <w:szCs w:val="32"/>
        </w:rPr>
        <w:t xml:space="preserve">4. The Four Stages, From Your Seat</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4100"/>
      </w:tblGrid>
      <w:tr>
        <w:trPr>
          <w:tblHeader/>
        </w:trPr>
        <w:tc>
          <w:tcPr>
            <w:tcW w:type="dxa" w:w="2500"/>
            <w:shd w:fill="890000"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Stage</w:t>
            </w:r>
          </w:p>
        </w:tc>
        <w:tc>
          <w:tcPr>
            <w:tcW w:type="dxa" w:w="4000"/>
            <w:shd w:fill="890000"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What happens</w:t>
            </w:r>
          </w:p>
        </w:tc>
        <w:tc>
          <w:tcPr>
            <w:tcW w:type="dxa" w:w="4100"/>
            <w:shd w:fill="890000"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Your preparation</w:t>
            </w:r>
          </w:p>
        </w:tc>
      </w:tr>
      <w:tr>
        <w:tc>
          <w:tcPr>
            <w:tcW w:type="dxa" w:w="2500"/>
            <w:tcMar>
              <w:top w:type="dxa" w:w="60"/>
              <w:left w:type="dxa" w:w="100"/>
              <w:bottom w:type="dxa" w:w="60"/>
              <w:right w:type="dxa" w:w="100"/>
            </w:tcMar>
          </w:tcPr>
          <w:p>
            <w:pPr>
              <w:spacing w:after="0"/>
            </w:pPr>
            <w:r>
              <w:rPr>
                <w:rFonts w:ascii="Calibri" w:cs="Calibri" w:eastAsia="Calibri" w:hAnsi="Calibri"/>
                <w:color w:val="262626"/>
                <w:sz w:val="20"/>
                <w:szCs w:val="20"/>
              </w:rPr>
              <w:t xml:space="preserve">1 · Initial Screen (20–30 min)</w:t>
            </w:r>
          </w:p>
        </w:tc>
        <w:tc>
          <w:tcPr>
            <w:tcW w:type="dxa" w:w="4000"/>
            <w:tcMar>
              <w:top w:type="dxa" w:w="60"/>
              <w:left w:type="dxa" w:w="100"/>
              <w:bottom w:type="dxa" w:w="60"/>
              <w:right w:type="dxa" w:w="100"/>
            </w:tcMar>
          </w:tcPr>
          <w:p>
            <w:pPr>
              <w:spacing w:after="0"/>
            </w:pPr>
            <w:r>
              <w:rPr>
                <w:rFonts w:ascii="Calibri" w:cs="Calibri" w:eastAsia="Calibri" w:hAnsi="Calibri"/>
                <w:color w:val="262626"/>
                <w:sz w:val="20"/>
                <w:szCs w:val="20"/>
              </w:rPr>
              <w:t xml:space="preserve">Motivation, role clarity, one competency. Scored — not a chat.</w:t>
            </w:r>
          </w:p>
        </w:tc>
        <w:tc>
          <w:tcPr>
            <w:tcW w:type="dxa" w:w="4100"/>
            <w:tcMar>
              <w:top w:type="dxa" w:w="60"/>
              <w:left w:type="dxa" w:w="100"/>
              <w:bottom w:type="dxa" w:w="60"/>
              <w:right w:type="dxa" w:w="100"/>
            </w:tcMar>
          </w:tcPr>
          <w:p>
            <w:pPr>
              <w:spacing w:after="0"/>
            </w:pPr>
            <w:r>
              <w:rPr>
                <w:rFonts w:ascii="Calibri" w:cs="Calibri" w:eastAsia="Calibri" w:hAnsi="Calibri"/>
                <w:color w:val="262626"/>
                <w:sz w:val="20"/>
                <w:szCs w:val="20"/>
              </w:rPr>
              <w:t xml:space="preserve">A two-minute answer connecting your background, this role, and what you'll do in it. Vague enthusiasm reads as a 1.</w:t>
            </w:r>
          </w:p>
        </w:tc>
      </w:tr>
      <w:tr>
        <w:tc>
          <w:tcPr>
            <w:tcW w:type="dxa" w:w="2500"/>
            <w:shd w:fill="F7F3F3" w:val="clear"/>
            <w:tcMar>
              <w:top w:type="dxa" w:w="60"/>
              <w:left w:type="dxa" w:w="100"/>
              <w:bottom w:type="dxa" w:w="60"/>
              <w:right w:type="dxa" w:w="100"/>
            </w:tcMar>
          </w:tcPr>
          <w:p>
            <w:pPr>
              <w:spacing w:after="0"/>
            </w:pPr>
            <w:r>
              <w:rPr>
                <w:rFonts w:ascii="Calibri" w:cs="Calibri" w:eastAsia="Calibri" w:hAnsi="Calibri"/>
                <w:color w:val="262626"/>
                <w:sz w:val="20"/>
                <w:szCs w:val="20"/>
              </w:rPr>
              <w:t xml:space="preserve">2 · Hiring Manager (45–60 min)</w:t>
            </w:r>
          </w:p>
        </w:tc>
        <w:tc>
          <w:tcPr>
            <w:tcW w:type="dxa" w:w="4000"/>
            <w:shd w:fill="F7F3F3" w:val="clear"/>
            <w:tcMar>
              <w:top w:type="dxa" w:w="60"/>
              <w:left w:type="dxa" w:w="100"/>
              <w:bottom w:type="dxa" w:w="60"/>
              <w:right w:type="dxa" w:w="100"/>
            </w:tcMar>
          </w:tcPr>
          <w:p>
            <w:pPr>
              <w:spacing w:after="0"/>
            </w:pPr>
            <w:r>
              <w:rPr>
                <w:rFonts w:ascii="Calibri" w:cs="Calibri" w:eastAsia="Calibri" w:hAnsi="Calibri"/>
                <w:color w:val="262626"/>
                <w:sz w:val="20"/>
                <w:szCs w:val="20"/>
              </w:rPr>
              <w:t xml:space="preserve">Deep behavioral evidence on core competencies; first gatekeeper pass.</w:t>
            </w:r>
          </w:p>
        </w:tc>
        <w:tc>
          <w:tcPr>
            <w:tcW w:type="dxa" w:w="4100"/>
            <w:shd w:fill="F7F3F3" w:val="clear"/>
            <w:tcMar>
              <w:top w:type="dxa" w:w="60"/>
              <w:left w:type="dxa" w:w="100"/>
              <w:bottom w:type="dxa" w:w="60"/>
              <w:right w:type="dxa" w:w="100"/>
            </w:tcMar>
          </w:tcPr>
          <w:p>
            <w:pPr>
              <w:spacing w:after="0"/>
            </w:pPr>
            <w:r>
              <w:rPr>
                <w:rFonts w:ascii="Calibri" w:cs="Calibri" w:eastAsia="Calibri" w:hAnsi="Calibri"/>
                <w:color w:val="262626"/>
                <w:sz w:val="20"/>
                <w:szCs w:val="20"/>
              </w:rPr>
              <w:t xml:space="preserve">Your strongest, most quantified stories for the role's top competencies.</w:t>
            </w:r>
          </w:p>
        </w:tc>
      </w:tr>
      <w:tr>
        <w:tc>
          <w:tcPr>
            <w:tcW w:type="dxa" w:w="2500"/>
            <w:tcMar>
              <w:top w:type="dxa" w:w="60"/>
              <w:left w:type="dxa" w:w="100"/>
              <w:bottom w:type="dxa" w:w="60"/>
              <w:right w:type="dxa" w:w="100"/>
            </w:tcMar>
          </w:tcPr>
          <w:p>
            <w:pPr>
              <w:spacing w:after="0"/>
            </w:pPr>
            <w:r>
              <w:rPr>
                <w:rFonts w:ascii="Calibri" w:cs="Calibri" w:eastAsia="Calibri" w:hAnsi="Calibri"/>
                <w:color w:val="262626"/>
                <w:sz w:val="20"/>
                <w:szCs w:val="20"/>
              </w:rPr>
              <w:t xml:space="preserve">3 · Team / Panel (60–90 min)</w:t>
            </w:r>
          </w:p>
        </w:tc>
        <w:tc>
          <w:tcPr>
            <w:tcW w:type="dxa" w:w="4000"/>
            <w:tcMar>
              <w:top w:type="dxa" w:w="60"/>
              <w:left w:type="dxa" w:w="100"/>
              <w:bottom w:type="dxa" w:w="60"/>
              <w:right w:type="dxa" w:w="100"/>
            </w:tcMar>
          </w:tcPr>
          <w:p>
            <w:pPr>
              <w:spacing w:after="0"/>
            </w:pPr>
            <w:r>
              <w:rPr>
                <w:rFonts w:ascii="Calibri" w:cs="Calibri" w:eastAsia="Calibri" w:hAnsi="Calibri"/>
                <w:color w:val="262626"/>
                <w:sz w:val="20"/>
                <w:szCs w:val="20"/>
              </w:rPr>
              <w:t xml:space="preserve">2–3 interviewers splitting competencies; often a case or simulation; second gatekeeper pass.</w:t>
            </w:r>
          </w:p>
        </w:tc>
        <w:tc>
          <w:tcPr>
            <w:tcW w:type="dxa" w:w="4100"/>
            <w:tcMar>
              <w:top w:type="dxa" w:w="60"/>
              <w:left w:type="dxa" w:w="100"/>
              <w:bottom w:type="dxa" w:w="60"/>
              <w:right w:type="dxa" w:w="100"/>
            </w:tcMar>
          </w:tcPr>
          <w:p>
            <w:pPr>
              <w:spacing w:after="0"/>
            </w:pPr>
            <w:r>
              <w:rPr>
                <w:rFonts w:ascii="Calibri" w:cs="Calibri" w:eastAsia="Calibri" w:hAnsi="Calibri"/>
                <w:color w:val="262626"/>
                <w:sz w:val="20"/>
                <w:szCs w:val="20"/>
              </w:rPr>
              <w:t xml:space="preserve">Different stories than Stage 2 — interviewers compare notes; one story stretched across five questions reads as thin evidence.</w:t>
            </w:r>
          </w:p>
        </w:tc>
      </w:tr>
      <w:tr>
        <w:tc>
          <w:tcPr>
            <w:tcW w:type="dxa" w:w="2500"/>
            <w:shd w:fill="F7F3F3" w:val="clear"/>
            <w:tcMar>
              <w:top w:type="dxa" w:w="60"/>
              <w:left w:type="dxa" w:w="100"/>
              <w:bottom w:type="dxa" w:w="60"/>
              <w:right w:type="dxa" w:w="100"/>
            </w:tcMar>
          </w:tcPr>
          <w:p>
            <w:pPr>
              <w:spacing w:after="0"/>
            </w:pPr>
            <w:r>
              <w:rPr>
                <w:rFonts w:ascii="Calibri" w:cs="Calibri" w:eastAsia="Calibri" w:hAnsi="Calibri"/>
                <w:color w:val="262626"/>
                <w:sz w:val="20"/>
                <w:szCs w:val="20"/>
              </w:rPr>
              <w:t xml:space="preserve">4 · Final / Readiness (30–45 min)</w:t>
            </w:r>
          </w:p>
        </w:tc>
        <w:tc>
          <w:tcPr>
            <w:tcW w:type="dxa" w:w="4000"/>
            <w:shd w:fill="F7F3F3" w:val="clear"/>
            <w:tcMar>
              <w:top w:type="dxa" w:w="60"/>
              <w:left w:type="dxa" w:w="100"/>
              <w:bottom w:type="dxa" w:w="60"/>
              <w:right w:type="dxa" w:w="100"/>
            </w:tcMar>
          </w:tcPr>
          <w:p>
            <w:pPr>
              <w:spacing w:after="0"/>
            </w:pPr>
            <w:r>
              <w:rPr>
                <w:rFonts w:ascii="Calibri" w:cs="Calibri" w:eastAsia="Calibri" w:hAnsi="Calibri"/>
                <w:color w:val="262626"/>
                <w:sz w:val="20"/>
                <w:szCs w:val="20"/>
              </w:rPr>
              <w:t xml:space="preserve">Values, judgment under pressure, risk re-check, closing.</w:t>
            </w:r>
          </w:p>
        </w:tc>
        <w:tc>
          <w:tcPr>
            <w:tcW w:type="dxa" w:w="4100"/>
            <w:shd w:fill="F7F3F3" w:val="clear"/>
            <w:tcMar>
              <w:top w:type="dxa" w:w="60"/>
              <w:left w:type="dxa" w:w="100"/>
              <w:bottom w:type="dxa" w:w="60"/>
              <w:right w:type="dxa" w:w="100"/>
            </w:tcMar>
          </w:tcPr>
          <w:p>
            <w:pPr>
              <w:spacing w:after="0"/>
            </w:pPr>
            <w:r>
              <w:rPr>
                <w:rFonts w:ascii="Calibri" w:cs="Calibri" w:eastAsia="Calibri" w:hAnsi="Calibri"/>
                <w:color w:val="262626"/>
                <w:sz w:val="20"/>
                <w:szCs w:val="20"/>
              </w:rPr>
              <w:t xml:space="preserve">A real example of a hard call, honestly told — including what it cost you.</w:t>
            </w:r>
          </w:p>
        </w:tc>
      </w:tr>
    </w:tbl>
    <w:p>
      <w:pPr>
        <w:spacing w:after="100" w:before="0"/>
      </w:pPr>
      <w:r>
        <w:rPr>
          <w:rFonts w:ascii="Calibri" w:cs="Calibri" w:eastAsia="Calibri" w:hAnsi="Calibri"/>
          <w:color w:val="262626"/>
          <w:sz w:val="22"/>
          <w:szCs w:val="22"/>
        </w:rPr>
        <w:t xml:space="preserve"/>
      </w:r>
    </w:p>
    <w:p>
      <w:pPr>
        <w:pStyle w:val="Heading1"/>
        <w:spacing w:after="200" w:before="360"/>
      </w:pPr>
      <w:r>
        <w:rPr>
          <w:rFonts w:ascii="Georgia" w:cs="Georgia" w:eastAsia="Georgia" w:hAnsi="Georgia"/>
          <w:b/>
          <w:bCs/>
          <w:color w:val="890000"/>
          <w:sz w:val="32"/>
          <w:szCs w:val="32"/>
        </w:rPr>
        <w:t xml:space="preserve">5. Building Answers: The CARL Framework</w:t>
      </w:r>
    </w:p>
    <w:p>
      <w:pPr>
        <w:spacing w:after="160" w:before="0"/>
      </w:pPr>
      <w:r>
        <w:rPr>
          <w:rFonts w:ascii="Calibri" w:cs="Calibri" w:eastAsia="Calibri" w:hAnsi="Calibri"/>
          <w:color w:val="262626"/>
          <w:sz w:val="22"/>
          <w:szCs w:val="22"/>
        </w:rPr>
        <w:t xml:space="preserve">CARL is the storytelling framework taught in your careers class — the same one this entire system coaches and scores against. Structure every story in four beats. The fourth is where 3s become 4s, and most candidates skip it.</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600"/>
        <w:gridCol w:w="8000"/>
      </w:tblGrid>
      <w:tr>
        <w:trPr>
          <w:tblHeader/>
        </w:trPr>
        <w:tc>
          <w:tcPr>
            <w:tcW w:type="dxa" w:w="2600"/>
            <w:shd w:fill="890000"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Beat</w:t>
            </w:r>
          </w:p>
        </w:tc>
        <w:tc>
          <w:tcPr>
            <w:tcW w:type="dxa" w:w="8000"/>
            <w:shd w:fill="890000"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What to say</w:t>
            </w:r>
          </w:p>
        </w:tc>
      </w:tr>
      <w:tr>
        <w:tc>
          <w:tcPr>
            <w:tcW w:type="dxa" w:w="2600"/>
            <w:tcMar>
              <w:top w:type="dxa" w:w="60"/>
              <w:left w:type="dxa" w:w="100"/>
              <w:bottom w:type="dxa" w:w="60"/>
              <w:right w:type="dxa" w:w="100"/>
            </w:tcMar>
          </w:tcPr>
          <w:p>
            <w:pPr>
              <w:spacing w:after="0"/>
            </w:pPr>
            <w:r>
              <w:rPr>
                <w:rFonts w:ascii="Calibri" w:cs="Calibri" w:eastAsia="Calibri" w:hAnsi="Calibri"/>
                <w:color w:val="262626"/>
                <w:sz w:val="20"/>
                <w:szCs w:val="20"/>
              </w:rPr>
              <w:t xml:space="preserve">C — Context / Challenge</w:t>
            </w:r>
          </w:p>
        </w:tc>
        <w:tc>
          <w:tcPr>
            <w:tcW w:type="dxa" w:w="8000"/>
            <w:tcMar>
              <w:top w:type="dxa" w:w="60"/>
              <w:left w:type="dxa" w:w="100"/>
              <w:bottom w:type="dxa" w:w="60"/>
              <w:right w:type="dxa" w:w="100"/>
            </w:tcMar>
          </w:tcPr>
          <w:p>
            <w:pPr>
              <w:spacing w:after="0"/>
            </w:pPr>
            <w:r>
              <w:rPr>
                <w:rFonts w:ascii="Calibri" w:cs="Calibri" w:eastAsia="Calibri" w:hAnsi="Calibri"/>
                <w:color w:val="262626"/>
                <w:sz w:val="20"/>
                <w:szCs w:val="20"/>
              </w:rPr>
              <w:t xml:space="preserve">What challenge were you facing, for whom, and why did it matter? Two to three sentences — spend your time on Action and Results, not scene-setting.</w:t>
            </w:r>
          </w:p>
        </w:tc>
      </w:tr>
      <w:tr>
        <w:tc>
          <w:tcPr>
            <w:tcW w:type="dxa" w:w="2600"/>
            <w:shd w:fill="F7F3F3" w:val="clear"/>
            <w:tcMar>
              <w:top w:type="dxa" w:w="60"/>
              <w:left w:type="dxa" w:w="100"/>
              <w:bottom w:type="dxa" w:w="60"/>
              <w:right w:type="dxa" w:w="100"/>
            </w:tcMar>
          </w:tcPr>
          <w:p>
            <w:pPr>
              <w:spacing w:after="0"/>
            </w:pPr>
            <w:r>
              <w:rPr>
                <w:rFonts w:ascii="Calibri" w:cs="Calibri" w:eastAsia="Calibri" w:hAnsi="Calibri"/>
                <w:color w:val="262626"/>
                <w:sz w:val="20"/>
                <w:szCs w:val="20"/>
              </w:rPr>
              <w:t xml:space="preserve">A — Action</w:t>
            </w:r>
          </w:p>
        </w:tc>
        <w:tc>
          <w:tcPr>
            <w:tcW w:type="dxa" w:w="8000"/>
            <w:shd w:fill="F7F3F3" w:val="clear"/>
            <w:tcMar>
              <w:top w:type="dxa" w:w="60"/>
              <w:left w:type="dxa" w:w="100"/>
              <w:bottom w:type="dxa" w:w="60"/>
              <w:right w:type="dxa" w:w="100"/>
            </w:tcMar>
          </w:tcPr>
          <w:p>
            <w:pPr>
              <w:spacing w:after="0"/>
            </w:pPr>
            <w:r>
              <w:rPr>
                <w:rFonts w:ascii="Calibri" w:cs="Calibri" w:eastAsia="Calibri" w:hAnsi="Calibri"/>
                <w:color w:val="262626"/>
                <w:sz w:val="20"/>
                <w:szCs w:val="20"/>
              </w:rPr>
              <w:t xml:space="preserve">What YOU did, with specifics, in first person singular. “We” answers get probed until an “I” appears — volunteer it first.</w:t>
            </w:r>
          </w:p>
        </w:tc>
      </w:tr>
      <w:tr>
        <w:tc>
          <w:tcPr>
            <w:tcW w:type="dxa" w:w="2600"/>
            <w:tcMar>
              <w:top w:type="dxa" w:w="60"/>
              <w:left w:type="dxa" w:w="100"/>
              <w:bottom w:type="dxa" w:w="60"/>
              <w:right w:type="dxa" w:w="100"/>
            </w:tcMar>
          </w:tcPr>
          <w:p>
            <w:pPr>
              <w:spacing w:after="0"/>
            </w:pPr>
            <w:r>
              <w:rPr>
                <w:rFonts w:ascii="Calibri" w:cs="Calibri" w:eastAsia="Calibri" w:hAnsi="Calibri"/>
                <w:color w:val="262626"/>
                <w:sz w:val="20"/>
                <w:szCs w:val="20"/>
              </w:rPr>
              <w:t xml:space="preserve">R — Results</w:t>
            </w:r>
          </w:p>
        </w:tc>
        <w:tc>
          <w:tcPr>
            <w:tcW w:type="dxa" w:w="8000"/>
            <w:tcMar>
              <w:top w:type="dxa" w:w="60"/>
              <w:left w:type="dxa" w:w="100"/>
              <w:bottom w:type="dxa" w:w="60"/>
              <w:right w:type="dxa" w:w="100"/>
            </w:tcMar>
          </w:tcPr>
          <w:p>
            <w:pPr>
              <w:spacing w:after="0"/>
            </w:pPr>
            <w:r>
              <w:rPr>
                <w:rFonts w:ascii="Calibri" w:cs="Calibri" w:eastAsia="Calibri" w:hAnsi="Calibri"/>
                <w:color w:val="262626"/>
                <w:sz w:val="20"/>
                <w:szCs w:val="20"/>
              </w:rPr>
              <w:t xml:space="preserve">The outcome and its impact on the business, with metrics or data wherever you have them. A miss honestly accounted for beats a vague win.</w:t>
            </w:r>
          </w:p>
        </w:tc>
      </w:tr>
      <w:tr>
        <w:tc>
          <w:tcPr>
            <w:tcW w:type="dxa" w:w="2600"/>
            <w:shd w:fill="F7F3F3" w:val="clear"/>
            <w:tcMar>
              <w:top w:type="dxa" w:w="60"/>
              <w:left w:type="dxa" w:w="100"/>
              <w:bottom w:type="dxa" w:w="60"/>
              <w:right w:type="dxa" w:w="100"/>
            </w:tcMar>
          </w:tcPr>
          <w:p>
            <w:pPr>
              <w:spacing w:after="0"/>
            </w:pPr>
            <w:r>
              <w:rPr>
                <w:rFonts w:ascii="Calibri" w:cs="Calibri" w:eastAsia="Calibri" w:hAnsi="Calibri"/>
                <w:color w:val="262626"/>
                <w:sz w:val="20"/>
                <w:szCs w:val="20"/>
              </w:rPr>
              <w:t xml:space="preserve">L — Learning</w:t>
            </w:r>
          </w:p>
        </w:tc>
        <w:tc>
          <w:tcPr>
            <w:tcW w:type="dxa" w:w="8000"/>
            <w:shd w:fill="F7F3F3" w:val="clear"/>
            <w:tcMar>
              <w:top w:type="dxa" w:w="60"/>
              <w:left w:type="dxa" w:w="100"/>
              <w:bottom w:type="dxa" w:w="60"/>
              <w:right w:type="dxa" w:w="100"/>
            </w:tcMar>
          </w:tcPr>
          <w:p>
            <w:pPr>
              <w:spacing w:after="0"/>
            </w:pPr>
            <w:r>
              <w:rPr>
                <w:rFonts w:ascii="Calibri" w:cs="Calibri" w:eastAsia="Calibri" w:hAnsi="Calibri"/>
                <w:color w:val="262626"/>
                <w:sz w:val="20"/>
                <w:szCs w:val="20"/>
              </w:rPr>
              <w:t xml:space="preserve">What you learned — about yourself, the work, or people — and how you've used it since. If the result wasn't positive, what you'd do differently. This is the “repeatable method” signal in the 4 anchor.</w:t>
            </w:r>
          </w:p>
        </w:tc>
      </w:tr>
    </w:tbl>
    <w:p>
      <w:pPr>
        <w:spacing w:after="100" w:before="0"/>
      </w:pPr>
      <w:r>
        <w:rPr>
          <w:rFonts w:ascii="Calibri" w:cs="Calibri" w:eastAsia="Calibri" w:hAnsi="Calibri"/>
          <w:color w:val="262626"/>
          <w:sz w:val="22"/>
          <w:szCs w:val="22"/>
        </w:rPr>
        <w:t xml:space="preserve"/>
      </w:r>
    </w:p>
    <w:p>
      <w:pPr>
        <w:spacing w:after="160"/>
      </w:pPr>
      <w:r>
        <w:rPr>
          <w:rFonts w:ascii="Calibri" w:cs="Calibri" w:eastAsia="Calibri" w:hAnsi="Calibri"/>
          <w:b/>
          <w:bCs/>
          <w:color w:val="262626"/>
          <w:sz w:val="22"/>
          <w:szCs w:val="22"/>
        </w:rPr>
        <w:t xml:space="preserve">Tell, then Show: </w:t>
      </w:r>
      <w:r>
        <w:rPr>
          <w:rFonts w:ascii="Calibri" w:cs="Calibri" w:eastAsia="Calibri" w:hAnsi="Calibri"/>
          <w:color w:val="262626"/>
          <w:sz w:val="22"/>
          <w:szCs w:val="22"/>
        </w:rPr>
        <w:t xml:space="preserve">answer the question directly first, then bring the answer to life with the CARL story. And for variety, some answers land harder led with the Result — “We cut wait times in half; here's how.”</w:t>
      </w:r>
    </w:p>
    <w:p>
      <w:pPr>
        <w:spacing w:after="160"/>
      </w:pPr>
      <w:r>
        <w:rPr>
          <w:rFonts w:ascii="Calibri" w:cs="Calibri" w:eastAsia="Calibri" w:hAnsi="Calibri"/>
          <w:b/>
          <w:bCs/>
          <w:color w:val="262626"/>
          <w:sz w:val="22"/>
          <w:szCs w:val="22"/>
        </w:rPr>
        <w:t xml:space="preserve">On honesty: </w:t>
      </w:r>
      <w:r>
        <w:rPr>
          <w:rFonts w:ascii="Calibri" w:cs="Calibri" w:eastAsia="Calibri" w:hAnsi="Calibri"/>
          <w:color w:val="262626"/>
          <w:sz w:val="22"/>
          <w:szCs w:val="22"/>
        </w:rPr>
        <w:t xml:space="preserve">never inflate or invent. Trained interviewers probe every story from three angles, and a fabricated example collapses under “what did you do next?” — which converts a would-be 3 into a 1 plus a risk flag. A modest real story with a clear Learning outscores an impressive fake one every time, because the rubric rewards ownership and growth, not scale.</w:t>
      </w:r>
    </w:p>
    <w:p>
      <w:pPr>
        <w:pStyle w:val="Heading1"/>
        <w:spacing w:after="200" w:before="360"/>
      </w:pPr>
      <w:r>
        <w:rPr>
          <w:rFonts w:ascii="Georgia" w:cs="Georgia" w:eastAsia="Georgia" w:hAnsi="Georgia"/>
          <w:b/>
          <w:bCs/>
          <w:color w:val="890000"/>
          <w:sz w:val="32"/>
          <w:szCs w:val="32"/>
        </w:rPr>
        <w:t xml:space="preserve">6. The Story Bank Method</w:t>
      </w:r>
    </w:p>
    <w:p>
      <w:pPr>
        <w:spacing w:after="160"/>
      </w:pPr>
      <w:r>
        <w:rPr>
          <w:rFonts w:ascii="Calibri" w:cs="Calibri" w:eastAsia="Calibri" w:hAnsi="Calibri"/>
          <w:b/>
          <w:bCs/>
          <w:color w:val="262626"/>
          <w:sz w:val="22"/>
          <w:szCs w:val="22"/>
        </w:rPr>
        <w:t xml:space="preserve">Where to start: the Top Behavioral Stories track. </w:t>
      </w:r>
      <w:r>
        <w:rPr>
          <w:rFonts w:ascii="Calibri" w:cs="Calibri" w:eastAsia="Calibri" w:hAnsi="Calibri"/>
          <w:color w:val="262626"/>
          <w:sz w:val="22"/>
          <w:szCs w:val="22"/>
        </w:rPr>
        <w:t xml:space="preserve">The Mock Interview Lifecycle's first “role” — Strengths &amp; Weaknesses — Top Behavioral Stories — is built from your careers-class question set plus the classic questions that stump candidates: greatest strength and weakness, failure, challenging feedback, conflict, disagreeing with your manager, a goal you missed, a decision you'd take back. Run it before any role-specific track: the answers you build there ARE your first story bank, and every one of them transfers.</w:t>
      </w:r>
    </w:p>
    <w:p>
      <w:pPr>
        <w:spacing w:after="160" w:before="0"/>
      </w:pPr>
      <w:r>
        <w:rPr>
          <w:rFonts w:ascii="Calibri" w:cs="Calibri" w:eastAsia="Calibri" w:hAnsi="Calibri"/>
          <w:color w:val="262626"/>
          <w:sz w:val="22"/>
          <w:szCs w:val="22"/>
        </w:rPr>
        <w:t xml:space="preserve">Build 8–10 stories before your first interview. Each story should serve 2–3 competencies, and together they should cover your target role's full competency map (role explorer, online). Draft them in the matrix below, then practice them out loud until the beats are automatic and the delivery is not.</w:t>
      </w:r>
    </w:p>
    <w:p>
      <w:pPr>
        <w:pStyle w:val="ListParagraph"/>
        <w:numPr>
          <w:ilvl w:val="0"/>
          <w:numId w:val="3"/>
        </w:numPr>
        <w:spacing w:after="80"/>
      </w:pPr>
      <w:r>
        <w:rPr>
          <w:rFonts w:ascii="Calibri" w:cs="Calibri" w:eastAsia="Calibri" w:hAnsi="Calibri"/>
          <w:color w:val="262626"/>
          <w:sz w:val="22"/>
          <w:szCs w:val="22"/>
        </w:rPr>
        <w:t xml:space="preserve">List your raw material: projects, turnarounds, conflicts, failures, launches, analyses — from work, the MBA, and anywhere you had real responsibility.</w:t>
      </w:r>
    </w:p>
    <w:p>
      <w:pPr>
        <w:pStyle w:val="ListParagraph"/>
        <w:numPr>
          <w:ilvl w:val="0"/>
          <w:numId w:val="3"/>
        </w:numPr>
        <w:spacing w:after="80"/>
      </w:pPr>
      <w:r>
        <w:rPr>
          <w:rFonts w:ascii="Calibri" w:cs="Calibri" w:eastAsia="Calibri" w:hAnsi="Calibri"/>
          <w:color w:val="262626"/>
          <w:sz w:val="22"/>
          <w:szCs w:val="22"/>
        </w:rPr>
        <w:t xml:space="preserve">Pick 8–10 with a genuine result or a genuine lesson. Include at least two failures or hard calls — Stage 4 runs on them.</w:t>
      </w:r>
    </w:p>
    <w:p>
      <w:pPr>
        <w:pStyle w:val="ListParagraph"/>
        <w:numPr>
          <w:ilvl w:val="0"/>
          <w:numId w:val="3"/>
        </w:numPr>
        <w:spacing w:after="80"/>
      </w:pPr>
      <w:r>
        <w:rPr>
          <w:rFonts w:ascii="Calibri" w:cs="Calibri" w:eastAsia="Calibri" w:hAnsi="Calibri"/>
          <w:color w:val="262626"/>
          <w:sz w:val="22"/>
          <w:szCs w:val="22"/>
        </w:rPr>
        <w:t xml:space="preserve">Map each story to the competencies it evidences. Fill gaps: a competency with no story is a question you can't answer.</w:t>
      </w:r>
    </w:p>
    <w:p>
      <w:pPr>
        <w:pStyle w:val="ListParagraph"/>
        <w:numPr>
          <w:ilvl w:val="0"/>
          <w:numId w:val="3"/>
        </w:numPr>
        <w:spacing w:after="80"/>
      </w:pPr>
      <w:r>
        <w:rPr>
          <w:rFonts w:ascii="Calibri" w:cs="Calibri" w:eastAsia="Calibri" w:hAnsi="Calibri"/>
          <w:color w:val="262626"/>
          <w:sz w:val="22"/>
          <w:szCs w:val="22"/>
        </w:rPr>
        <w:t xml:space="preserve">Attach one number to every story. Revenue, hours, percentage, headcount, deadline — anything true and concrete.</w:t>
      </w:r>
    </w:p>
    <w:p>
      <w:pPr>
        <w:pStyle w:val="ListParagraph"/>
        <w:numPr>
          <w:ilvl w:val="0"/>
          <w:numId w:val="3"/>
        </w:numPr>
        <w:spacing w:after="80"/>
      </w:pPr>
      <w:r>
        <w:rPr>
          <w:rFonts w:ascii="Calibri" w:cs="Calibri" w:eastAsia="Calibri" w:hAnsi="Calibri"/>
          <w:color w:val="262626"/>
          <w:sz w:val="22"/>
          <w:szCs w:val="22"/>
        </w:rPr>
        <w:t xml:space="preserve">Write the Learning line for each: what you learned and where you've used it since.</w:t>
      </w:r>
    </w:p>
    <w:p>
      <w:pPr>
        <w:pStyle w:val="Heading3"/>
        <w:spacing w:after="110" w:before="200"/>
      </w:pPr>
      <w:r>
        <w:rPr>
          <w:rFonts w:ascii="Calibri" w:cs="Calibri" w:eastAsia="Calibri" w:hAnsi="Calibri"/>
          <w:b/>
          <w:bCs/>
          <w:color w:val="CC0000"/>
          <w:sz w:val="23"/>
          <w:szCs w:val="23"/>
        </w:rPr>
        <w:t xml:space="preserve">Story bank matrix (fill this in)</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2800"/>
        <w:gridCol w:w="1700"/>
        <w:gridCol w:w="2400"/>
      </w:tblGrid>
      <w:tr>
        <w:trPr>
          <w:tblHeader/>
        </w:trPr>
        <w:tc>
          <w:tcPr>
            <w:tcW w:type="dxa" w:w="500"/>
            <w:shd w:fill="890000"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w:t>
            </w:r>
          </w:p>
        </w:tc>
        <w:tc>
          <w:tcPr>
            <w:tcW w:type="dxa" w:w="3200"/>
            <w:shd w:fill="890000"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Story (one line)</w:t>
            </w:r>
          </w:p>
        </w:tc>
        <w:tc>
          <w:tcPr>
            <w:tcW w:type="dxa" w:w="2800"/>
            <w:shd w:fill="890000"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Competencies it serves</w:t>
            </w:r>
          </w:p>
        </w:tc>
        <w:tc>
          <w:tcPr>
            <w:tcW w:type="dxa" w:w="1700"/>
            <w:shd w:fill="890000"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The number</w:t>
            </w:r>
          </w:p>
        </w:tc>
        <w:tc>
          <w:tcPr>
            <w:tcW w:type="dxa" w:w="2400"/>
            <w:shd w:fill="890000"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Learning line</w:t>
            </w:r>
          </w:p>
        </w:tc>
      </w:tr>
      <w:tr>
        <w:tc>
          <w:tcPr>
            <w:tcW w:type="dxa" w:w="500"/>
            <w:tcMar>
              <w:top w:type="dxa" w:w="60"/>
              <w:left w:type="dxa" w:w="100"/>
              <w:bottom w:type="dxa" w:w="60"/>
              <w:right w:type="dxa" w:w="100"/>
            </w:tcMar>
          </w:tcPr>
          <w:p>
            <w:pPr>
              <w:spacing w:after="0"/>
            </w:pPr>
            <w:r>
              <w:rPr>
                <w:rFonts w:ascii="Calibri" w:cs="Calibri" w:eastAsia="Calibri" w:hAnsi="Calibri"/>
                <w:color w:val="262626"/>
                <w:sz w:val="20"/>
                <w:szCs w:val="20"/>
              </w:rPr>
              <w:t xml:space="preserve">1</w:t>
            </w:r>
          </w:p>
        </w:tc>
        <w:tc>
          <w:tcPr>
            <w:tcW w:type="dxa" w:w="3200"/>
            <w:tcMar>
              <w:top w:type="dxa" w:w="60"/>
              <w:left w:type="dxa" w:w="100"/>
              <w:bottom w:type="dxa" w:w="60"/>
              <w:right w:type="dxa" w:w="100"/>
            </w:tcMar>
          </w:tcPr>
          <w:p>
            <w:pPr>
              <w:spacing w:after="0"/>
            </w:pPr>
            <w:r>
              <w:rPr>
                <w:rFonts w:ascii="Calibri" w:cs="Calibri" w:eastAsia="Calibri" w:hAnsi="Calibri"/>
                <w:color w:val="262626"/>
                <w:sz w:val="20"/>
                <w:szCs w:val="20"/>
              </w:rPr>
              <w:t xml:space="preserve"/>
            </w:r>
          </w:p>
        </w:tc>
        <w:tc>
          <w:tcPr>
            <w:tcW w:type="dxa" w:w="2800"/>
            <w:tcMar>
              <w:top w:type="dxa" w:w="60"/>
              <w:left w:type="dxa" w:w="100"/>
              <w:bottom w:type="dxa" w:w="60"/>
              <w:right w:type="dxa" w:w="100"/>
            </w:tcMar>
          </w:tcPr>
          <w:p>
            <w:pPr>
              <w:spacing w:after="0"/>
            </w:pPr>
            <w:r>
              <w:rPr>
                <w:rFonts w:ascii="Calibri" w:cs="Calibri" w:eastAsia="Calibri" w:hAnsi="Calibri"/>
                <w:color w:val="262626"/>
                <w:sz w:val="20"/>
                <w:szCs w:val="20"/>
              </w:rPr>
              <w:t xml:space="preserve"/>
            </w:r>
          </w:p>
        </w:tc>
        <w:tc>
          <w:tcPr>
            <w:tcW w:type="dxa" w:w="1700"/>
            <w:tcMar>
              <w:top w:type="dxa" w:w="60"/>
              <w:left w:type="dxa" w:w="100"/>
              <w:bottom w:type="dxa" w:w="60"/>
              <w:right w:type="dxa" w:w="100"/>
            </w:tcMar>
          </w:tcPr>
          <w:p>
            <w:pPr>
              <w:spacing w:after="0"/>
            </w:pPr>
            <w:r>
              <w:rPr>
                <w:rFonts w:ascii="Calibri" w:cs="Calibri" w:eastAsia="Calibri" w:hAnsi="Calibri"/>
                <w:color w:val="262626"/>
                <w:sz w:val="20"/>
                <w:szCs w:val="20"/>
              </w:rPr>
              <w:t xml:space="preserve"/>
            </w:r>
          </w:p>
        </w:tc>
        <w:tc>
          <w:tcPr>
            <w:tcW w:type="dxa" w:w="2400"/>
            <w:tcMar>
              <w:top w:type="dxa" w:w="60"/>
              <w:left w:type="dxa" w:w="100"/>
              <w:bottom w:type="dxa" w:w="60"/>
              <w:right w:type="dxa" w:w="100"/>
            </w:tcMar>
          </w:tcPr>
          <w:p>
            <w:pPr>
              <w:spacing w:after="0"/>
            </w:pPr>
            <w:r>
              <w:rPr>
                <w:rFonts w:ascii="Calibri" w:cs="Calibri" w:eastAsia="Calibri" w:hAnsi="Calibri"/>
                <w:color w:val="262626"/>
                <w:sz w:val="20"/>
                <w:szCs w:val="20"/>
              </w:rPr>
              <w:t xml:space="preserve"/>
            </w:r>
          </w:p>
        </w:tc>
      </w:tr>
      <w:tr>
        <w:tc>
          <w:tcPr>
            <w:tcW w:type="dxa" w:w="500"/>
            <w:shd w:fill="F7F3F3" w:val="clear"/>
            <w:tcMar>
              <w:top w:type="dxa" w:w="60"/>
              <w:left w:type="dxa" w:w="100"/>
              <w:bottom w:type="dxa" w:w="60"/>
              <w:right w:type="dxa" w:w="100"/>
            </w:tcMar>
          </w:tcPr>
          <w:p>
            <w:pPr>
              <w:spacing w:after="0"/>
            </w:pPr>
            <w:r>
              <w:rPr>
                <w:rFonts w:ascii="Calibri" w:cs="Calibri" w:eastAsia="Calibri" w:hAnsi="Calibri"/>
                <w:color w:val="262626"/>
                <w:sz w:val="20"/>
                <w:szCs w:val="20"/>
              </w:rPr>
              <w:t xml:space="preserve">2</w:t>
            </w:r>
          </w:p>
        </w:tc>
        <w:tc>
          <w:tcPr>
            <w:tcW w:type="dxa" w:w="3200"/>
            <w:shd w:fill="F7F3F3" w:val="clear"/>
            <w:tcMar>
              <w:top w:type="dxa" w:w="60"/>
              <w:left w:type="dxa" w:w="100"/>
              <w:bottom w:type="dxa" w:w="60"/>
              <w:right w:type="dxa" w:w="100"/>
            </w:tcMar>
          </w:tcPr>
          <w:p>
            <w:pPr>
              <w:spacing w:after="0"/>
            </w:pPr>
            <w:r>
              <w:rPr>
                <w:rFonts w:ascii="Calibri" w:cs="Calibri" w:eastAsia="Calibri" w:hAnsi="Calibri"/>
                <w:color w:val="262626"/>
                <w:sz w:val="20"/>
                <w:szCs w:val="20"/>
              </w:rPr>
              <w:t xml:space="preserve"/>
            </w:r>
          </w:p>
        </w:tc>
        <w:tc>
          <w:tcPr>
            <w:tcW w:type="dxa" w:w="2800"/>
            <w:shd w:fill="F7F3F3" w:val="clear"/>
            <w:tcMar>
              <w:top w:type="dxa" w:w="60"/>
              <w:left w:type="dxa" w:w="100"/>
              <w:bottom w:type="dxa" w:w="60"/>
              <w:right w:type="dxa" w:w="100"/>
            </w:tcMar>
          </w:tcPr>
          <w:p>
            <w:pPr>
              <w:spacing w:after="0"/>
            </w:pPr>
            <w:r>
              <w:rPr>
                <w:rFonts w:ascii="Calibri" w:cs="Calibri" w:eastAsia="Calibri" w:hAnsi="Calibri"/>
                <w:color w:val="262626"/>
                <w:sz w:val="20"/>
                <w:szCs w:val="20"/>
              </w:rPr>
              <w:t xml:space="preserve"/>
            </w:r>
          </w:p>
        </w:tc>
        <w:tc>
          <w:tcPr>
            <w:tcW w:type="dxa" w:w="1700"/>
            <w:shd w:fill="F7F3F3" w:val="clear"/>
            <w:tcMar>
              <w:top w:type="dxa" w:w="60"/>
              <w:left w:type="dxa" w:w="100"/>
              <w:bottom w:type="dxa" w:w="60"/>
              <w:right w:type="dxa" w:w="100"/>
            </w:tcMar>
          </w:tcPr>
          <w:p>
            <w:pPr>
              <w:spacing w:after="0"/>
            </w:pPr>
            <w:r>
              <w:rPr>
                <w:rFonts w:ascii="Calibri" w:cs="Calibri" w:eastAsia="Calibri" w:hAnsi="Calibri"/>
                <w:color w:val="262626"/>
                <w:sz w:val="20"/>
                <w:szCs w:val="20"/>
              </w:rPr>
              <w:t xml:space="preserve"/>
            </w:r>
          </w:p>
        </w:tc>
        <w:tc>
          <w:tcPr>
            <w:tcW w:type="dxa" w:w="2400"/>
            <w:shd w:fill="F7F3F3" w:val="clear"/>
            <w:tcMar>
              <w:top w:type="dxa" w:w="60"/>
              <w:left w:type="dxa" w:w="100"/>
              <w:bottom w:type="dxa" w:w="60"/>
              <w:right w:type="dxa" w:w="100"/>
            </w:tcMar>
          </w:tcPr>
          <w:p>
            <w:pPr>
              <w:spacing w:after="0"/>
            </w:pPr>
            <w:r>
              <w:rPr>
                <w:rFonts w:ascii="Calibri" w:cs="Calibri" w:eastAsia="Calibri" w:hAnsi="Calibri"/>
                <w:color w:val="262626"/>
                <w:sz w:val="20"/>
                <w:szCs w:val="20"/>
              </w:rPr>
              <w:t xml:space="preserve"/>
            </w:r>
          </w:p>
        </w:tc>
      </w:tr>
      <w:tr>
        <w:tc>
          <w:tcPr>
            <w:tcW w:type="dxa" w:w="500"/>
            <w:tcMar>
              <w:top w:type="dxa" w:w="60"/>
              <w:left w:type="dxa" w:w="100"/>
              <w:bottom w:type="dxa" w:w="60"/>
              <w:right w:type="dxa" w:w="100"/>
            </w:tcMar>
          </w:tcPr>
          <w:p>
            <w:pPr>
              <w:spacing w:after="0"/>
            </w:pPr>
            <w:r>
              <w:rPr>
                <w:rFonts w:ascii="Calibri" w:cs="Calibri" w:eastAsia="Calibri" w:hAnsi="Calibri"/>
                <w:color w:val="262626"/>
                <w:sz w:val="20"/>
                <w:szCs w:val="20"/>
              </w:rPr>
              <w:t xml:space="preserve">3</w:t>
            </w:r>
          </w:p>
        </w:tc>
        <w:tc>
          <w:tcPr>
            <w:tcW w:type="dxa" w:w="3200"/>
            <w:tcMar>
              <w:top w:type="dxa" w:w="60"/>
              <w:left w:type="dxa" w:w="100"/>
              <w:bottom w:type="dxa" w:w="60"/>
              <w:right w:type="dxa" w:w="100"/>
            </w:tcMar>
          </w:tcPr>
          <w:p>
            <w:pPr>
              <w:spacing w:after="0"/>
            </w:pPr>
            <w:r>
              <w:rPr>
                <w:rFonts w:ascii="Calibri" w:cs="Calibri" w:eastAsia="Calibri" w:hAnsi="Calibri"/>
                <w:color w:val="262626"/>
                <w:sz w:val="20"/>
                <w:szCs w:val="20"/>
              </w:rPr>
              <w:t xml:space="preserve"/>
            </w:r>
          </w:p>
        </w:tc>
        <w:tc>
          <w:tcPr>
            <w:tcW w:type="dxa" w:w="2800"/>
            <w:tcMar>
              <w:top w:type="dxa" w:w="60"/>
              <w:left w:type="dxa" w:w="100"/>
              <w:bottom w:type="dxa" w:w="60"/>
              <w:right w:type="dxa" w:w="100"/>
            </w:tcMar>
          </w:tcPr>
          <w:p>
            <w:pPr>
              <w:spacing w:after="0"/>
            </w:pPr>
            <w:r>
              <w:rPr>
                <w:rFonts w:ascii="Calibri" w:cs="Calibri" w:eastAsia="Calibri" w:hAnsi="Calibri"/>
                <w:color w:val="262626"/>
                <w:sz w:val="20"/>
                <w:szCs w:val="20"/>
              </w:rPr>
              <w:t xml:space="preserve"/>
            </w:r>
          </w:p>
        </w:tc>
        <w:tc>
          <w:tcPr>
            <w:tcW w:type="dxa" w:w="1700"/>
            <w:tcMar>
              <w:top w:type="dxa" w:w="60"/>
              <w:left w:type="dxa" w:w="100"/>
              <w:bottom w:type="dxa" w:w="60"/>
              <w:right w:type="dxa" w:w="100"/>
            </w:tcMar>
          </w:tcPr>
          <w:p>
            <w:pPr>
              <w:spacing w:after="0"/>
            </w:pPr>
            <w:r>
              <w:rPr>
                <w:rFonts w:ascii="Calibri" w:cs="Calibri" w:eastAsia="Calibri" w:hAnsi="Calibri"/>
                <w:color w:val="262626"/>
                <w:sz w:val="20"/>
                <w:szCs w:val="20"/>
              </w:rPr>
              <w:t xml:space="preserve"/>
            </w:r>
          </w:p>
        </w:tc>
        <w:tc>
          <w:tcPr>
            <w:tcW w:type="dxa" w:w="2400"/>
            <w:tcMar>
              <w:top w:type="dxa" w:w="60"/>
              <w:left w:type="dxa" w:w="100"/>
              <w:bottom w:type="dxa" w:w="60"/>
              <w:right w:type="dxa" w:w="100"/>
            </w:tcMar>
          </w:tcPr>
          <w:p>
            <w:pPr>
              <w:spacing w:after="0"/>
            </w:pPr>
            <w:r>
              <w:rPr>
                <w:rFonts w:ascii="Calibri" w:cs="Calibri" w:eastAsia="Calibri" w:hAnsi="Calibri"/>
                <w:color w:val="262626"/>
                <w:sz w:val="20"/>
                <w:szCs w:val="20"/>
              </w:rPr>
              <w:t xml:space="preserve"/>
            </w:r>
          </w:p>
        </w:tc>
      </w:tr>
      <w:tr>
        <w:tc>
          <w:tcPr>
            <w:tcW w:type="dxa" w:w="500"/>
            <w:shd w:fill="F7F3F3" w:val="clear"/>
            <w:tcMar>
              <w:top w:type="dxa" w:w="60"/>
              <w:left w:type="dxa" w:w="100"/>
              <w:bottom w:type="dxa" w:w="60"/>
              <w:right w:type="dxa" w:w="100"/>
            </w:tcMar>
          </w:tcPr>
          <w:p>
            <w:pPr>
              <w:spacing w:after="0"/>
            </w:pPr>
            <w:r>
              <w:rPr>
                <w:rFonts w:ascii="Calibri" w:cs="Calibri" w:eastAsia="Calibri" w:hAnsi="Calibri"/>
                <w:color w:val="262626"/>
                <w:sz w:val="20"/>
                <w:szCs w:val="20"/>
              </w:rPr>
              <w:t xml:space="preserve">4</w:t>
            </w:r>
          </w:p>
        </w:tc>
        <w:tc>
          <w:tcPr>
            <w:tcW w:type="dxa" w:w="3200"/>
            <w:shd w:fill="F7F3F3" w:val="clear"/>
            <w:tcMar>
              <w:top w:type="dxa" w:w="60"/>
              <w:left w:type="dxa" w:w="100"/>
              <w:bottom w:type="dxa" w:w="60"/>
              <w:right w:type="dxa" w:w="100"/>
            </w:tcMar>
          </w:tcPr>
          <w:p>
            <w:pPr>
              <w:spacing w:after="0"/>
            </w:pPr>
            <w:r>
              <w:rPr>
                <w:rFonts w:ascii="Calibri" w:cs="Calibri" w:eastAsia="Calibri" w:hAnsi="Calibri"/>
                <w:color w:val="262626"/>
                <w:sz w:val="20"/>
                <w:szCs w:val="20"/>
              </w:rPr>
              <w:t xml:space="preserve"/>
            </w:r>
          </w:p>
        </w:tc>
        <w:tc>
          <w:tcPr>
            <w:tcW w:type="dxa" w:w="2800"/>
            <w:shd w:fill="F7F3F3" w:val="clear"/>
            <w:tcMar>
              <w:top w:type="dxa" w:w="60"/>
              <w:left w:type="dxa" w:w="100"/>
              <w:bottom w:type="dxa" w:w="60"/>
              <w:right w:type="dxa" w:w="100"/>
            </w:tcMar>
          </w:tcPr>
          <w:p>
            <w:pPr>
              <w:spacing w:after="0"/>
            </w:pPr>
            <w:r>
              <w:rPr>
                <w:rFonts w:ascii="Calibri" w:cs="Calibri" w:eastAsia="Calibri" w:hAnsi="Calibri"/>
                <w:color w:val="262626"/>
                <w:sz w:val="20"/>
                <w:szCs w:val="20"/>
              </w:rPr>
              <w:t xml:space="preserve"/>
            </w:r>
          </w:p>
        </w:tc>
        <w:tc>
          <w:tcPr>
            <w:tcW w:type="dxa" w:w="1700"/>
            <w:shd w:fill="F7F3F3" w:val="clear"/>
            <w:tcMar>
              <w:top w:type="dxa" w:w="60"/>
              <w:left w:type="dxa" w:w="100"/>
              <w:bottom w:type="dxa" w:w="60"/>
              <w:right w:type="dxa" w:w="100"/>
            </w:tcMar>
          </w:tcPr>
          <w:p>
            <w:pPr>
              <w:spacing w:after="0"/>
            </w:pPr>
            <w:r>
              <w:rPr>
                <w:rFonts w:ascii="Calibri" w:cs="Calibri" w:eastAsia="Calibri" w:hAnsi="Calibri"/>
                <w:color w:val="262626"/>
                <w:sz w:val="20"/>
                <w:szCs w:val="20"/>
              </w:rPr>
              <w:t xml:space="preserve"/>
            </w:r>
          </w:p>
        </w:tc>
        <w:tc>
          <w:tcPr>
            <w:tcW w:type="dxa" w:w="2400"/>
            <w:shd w:fill="F7F3F3" w:val="clear"/>
            <w:tcMar>
              <w:top w:type="dxa" w:w="60"/>
              <w:left w:type="dxa" w:w="100"/>
              <w:bottom w:type="dxa" w:w="60"/>
              <w:right w:type="dxa" w:w="100"/>
            </w:tcMar>
          </w:tcPr>
          <w:p>
            <w:pPr>
              <w:spacing w:after="0"/>
            </w:pPr>
            <w:r>
              <w:rPr>
                <w:rFonts w:ascii="Calibri" w:cs="Calibri" w:eastAsia="Calibri" w:hAnsi="Calibri"/>
                <w:color w:val="262626"/>
                <w:sz w:val="20"/>
                <w:szCs w:val="20"/>
              </w:rPr>
              <w:t xml:space="preserve"/>
            </w:r>
          </w:p>
        </w:tc>
      </w:tr>
      <w:tr>
        <w:tc>
          <w:tcPr>
            <w:tcW w:type="dxa" w:w="500"/>
            <w:tcMar>
              <w:top w:type="dxa" w:w="60"/>
              <w:left w:type="dxa" w:w="100"/>
              <w:bottom w:type="dxa" w:w="60"/>
              <w:right w:type="dxa" w:w="100"/>
            </w:tcMar>
          </w:tcPr>
          <w:p>
            <w:pPr>
              <w:spacing w:after="0"/>
            </w:pPr>
            <w:r>
              <w:rPr>
                <w:rFonts w:ascii="Calibri" w:cs="Calibri" w:eastAsia="Calibri" w:hAnsi="Calibri"/>
                <w:color w:val="262626"/>
                <w:sz w:val="20"/>
                <w:szCs w:val="20"/>
              </w:rPr>
              <w:t xml:space="preserve">5</w:t>
            </w:r>
          </w:p>
        </w:tc>
        <w:tc>
          <w:tcPr>
            <w:tcW w:type="dxa" w:w="3200"/>
            <w:tcMar>
              <w:top w:type="dxa" w:w="60"/>
              <w:left w:type="dxa" w:w="100"/>
              <w:bottom w:type="dxa" w:w="60"/>
              <w:right w:type="dxa" w:w="100"/>
            </w:tcMar>
          </w:tcPr>
          <w:p>
            <w:pPr>
              <w:spacing w:after="0"/>
            </w:pPr>
            <w:r>
              <w:rPr>
                <w:rFonts w:ascii="Calibri" w:cs="Calibri" w:eastAsia="Calibri" w:hAnsi="Calibri"/>
                <w:color w:val="262626"/>
                <w:sz w:val="20"/>
                <w:szCs w:val="20"/>
              </w:rPr>
              <w:t xml:space="preserve"/>
            </w:r>
          </w:p>
        </w:tc>
        <w:tc>
          <w:tcPr>
            <w:tcW w:type="dxa" w:w="2800"/>
            <w:tcMar>
              <w:top w:type="dxa" w:w="60"/>
              <w:left w:type="dxa" w:w="100"/>
              <w:bottom w:type="dxa" w:w="60"/>
              <w:right w:type="dxa" w:w="100"/>
            </w:tcMar>
          </w:tcPr>
          <w:p>
            <w:pPr>
              <w:spacing w:after="0"/>
            </w:pPr>
            <w:r>
              <w:rPr>
                <w:rFonts w:ascii="Calibri" w:cs="Calibri" w:eastAsia="Calibri" w:hAnsi="Calibri"/>
                <w:color w:val="262626"/>
                <w:sz w:val="20"/>
                <w:szCs w:val="20"/>
              </w:rPr>
              <w:t xml:space="preserve"/>
            </w:r>
          </w:p>
        </w:tc>
        <w:tc>
          <w:tcPr>
            <w:tcW w:type="dxa" w:w="1700"/>
            <w:tcMar>
              <w:top w:type="dxa" w:w="60"/>
              <w:left w:type="dxa" w:w="100"/>
              <w:bottom w:type="dxa" w:w="60"/>
              <w:right w:type="dxa" w:w="100"/>
            </w:tcMar>
          </w:tcPr>
          <w:p>
            <w:pPr>
              <w:spacing w:after="0"/>
            </w:pPr>
            <w:r>
              <w:rPr>
                <w:rFonts w:ascii="Calibri" w:cs="Calibri" w:eastAsia="Calibri" w:hAnsi="Calibri"/>
                <w:color w:val="262626"/>
                <w:sz w:val="20"/>
                <w:szCs w:val="20"/>
              </w:rPr>
              <w:t xml:space="preserve"/>
            </w:r>
          </w:p>
        </w:tc>
        <w:tc>
          <w:tcPr>
            <w:tcW w:type="dxa" w:w="2400"/>
            <w:tcMar>
              <w:top w:type="dxa" w:w="60"/>
              <w:left w:type="dxa" w:w="100"/>
              <w:bottom w:type="dxa" w:w="60"/>
              <w:right w:type="dxa" w:w="100"/>
            </w:tcMar>
          </w:tcPr>
          <w:p>
            <w:pPr>
              <w:spacing w:after="0"/>
            </w:pPr>
            <w:r>
              <w:rPr>
                <w:rFonts w:ascii="Calibri" w:cs="Calibri" w:eastAsia="Calibri" w:hAnsi="Calibri"/>
                <w:color w:val="262626"/>
                <w:sz w:val="20"/>
                <w:szCs w:val="20"/>
              </w:rPr>
              <w:t xml:space="preserve"/>
            </w:r>
          </w:p>
        </w:tc>
      </w:tr>
      <w:tr>
        <w:tc>
          <w:tcPr>
            <w:tcW w:type="dxa" w:w="500"/>
            <w:shd w:fill="F7F3F3" w:val="clear"/>
            <w:tcMar>
              <w:top w:type="dxa" w:w="60"/>
              <w:left w:type="dxa" w:w="100"/>
              <w:bottom w:type="dxa" w:w="60"/>
              <w:right w:type="dxa" w:w="100"/>
            </w:tcMar>
          </w:tcPr>
          <w:p>
            <w:pPr>
              <w:spacing w:after="0"/>
            </w:pPr>
            <w:r>
              <w:rPr>
                <w:rFonts w:ascii="Calibri" w:cs="Calibri" w:eastAsia="Calibri" w:hAnsi="Calibri"/>
                <w:color w:val="262626"/>
                <w:sz w:val="20"/>
                <w:szCs w:val="20"/>
              </w:rPr>
              <w:t xml:space="preserve">6</w:t>
            </w:r>
          </w:p>
        </w:tc>
        <w:tc>
          <w:tcPr>
            <w:tcW w:type="dxa" w:w="3200"/>
            <w:shd w:fill="F7F3F3" w:val="clear"/>
            <w:tcMar>
              <w:top w:type="dxa" w:w="60"/>
              <w:left w:type="dxa" w:w="100"/>
              <w:bottom w:type="dxa" w:w="60"/>
              <w:right w:type="dxa" w:w="100"/>
            </w:tcMar>
          </w:tcPr>
          <w:p>
            <w:pPr>
              <w:spacing w:after="0"/>
            </w:pPr>
            <w:r>
              <w:rPr>
                <w:rFonts w:ascii="Calibri" w:cs="Calibri" w:eastAsia="Calibri" w:hAnsi="Calibri"/>
                <w:color w:val="262626"/>
                <w:sz w:val="20"/>
                <w:szCs w:val="20"/>
              </w:rPr>
              <w:t xml:space="preserve"/>
            </w:r>
          </w:p>
        </w:tc>
        <w:tc>
          <w:tcPr>
            <w:tcW w:type="dxa" w:w="2800"/>
            <w:shd w:fill="F7F3F3" w:val="clear"/>
            <w:tcMar>
              <w:top w:type="dxa" w:w="60"/>
              <w:left w:type="dxa" w:w="100"/>
              <w:bottom w:type="dxa" w:w="60"/>
              <w:right w:type="dxa" w:w="100"/>
            </w:tcMar>
          </w:tcPr>
          <w:p>
            <w:pPr>
              <w:spacing w:after="0"/>
            </w:pPr>
            <w:r>
              <w:rPr>
                <w:rFonts w:ascii="Calibri" w:cs="Calibri" w:eastAsia="Calibri" w:hAnsi="Calibri"/>
                <w:color w:val="262626"/>
                <w:sz w:val="20"/>
                <w:szCs w:val="20"/>
              </w:rPr>
              <w:t xml:space="preserve"/>
            </w:r>
          </w:p>
        </w:tc>
        <w:tc>
          <w:tcPr>
            <w:tcW w:type="dxa" w:w="1700"/>
            <w:shd w:fill="F7F3F3" w:val="clear"/>
            <w:tcMar>
              <w:top w:type="dxa" w:w="60"/>
              <w:left w:type="dxa" w:w="100"/>
              <w:bottom w:type="dxa" w:w="60"/>
              <w:right w:type="dxa" w:w="100"/>
            </w:tcMar>
          </w:tcPr>
          <w:p>
            <w:pPr>
              <w:spacing w:after="0"/>
            </w:pPr>
            <w:r>
              <w:rPr>
                <w:rFonts w:ascii="Calibri" w:cs="Calibri" w:eastAsia="Calibri" w:hAnsi="Calibri"/>
                <w:color w:val="262626"/>
                <w:sz w:val="20"/>
                <w:szCs w:val="20"/>
              </w:rPr>
              <w:t xml:space="preserve"/>
            </w:r>
          </w:p>
        </w:tc>
        <w:tc>
          <w:tcPr>
            <w:tcW w:type="dxa" w:w="2400"/>
            <w:shd w:fill="F7F3F3" w:val="clear"/>
            <w:tcMar>
              <w:top w:type="dxa" w:w="60"/>
              <w:left w:type="dxa" w:w="100"/>
              <w:bottom w:type="dxa" w:w="60"/>
              <w:right w:type="dxa" w:w="100"/>
            </w:tcMar>
          </w:tcPr>
          <w:p>
            <w:pPr>
              <w:spacing w:after="0"/>
            </w:pPr>
            <w:r>
              <w:rPr>
                <w:rFonts w:ascii="Calibri" w:cs="Calibri" w:eastAsia="Calibri" w:hAnsi="Calibri"/>
                <w:color w:val="262626"/>
                <w:sz w:val="20"/>
                <w:szCs w:val="20"/>
              </w:rPr>
              <w:t xml:space="preserve"/>
            </w:r>
          </w:p>
        </w:tc>
      </w:tr>
      <w:tr>
        <w:tc>
          <w:tcPr>
            <w:tcW w:type="dxa" w:w="500"/>
            <w:tcMar>
              <w:top w:type="dxa" w:w="60"/>
              <w:left w:type="dxa" w:w="100"/>
              <w:bottom w:type="dxa" w:w="60"/>
              <w:right w:type="dxa" w:w="100"/>
            </w:tcMar>
          </w:tcPr>
          <w:p>
            <w:pPr>
              <w:spacing w:after="0"/>
            </w:pPr>
            <w:r>
              <w:rPr>
                <w:rFonts w:ascii="Calibri" w:cs="Calibri" w:eastAsia="Calibri" w:hAnsi="Calibri"/>
                <w:color w:val="262626"/>
                <w:sz w:val="20"/>
                <w:szCs w:val="20"/>
              </w:rPr>
              <w:t xml:space="preserve">7</w:t>
            </w:r>
          </w:p>
        </w:tc>
        <w:tc>
          <w:tcPr>
            <w:tcW w:type="dxa" w:w="3200"/>
            <w:tcMar>
              <w:top w:type="dxa" w:w="60"/>
              <w:left w:type="dxa" w:w="100"/>
              <w:bottom w:type="dxa" w:w="60"/>
              <w:right w:type="dxa" w:w="100"/>
            </w:tcMar>
          </w:tcPr>
          <w:p>
            <w:pPr>
              <w:spacing w:after="0"/>
            </w:pPr>
            <w:r>
              <w:rPr>
                <w:rFonts w:ascii="Calibri" w:cs="Calibri" w:eastAsia="Calibri" w:hAnsi="Calibri"/>
                <w:color w:val="262626"/>
                <w:sz w:val="20"/>
                <w:szCs w:val="20"/>
              </w:rPr>
              <w:t xml:space="preserve"/>
            </w:r>
          </w:p>
        </w:tc>
        <w:tc>
          <w:tcPr>
            <w:tcW w:type="dxa" w:w="2800"/>
            <w:tcMar>
              <w:top w:type="dxa" w:w="60"/>
              <w:left w:type="dxa" w:w="100"/>
              <w:bottom w:type="dxa" w:w="60"/>
              <w:right w:type="dxa" w:w="100"/>
            </w:tcMar>
          </w:tcPr>
          <w:p>
            <w:pPr>
              <w:spacing w:after="0"/>
            </w:pPr>
            <w:r>
              <w:rPr>
                <w:rFonts w:ascii="Calibri" w:cs="Calibri" w:eastAsia="Calibri" w:hAnsi="Calibri"/>
                <w:color w:val="262626"/>
                <w:sz w:val="20"/>
                <w:szCs w:val="20"/>
              </w:rPr>
              <w:t xml:space="preserve"/>
            </w:r>
          </w:p>
        </w:tc>
        <w:tc>
          <w:tcPr>
            <w:tcW w:type="dxa" w:w="1700"/>
            <w:tcMar>
              <w:top w:type="dxa" w:w="60"/>
              <w:left w:type="dxa" w:w="100"/>
              <w:bottom w:type="dxa" w:w="60"/>
              <w:right w:type="dxa" w:w="100"/>
            </w:tcMar>
          </w:tcPr>
          <w:p>
            <w:pPr>
              <w:spacing w:after="0"/>
            </w:pPr>
            <w:r>
              <w:rPr>
                <w:rFonts w:ascii="Calibri" w:cs="Calibri" w:eastAsia="Calibri" w:hAnsi="Calibri"/>
                <w:color w:val="262626"/>
                <w:sz w:val="20"/>
                <w:szCs w:val="20"/>
              </w:rPr>
              <w:t xml:space="preserve"/>
            </w:r>
          </w:p>
        </w:tc>
        <w:tc>
          <w:tcPr>
            <w:tcW w:type="dxa" w:w="2400"/>
            <w:tcMar>
              <w:top w:type="dxa" w:w="60"/>
              <w:left w:type="dxa" w:w="100"/>
              <w:bottom w:type="dxa" w:w="60"/>
              <w:right w:type="dxa" w:w="100"/>
            </w:tcMar>
          </w:tcPr>
          <w:p>
            <w:pPr>
              <w:spacing w:after="0"/>
            </w:pPr>
            <w:r>
              <w:rPr>
                <w:rFonts w:ascii="Calibri" w:cs="Calibri" w:eastAsia="Calibri" w:hAnsi="Calibri"/>
                <w:color w:val="262626"/>
                <w:sz w:val="20"/>
                <w:szCs w:val="20"/>
              </w:rPr>
              <w:t xml:space="preserve"/>
            </w:r>
          </w:p>
        </w:tc>
      </w:tr>
      <w:tr>
        <w:tc>
          <w:tcPr>
            <w:tcW w:type="dxa" w:w="500"/>
            <w:shd w:fill="F7F3F3" w:val="clear"/>
            <w:tcMar>
              <w:top w:type="dxa" w:w="60"/>
              <w:left w:type="dxa" w:w="100"/>
              <w:bottom w:type="dxa" w:w="60"/>
              <w:right w:type="dxa" w:w="100"/>
            </w:tcMar>
          </w:tcPr>
          <w:p>
            <w:pPr>
              <w:spacing w:after="0"/>
            </w:pPr>
            <w:r>
              <w:rPr>
                <w:rFonts w:ascii="Calibri" w:cs="Calibri" w:eastAsia="Calibri" w:hAnsi="Calibri"/>
                <w:color w:val="262626"/>
                <w:sz w:val="20"/>
                <w:szCs w:val="20"/>
              </w:rPr>
              <w:t xml:space="preserve">8</w:t>
            </w:r>
          </w:p>
        </w:tc>
        <w:tc>
          <w:tcPr>
            <w:tcW w:type="dxa" w:w="3200"/>
            <w:shd w:fill="F7F3F3" w:val="clear"/>
            <w:tcMar>
              <w:top w:type="dxa" w:w="60"/>
              <w:left w:type="dxa" w:w="100"/>
              <w:bottom w:type="dxa" w:w="60"/>
              <w:right w:type="dxa" w:w="100"/>
            </w:tcMar>
          </w:tcPr>
          <w:p>
            <w:pPr>
              <w:spacing w:after="0"/>
            </w:pPr>
            <w:r>
              <w:rPr>
                <w:rFonts w:ascii="Calibri" w:cs="Calibri" w:eastAsia="Calibri" w:hAnsi="Calibri"/>
                <w:color w:val="262626"/>
                <w:sz w:val="20"/>
                <w:szCs w:val="20"/>
              </w:rPr>
              <w:t xml:space="preserve"/>
            </w:r>
          </w:p>
        </w:tc>
        <w:tc>
          <w:tcPr>
            <w:tcW w:type="dxa" w:w="2800"/>
            <w:shd w:fill="F7F3F3" w:val="clear"/>
            <w:tcMar>
              <w:top w:type="dxa" w:w="60"/>
              <w:left w:type="dxa" w:w="100"/>
              <w:bottom w:type="dxa" w:w="60"/>
              <w:right w:type="dxa" w:w="100"/>
            </w:tcMar>
          </w:tcPr>
          <w:p>
            <w:pPr>
              <w:spacing w:after="0"/>
            </w:pPr>
            <w:r>
              <w:rPr>
                <w:rFonts w:ascii="Calibri" w:cs="Calibri" w:eastAsia="Calibri" w:hAnsi="Calibri"/>
                <w:color w:val="262626"/>
                <w:sz w:val="20"/>
                <w:szCs w:val="20"/>
              </w:rPr>
              <w:t xml:space="preserve"/>
            </w:r>
          </w:p>
        </w:tc>
        <w:tc>
          <w:tcPr>
            <w:tcW w:type="dxa" w:w="1700"/>
            <w:shd w:fill="F7F3F3" w:val="clear"/>
            <w:tcMar>
              <w:top w:type="dxa" w:w="60"/>
              <w:left w:type="dxa" w:w="100"/>
              <w:bottom w:type="dxa" w:w="60"/>
              <w:right w:type="dxa" w:w="100"/>
            </w:tcMar>
          </w:tcPr>
          <w:p>
            <w:pPr>
              <w:spacing w:after="0"/>
            </w:pPr>
            <w:r>
              <w:rPr>
                <w:rFonts w:ascii="Calibri" w:cs="Calibri" w:eastAsia="Calibri" w:hAnsi="Calibri"/>
                <w:color w:val="262626"/>
                <w:sz w:val="20"/>
                <w:szCs w:val="20"/>
              </w:rPr>
              <w:t xml:space="preserve"/>
            </w:r>
          </w:p>
        </w:tc>
        <w:tc>
          <w:tcPr>
            <w:tcW w:type="dxa" w:w="2400"/>
            <w:shd w:fill="F7F3F3" w:val="clear"/>
            <w:tcMar>
              <w:top w:type="dxa" w:w="60"/>
              <w:left w:type="dxa" w:w="100"/>
              <w:bottom w:type="dxa" w:w="60"/>
              <w:right w:type="dxa" w:w="100"/>
            </w:tcMar>
          </w:tcPr>
          <w:p>
            <w:pPr>
              <w:spacing w:after="0"/>
            </w:pPr>
            <w:r>
              <w:rPr>
                <w:rFonts w:ascii="Calibri" w:cs="Calibri" w:eastAsia="Calibri" w:hAnsi="Calibri"/>
                <w:color w:val="262626"/>
                <w:sz w:val="20"/>
                <w:szCs w:val="20"/>
              </w:rPr>
              <w:t xml:space="preserve"/>
            </w:r>
          </w:p>
        </w:tc>
      </w:tr>
      <w:tr>
        <w:tc>
          <w:tcPr>
            <w:tcW w:type="dxa" w:w="500"/>
            <w:tcMar>
              <w:top w:type="dxa" w:w="60"/>
              <w:left w:type="dxa" w:w="100"/>
              <w:bottom w:type="dxa" w:w="60"/>
              <w:right w:type="dxa" w:w="100"/>
            </w:tcMar>
          </w:tcPr>
          <w:p>
            <w:pPr>
              <w:spacing w:after="0"/>
            </w:pPr>
            <w:r>
              <w:rPr>
                <w:rFonts w:ascii="Calibri" w:cs="Calibri" w:eastAsia="Calibri" w:hAnsi="Calibri"/>
                <w:color w:val="262626"/>
                <w:sz w:val="20"/>
                <w:szCs w:val="20"/>
              </w:rPr>
              <w:t xml:space="preserve">9</w:t>
            </w:r>
          </w:p>
        </w:tc>
        <w:tc>
          <w:tcPr>
            <w:tcW w:type="dxa" w:w="3200"/>
            <w:tcMar>
              <w:top w:type="dxa" w:w="60"/>
              <w:left w:type="dxa" w:w="100"/>
              <w:bottom w:type="dxa" w:w="60"/>
              <w:right w:type="dxa" w:w="100"/>
            </w:tcMar>
          </w:tcPr>
          <w:p>
            <w:pPr>
              <w:spacing w:after="0"/>
            </w:pPr>
            <w:r>
              <w:rPr>
                <w:rFonts w:ascii="Calibri" w:cs="Calibri" w:eastAsia="Calibri" w:hAnsi="Calibri"/>
                <w:color w:val="262626"/>
                <w:sz w:val="20"/>
                <w:szCs w:val="20"/>
              </w:rPr>
              <w:t xml:space="preserve"/>
            </w:r>
          </w:p>
        </w:tc>
        <w:tc>
          <w:tcPr>
            <w:tcW w:type="dxa" w:w="2800"/>
            <w:tcMar>
              <w:top w:type="dxa" w:w="60"/>
              <w:left w:type="dxa" w:w="100"/>
              <w:bottom w:type="dxa" w:w="60"/>
              <w:right w:type="dxa" w:w="100"/>
            </w:tcMar>
          </w:tcPr>
          <w:p>
            <w:pPr>
              <w:spacing w:after="0"/>
            </w:pPr>
            <w:r>
              <w:rPr>
                <w:rFonts w:ascii="Calibri" w:cs="Calibri" w:eastAsia="Calibri" w:hAnsi="Calibri"/>
                <w:color w:val="262626"/>
                <w:sz w:val="20"/>
                <w:szCs w:val="20"/>
              </w:rPr>
              <w:t xml:space="preserve"/>
            </w:r>
          </w:p>
        </w:tc>
        <w:tc>
          <w:tcPr>
            <w:tcW w:type="dxa" w:w="1700"/>
            <w:tcMar>
              <w:top w:type="dxa" w:w="60"/>
              <w:left w:type="dxa" w:w="100"/>
              <w:bottom w:type="dxa" w:w="60"/>
              <w:right w:type="dxa" w:w="100"/>
            </w:tcMar>
          </w:tcPr>
          <w:p>
            <w:pPr>
              <w:spacing w:after="0"/>
            </w:pPr>
            <w:r>
              <w:rPr>
                <w:rFonts w:ascii="Calibri" w:cs="Calibri" w:eastAsia="Calibri" w:hAnsi="Calibri"/>
                <w:color w:val="262626"/>
                <w:sz w:val="20"/>
                <w:szCs w:val="20"/>
              </w:rPr>
              <w:t xml:space="preserve"/>
            </w:r>
          </w:p>
        </w:tc>
        <w:tc>
          <w:tcPr>
            <w:tcW w:type="dxa" w:w="2400"/>
            <w:tcMar>
              <w:top w:type="dxa" w:w="60"/>
              <w:left w:type="dxa" w:w="100"/>
              <w:bottom w:type="dxa" w:w="60"/>
              <w:right w:type="dxa" w:w="100"/>
            </w:tcMar>
          </w:tcPr>
          <w:p>
            <w:pPr>
              <w:spacing w:after="0"/>
            </w:pPr>
            <w:r>
              <w:rPr>
                <w:rFonts w:ascii="Calibri" w:cs="Calibri" w:eastAsia="Calibri" w:hAnsi="Calibri"/>
                <w:color w:val="262626"/>
                <w:sz w:val="20"/>
                <w:szCs w:val="20"/>
              </w:rPr>
              <w:t xml:space="preserve"/>
            </w:r>
          </w:p>
        </w:tc>
      </w:tr>
      <w:tr>
        <w:tc>
          <w:tcPr>
            <w:tcW w:type="dxa" w:w="500"/>
            <w:shd w:fill="F7F3F3" w:val="clear"/>
            <w:tcMar>
              <w:top w:type="dxa" w:w="60"/>
              <w:left w:type="dxa" w:w="100"/>
              <w:bottom w:type="dxa" w:w="60"/>
              <w:right w:type="dxa" w:w="100"/>
            </w:tcMar>
          </w:tcPr>
          <w:p>
            <w:pPr>
              <w:spacing w:after="0"/>
            </w:pPr>
            <w:r>
              <w:rPr>
                <w:rFonts w:ascii="Calibri" w:cs="Calibri" w:eastAsia="Calibri" w:hAnsi="Calibri"/>
                <w:color w:val="262626"/>
                <w:sz w:val="20"/>
                <w:szCs w:val="20"/>
              </w:rPr>
              <w:t xml:space="preserve">10</w:t>
            </w:r>
          </w:p>
        </w:tc>
        <w:tc>
          <w:tcPr>
            <w:tcW w:type="dxa" w:w="3200"/>
            <w:shd w:fill="F7F3F3" w:val="clear"/>
            <w:tcMar>
              <w:top w:type="dxa" w:w="60"/>
              <w:left w:type="dxa" w:w="100"/>
              <w:bottom w:type="dxa" w:w="60"/>
              <w:right w:type="dxa" w:w="100"/>
            </w:tcMar>
          </w:tcPr>
          <w:p>
            <w:pPr>
              <w:spacing w:after="0"/>
            </w:pPr>
            <w:r>
              <w:rPr>
                <w:rFonts w:ascii="Calibri" w:cs="Calibri" w:eastAsia="Calibri" w:hAnsi="Calibri"/>
                <w:color w:val="262626"/>
                <w:sz w:val="20"/>
                <w:szCs w:val="20"/>
              </w:rPr>
              <w:t xml:space="preserve"/>
            </w:r>
          </w:p>
        </w:tc>
        <w:tc>
          <w:tcPr>
            <w:tcW w:type="dxa" w:w="2800"/>
            <w:shd w:fill="F7F3F3" w:val="clear"/>
            <w:tcMar>
              <w:top w:type="dxa" w:w="60"/>
              <w:left w:type="dxa" w:w="100"/>
              <w:bottom w:type="dxa" w:w="60"/>
              <w:right w:type="dxa" w:w="100"/>
            </w:tcMar>
          </w:tcPr>
          <w:p>
            <w:pPr>
              <w:spacing w:after="0"/>
            </w:pPr>
            <w:r>
              <w:rPr>
                <w:rFonts w:ascii="Calibri" w:cs="Calibri" w:eastAsia="Calibri" w:hAnsi="Calibri"/>
                <w:color w:val="262626"/>
                <w:sz w:val="20"/>
                <w:szCs w:val="20"/>
              </w:rPr>
              <w:t xml:space="preserve"/>
            </w:r>
          </w:p>
        </w:tc>
        <w:tc>
          <w:tcPr>
            <w:tcW w:type="dxa" w:w="1700"/>
            <w:shd w:fill="F7F3F3" w:val="clear"/>
            <w:tcMar>
              <w:top w:type="dxa" w:w="60"/>
              <w:left w:type="dxa" w:w="100"/>
              <w:bottom w:type="dxa" w:w="60"/>
              <w:right w:type="dxa" w:w="100"/>
            </w:tcMar>
          </w:tcPr>
          <w:p>
            <w:pPr>
              <w:spacing w:after="0"/>
            </w:pPr>
            <w:r>
              <w:rPr>
                <w:rFonts w:ascii="Calibri" w:cs="Calibri" w:eastAsia="Calibri" w:hAnsi="Calibri"/>
                <w:color w:val="262626"/>
                <w:sz w:val="20"/>
                <w:szCs w:val="20"/>
              </w:rPr>
              <w:t xml:space="preserve"/>
            </w:r>
          </w:p>
        </w:tc>
        <w:tc>
          <w:tcPr>
            <w:tcW w:type="dxa" w:w="2400"/>
            <w:shd w:fill="F7F3F3" w:val="clear"/>
            <w:tcMar>
              <w:top w:type="dxa" w:w="60"/>
              <w:left w:type="dxa" w:w="100"/>
              <w:bottom w:type="dxa" w:w="60"/>
              <w:right w:type="dxa" w:w="100"/>
            </w:tcMar>
          </w:tcPr>
          <w:p>
            <w:pPr>
              <w:spacing w:after="0"/>
            </w:pPr>
            <w:r>
              <w:rPr>
                <w:rFonts w:ascii="Calibri" w:cs="Calibri" w:eastAsia="Calibri" w:hAnsi="Calibri"/>
                <w:color w:val="262626"/>
                <w:sz w:val="20"/>
                <w:szCs w:val="20"/>
              </w:rPr>
              <w:t xml:space="preserve"/>
            </w:r>
          </w:p>
        </w:tc>
      </w:tr>
    </w:tbl>
    <w:p>
      <w:r>
        <w:br w:type="page"/>
      </w:r>
    </w:p>
    <w:p>
      <w:pPr>
        <w:pStyle w:val="Heading1"/>
        <w:spacing w:after="200" w:before="360"/>
      </w:pPr>
      <w:r>
        <w:rPr>
          <w:rFonts w:ascii="Georgia" w:cs="Georgia" w:eastAsia="Georgia" w:hAnsi="Georgia"/>
          <w:b/>
          <w:bCs/>
          <w:color w:val="890000"/>
          <w:sz w:val="32"/>
          <w:szCs w:val="32"/>
        </w:rPr>
        <w:t xml:space="preserve">7. Calibrate Yourself: One Worked Example Per Domain</w:t>
      </w:r>
    </w:p>
    <w:p>
      <w:pPr>
        <w:spacing w:after="160" w:before="0"/>
      </w:pPr>
      <w:r>
        <w:rPr>
          <w:rFonts w:ascii="Calibri" w:cs="Calibri" w:eastAsia="Calibri" w:hAnsi="Calibri"/>
          <w:color w:val="262626"/>
          <w:sz w:val="22"/>
          <w:szCs w:val="22"/>
        </w:rPr>
        <w:t xml:space="preserve">Five real retired questions — one per Eccles domain — each with a weak answer and a strong answer sketched. Read the weak ones carefully: they are not bad answers; they are average answers, which is the point. Score yourself honestly against the difference.</w:t>
      </w:r>
    </w:p>
    <w:p>
      <w:pPr>
        <w:pStyle w:val="Heading3"/>
        <w:spacing w:after="110" w:before="200"/>
      </w:pPr>
      <w:r>
        <w:rPr>
          <w:rFonts w:ascii="Calibri" w:cs="Calibri" w:eastAsia="Calibri" w:hAnsi="Calibri"/>
          <w:b/>
          <w:bCs/>
          <w:color w:val="CC0000"/>
          <w:sz w:val="23"/>
          <w:szCs w:val="23"/>
        </w:rPr>
        <w:t xml:space="preserve">Strategic &amp; Critical Thinking — Strategic Planning</w:t>
      </w:r>
    </w:p>
    <w:p>
      <w:pPr>
        <w:spacing w:after="100"/>
      </w:pPr>
      <w:r>
        <w:rPr>
          <w:rFonts w:ascii="Calibri" w:cs="Calibri" w:eastAsia="Calibri" w:hAnsi="Calibri"/>
          <w:b/>
          <w:bCs/>
          <w:color w:val="262626"/>
          <w:sz w:val="22"/>
          <w:szCs w:val="22"/>
        </w:rPr>
        <w:t xml:space="preserve">Question: </w:t>
      </w:r>
      <w:r>
        <w:rPr>
          <w:rFonts w:ascii="Calibri" w:cs="Calibri" w:eastAsia="Calibri" w:hAnsi="Calibri"/>
          <w:i/>
          <w:iCs/>
          <w:color w:val="262626"/>
          <w:sz w:val="22"/>
          <w:szCs w:val="22"/>
        </w:rPr>
        <w:t xml:space="preserve">Walk me through a decision where you had to choose among several viable options. How did you evaluate them?</w:t>
      </w:r>
    </w:p>
    <w:p>
      <w:pPr>
        <w:spacing w:after="60"/>
      </w:pPr>
      <w:r>
        <w:rPr>
          <w:rFonts w:ascii="Calibri" w:cs="Calibri" w:eastAsia="Calibri" w:hAnsi="Calibri"/>
          <w:b/>
          <w:bCs/>
          <w:color w:val="890000"/>
          <w:sz w:val="22"/>
          <w:szCs w:val="22"/>
        </w:rPr>
        <w:t xml:space="preserve">A weak answer: </w:t>
      </w:r>
      <w:r>
        <w:rPr>
          <w:rFonts w:ascii="Calibri" w:cs="Calibri" w:eastAsia="Calibri" w:hAnsi="Calibri"/>
          <w:i/>
          <w:iCs/>
          <w:color w:val="262626"/>
          <w:sz w:val="22"/>
          <w:szCs w:val="22"/>
        </w:rPr>
        <w:t xml:space="preserve">“We looked at a few vendors and went with the one that had the best reviews and pricing. It worked out well — the team was happy with the choice.”</w:t>
      </w:r>
    </w:p>
    <w:p>
      <w:pPr>
        <w:spacing w:after="120" w:before="0"/>
      </w:pPr>
      <w:r>
        <w:rPr>
          <w:rFonts w:ascii="Calibri" w:cs="Calibri" w:eastAsia="Calibri" w:hAnsi="Calibri"/>
          <w:color w:val="6B6B6B"/>
          <w:sz w:val="20"/>
          <w:szCs w:val="20"/>
        </w:rPr>
        <w:t xml:space="preserve">Why it's weak: No criteria, no trade-offs, no “I,” no result. The interviewer must probe for everything. Scores 2 at best.</w:t>
      </w:r>
    </w:p>
    <w:p>
      <w:pPr>
        <w:spacing w:after="60"/>
      </w:pPr>
      <w:r>
        <w:rPr>
          <w:rFonts w:ascii="Calibri" w:cs="Calibri" w:eastAsia="Calibri" w:hAnsi="Calibri"/>
          <w:b/>
          <w:bCs/>
          <w:color w:val="3B6D11"/>
          <w:sz w:val="22"/>
          <w:szCs w:val="22"/>
        </w:rPr>
        <w:t xml:space="preserve">A strong answer: </w:t>
      </w:r>
      <w:r>
        <w:rPr>
          <w:rFonts w:ascii="Calibri" w:cs="Calibri" w:eastAsia="Calibri" w:hAnsi="Calibri"/>
          <w:i/>
          <w:iCs/>
          <w:color w:val="262626"/>
          <w:sz w:val="22"/>
          <w:szCs w:val="22"/>
        </w:rPr>
        <w:t xml:space="preserve">“I set three criteria upfront — integration cost, support SLA, and 3-year TCO — and weighted TCO highest because our budget was fixed. Option B won on features but lost on TCO by 22%, so I recommended A and documented the trade-off. Six months in, we were 8% under budget. I've reused that criteria-first approach on two decisions since.”</w:t>
      </w:r>
    </w:p>
    <w:p>
      <w:pPr>
        <w:spacing w:after="200" w:before="0"/>
      </w:pPr>
      <w:r>
        <w:rPr>
          <w:rFonts w:ascii="Calibri" w:cs="Calibri" w:eastAsia="Calibri" w:hAnsi="Calibri"/>
          <w:color w:val="6B6B6B"/>
          <w:sz w:val="20"/>
          <w:szCs w:val="20"/>
        </w:rPr>
        <w:t xml:space="preserve">Why it scores: Explicit criteria, quantified trade-off, ownership, result, Learning. Scores 4.</w:t>
      </w:r>
    </w:p>
    <w:p>
      <w:pPr>
        <w:pStyle w:val="Heading3"/>
        <w:spacing w:after="110" w:before="200"/>
      </w:pPr>
      <w:r>
        <w:rPr>
          <w:rFonts w:ascii="Calibri" w:cs="Calibri" w:eastAsia="Calibri" w:hAnsi="Calibri"/>
          <w:b/>
          <w:bCs/>
          <w:color w:val="CC0000"/>
          <w:sz w:val="23"/>
          <w:szCs w:val="23"/>
        </w:rPr>
        <w:t xml:space="preserve">Relationship Management &amp; Teamwork — Effective Participation</w:t>
      </w:r>
    </w:p>
    <w:p>
      <w:pPr>
        <w:spacing w:after="100"/>
      </w:pPr>
      <w:r>
        <w:rPr>
          <w:rFonts w:ascii="Calibri" w:cs="Calibri" w:eastAsia="Calibri" w:hAnsi="Calibri"/>
          <w:b/>
          <w:bCs/>
          <w:color w:val="262626"/>
          <w:sz w:val="22"/>
          <w:szCs w:val="22"/>
        </w:rPr>
        <w:t xml:space="preserve">Question: </w:t>
      </w:r>
      <w:r>
        <w:rPr>
          <w:rFonts w:ascii="Calibri" w:cs="Calibri" w:eastAsia="Calibri" w:hAnsi="Calibri"/>
          <w:i/>
          <w:iCs/>
          <w:color w:val="262626"/>
          <w:sz w:val="22"/>
          <w:szCs w:val="22"/>
        </w:rPr>
        <w:t xml:space="preserve">Give me an example of a team where you were not the leader. What did you contribute?</w:t>
      </w:r>
    </w:p>
    <w:p>
      <w:pPr>
        <w:spacing w:after="60"/>
      </w:pPr>
      <w:r>
        <w:rPr>
          <w:rFonts w:ascii="Calibri" w:cs="Calibri" w:eastAsia="Calibri" w:hAnsi="Calibri"/>
          <w:b/>
          <w:bCs/>
          <w:color w:val="890000"/>
          <w:sz w:val="22"/>
          <w:szCs w:val="22"/>
        </w:rPr>
        <w:t xml:space="preserve">A weak answer: </w:t>
      </w:r>
      <w:r>
        <w:rPr>
          <w:rFonts w:ascii="Calibri" w:cs="Calibri" w:eastAsia="Calibri" w:hAnsi="Calibri"/>
          <w:i/>
          <w:iCs/>
          <w:color w:val="262626"/>
          <w:sz w:val="22"/>
          <w:szCs w:val="22"/>
        </w:rPr>
        <w:t xml:space="preserve">“I'm comfortable in any role. On my capstone team I supported wherever needed and made sure things ran smoothly. We all got along really well.”</w:t>
      </w:r>
    </w:p>
    <w:p>
      <w:pPr>
        <w:spacing w:after="120" w:before="0"/>
      </w:pPr>
      <w:r>
        <w:rPr>
          <w:rFonts w:ascii="Calibri" w:cs="Calibri" w:eastAsia="Calibri" w:hAnsi="Calibri"/>
          <w:color w:val="6B6B6B"/>
          <w:sz w:val="20"/>
          <w:szCs w:val="20"/>
        </w:rPr>
        <w:t xml:space="preserve">Why it's weak: Harmony is not evidence. No specific contribution, no moment of following well. Scores 2.</w:t>
      </w:r>
    </w:p>
    <w:p>
      <w:pPr>
        <w:spacing w:after="60"/>
      </w:pPr>
      <w:r>
        <w:rPr>
          <w:rFonts w:ascii="Calibri" w:cs="Calibri" w:eastAsia="Calibri" w:hAnsi="Calibri"/>
          <w:b/>
          <w:bCs/>
          <w:color w:val="3B6D11"/>
          <w:sz w:val="22"/>
          <w:szCs w:val="22"/>
        </w:rPr>
        <w:t xml:space="preserve">A strong answer: </w:t>
      </w:r>
      <w:r>
        <w:rPr>
          <w:rFonts w:ascii="Calibri" w:cs="Calibri" w:eastAsia="Calibri" w:hAnsi="Calibri"/>
          <w:i/>
          <w:iCs/>
          <w:color w:val="262626"/>
          <w:sz w:val="22"/>
          <w:szCs w:val="22"/>
        </w:rPr>
        <w:t xml:space="preserve">“On my capstone, a second-year led and I deliberately took the modeling workstream. Mid-project I disagreed with her scoping call, said so once with my reasoning, and when she held the decision I committed fully — and told the team I was behind it. Her call turned out right. I learned that dissent-then-commit out loud is what actually protects a team.”</w:t>
      </w:r>
    </w:p>
    <w:p>
      <w:pPr>
        <w:spacing w:after="200" w:before="0"/>
      </w:pPr>
      <w:r>
        <w:rPr>
          <w:rFonts w:ascii="Calibri" w:cs="Calibri" w:eastAsia="Calibri" w:hAnsi="Calibri"/>
          <w:color w:val="6B6B6B"/>
          <w:sz w:val="20"/>
          <w:szCs w:val="20"/>
        </w:rPr>
        <w:t xml:space="preserve">Why it scores: Specific role, real disagreement handled well, credits the leader, Learning. Scores 4.</w:t>
      </w:r>
    </w:p>
    <w:p>
      <w:pPr>
        <w:pStyle w:val="Heading3"/>
        <w:spacing w:after="110" w:before="200"/>
      </w:pPr>
      <w:r>
        <w:rPr>
          <w:rFonts w:ascii="Calibri" w:cs="Calibri" w:eastAsia="Calibri" w:hAnsi="Calibri"/>
          <w:b/>
          <w:bCs/>
          <w:color w:val="CC0000"/>
          <w:sz w:val="23"/>
          <w:szCs w:val="23"/>
        </w:rPr>
        <w:t xml:space="preserve">Leadership &amp; Ethics — Stakeholder Management</w:t>
      </w:r>
    </w:p>
    <w:p>
      <w:pPr>
        <w:spacing w:after="100"/>
      </w:pPr>
      <w:r>
        <w:rPr>
          <w:rFonts w:ascii="Calibri" w:cs="Calibri" w:eastAsia="Calibri" w:hAnsi="Calibri"/>
          <w:b/>
          <w:bCs/>
          <w:color w:val="262626"/>
          <w:sz w:val="22"/>
          <w:szCs w:val="22"/>
        </w:rPr>
        <w:t xml:space="preserve">Question: </w:t>
      </w:r>
      <w:r>
        <w:rPr>
          <w:rFonts w:ascii="Calibri" w:cs="Calibri" w:eastAsia="Calibri" w:hAnsi="Calibri"/>
          <w:i/>
          <w:iCs/>
          <w:color w:val="262626"/>
          <w:sz w:val="22"/>
          <w:szCs w:val="22"/>
        </w:rPr>
        <w:t xml:space="preserve">Tell me about a project with stakeholders whose interests genuinely conflicted.</w:t>
      </w:r>
    </w:p>
    <w:p>
      <w:pPr>
        <w:spacing w:after="60"/>
      </w:pPr>
      <w:r>
        <w:rPr>
          <w:rFonts w:ascii="Calibri" w:cs="Calibri" w:eastAsia="Calibri" w:hAnsi="Calibri"/>
          <w:b/>
          <w:bCs/>
          <w:color w:val="890000"/>
          <w:sz w:val="22"/>
          <w:szCs w:val="22"/>
        </w:rPr>
        <w:t xml:space="preserve">A weak answer: </w:t>
      </w:r>
      <w:r>
        <w:rPr>
          <w:rFonts w:ascii="Calibri" w:cs="Calibri" w:eastAsia="Calibri" w:hAnsi="Calibri"/>
          <w:i/>
          <w:iCs/>
          <w:color w:val="262626"/>
          <w:sz w:val="22"/>
          <w:szCs w:val="22"/>
        </w:rPr>
        <w:t xml:space="preserve">“I kept everyone in the loop with regular updates and made sure all sides felt heard, and eventually we got everyone on the same page.”</w:t>
      </w:r>
    </w:p>
    <w:p>
      <w:pPr>
        <w:spacing w:after="120" w:before="0"/>
      </w:pPr>
      <w:r>
        <w:rPr>
          <w:rFonts w:ascii="Calibri" w:cs="Calibri" w:eastAsia="Calibri" w:hAnsi="Calibri"/>
          <w:color w:val="6B6B6B"/>
          <w:sz w:val="20"/>
          <w:szCs w:val="20"/>
        </w:rPr>
        <w:t xml:space="preserve">Why it's weak: “Everyone ended up happy” with no trade-offs named is the classic red flag for this competency. Scores 2.</w:t>
      </w:r>
    </w:p>
    <w:p>
      <w:pPr>
        <w:spacing w:after="60"/>
      </w:pPr>
      <w:r>
        <w:rPr>
          <w:rFonts w:ascii="Calibri" w:cs="Calibri" w:eastAsia="Calibri" w:hAnsi="Calibri"/>
          <w:b/>
          <w:bCs/>
          <w:color w:val="3B6D11"/>
          <w:sz w:val="22"/>
          <w:szCs w:val="22"/>
        </w:rPr>
        <w:t xml:space="preserve">A strong answer: </w:t>
      </w:r>
      <w:r>
        <w:rPr>
          <w:rFonts w:ascii="Calibri" w:cs="Calibri" w:eastAsia="Calibri" w:hAnsi="Calibri"/>
          <w:i/>
          <w:iCs/>
          <w:color w:val="262626"/>
          <w:sz w:val="22"/>
          <w:szCs w:val="22"/>
        </w:rPr>
        <w:t xml:space="preserve">“Ops wanted the rollout delayed a quarter; sales had committed dates to two accounts. I mapped what each actually needed — ops feared support load, not the date — so I traded a phased rollout for a dedicated support rotation sales helped fund. Ops was still unhappy about the pace, and I told them so directly rather than pretending consensus. Both accounts renewed.”</w:t>
      </w:r>
    </w:p>
    <w:p>
      <w:pPr>
        <w:spacing w:after="200" w:before="0"/>
      </w:pPr>
      <w:r>
        <w:rPr>
          <w:rFonts w:ascii="Calibri" w:cs="Calibri" w:eastAsia="Calibri" w:hAnsi="Calibri"/>
          <w:color w:val="6B6B6B"/>
          <w:sz w:val="20"/>
          <w:szCs w:val="20"/>
        </w:rPr>
        <w:t xml:space="preserve">Why it scores: Maps interests, negotiates a visible trade, admits who stayed unhappy, result. Scores 4.</w:t>
      </w:r>
    </w:p>
    <w:p>
      <w:pPr>
        <w:pStyle w:val="Heading3"/>
        <w:spacing w:after="110" w:before="200"/>
      </w:pPr>
      <w:r>
        <w:rPr>
          <w:rFonts w:ascii="Calibri" w:cs="Calibri" w:eastAsia="Calibri" w:hAnsi="Calibri"/>
          <w:b/>
          <w:bCs/>
          <w:color w:val="CC0000"/>
          <w:sz w:val="23"/>
          <w:szCs w:val="23"/>
        </w:rPr>
        <w:t xml:space="preserve">Business Knowledge &amp; Skills — Data Analytics</w:t>
      </w:r>
    </w:p>
    <w:p>
      <w:pPr>
        <w:spacing w:after="100"/>
      </w:pPr>
      <w:r>
        <w:rPr>
          <w:rFonts w:ascii="Calibri" w:cs="Calibri" w:eastAsia="Calibri" w:hAnsi="Calibri"/>
          <w:b/>
          <w:bCs/>
          <w:color w:val="262626"/>
          <w:sz w:val="22"/>
          <w:szCs w:val="22"/>
        </w:rPr>
        <w:t xml:space="preserve">Question: </w:t>
      </w:r>
      <w:r>
        <w:rPr>
          <w:rFonts w:ascii="Calibri" w:cs="Calibri" w:eastAsia="Calibri" w:hAnsi="Calibri"/>
          <w:i/>
          <w:iCs/>
          <w:color w:val="262626"/>
          <w:sz w:val="22"/>
          <w:szCs w:val="22"/>
        </w:rPr>
        <w:t xml:space="preserve">Walk me through an analysis you built that changed a decision.</w:t>
      </w:r>
    </w:p>
    <w:p>
      <w:pPr>
        <w:spacing w:after="60"/>
      </w:pPr>
      <w:r>
        <w:rPr>
          <w:rFonts w:ascii="Calibri" w:cs="Calibri" w:eastAsia="Calibri" w:hAnsi="Calibri"/>
          <w:b/>
          <w:bCs/>
          <w:color w:val="890000"/>
          <w:sz w:val="22"/>
          <w:szCs w:val="22"/>
        </w:rPr>
        <w:t xml:space="preserve">A weak answer: </w:t>
      </w:r>
      <w:r>
        <w:rPr>
          <w:rFonts w:ascii="Calibri" w:cs="Calibri" w:eastAsia="Calibri" w:hAnsi="Calibri"/>
          <w:i/>
          <w:iCs/>
          <w:color w:val="262626"/>
          <w:sz w:val="22"/>
          <w:szCs w:val="22"/>
        </w:rPr>
        <w:t xml:space="preserve">“I built a dashboard in Tableau pulling several data sources. Leadership really liked it and used it in their meetings.”</w:t>
      </w:r>
    </w:p>
    <w:p>
      <w:pPr>
        <w:spacing w:after="120" w:before="0"/>
      </w:pPr>
      <w:r>
        <w:rPr>
          <w:rFonts w:ascii="Calibri" w:cs="Calibri" w:eastAsia="Calibri" w:hAnsi="Calibri"/>
          <w:color w:val="6B6B6B"/>
          <w:sz w:val="20"/>
          <w:szCs w:val="20"/>
        </w:rPr>
        <w:t xml:space="preserve">Why it's weak: Tools named, question unnamed, decision unnamed. “They liked it” is not a changed decision. Scores 2.</w:t>
      </w:r>
    </w:p>
    <w:p>
      <w:pPr>
        <w:spacing w:after="60"/>
      </w:pPr>
      <w:r>
        <w:rPr>
          <w:rFonts w:ascii="Calibri" w:cs="Calibri" w:eastAsia="Calibri" w:hAnsi="Calibri"/>
          <w:b/>
          <w:bCs/>
          <w:color w:val="3B6D11"/>
          <w:sz w:val="22"/>
          <w:szCs w:val="22"/>
        </w:rPr>
        <w:t xml:space="preserve">A strong answer: </w:t>
      </w:r>
      <w:r>
        <w:rPr>
          <w:rFonts w:ascii="Calibri" w:cs="Calibri" w:eastAsia="Calibri" w:hAnsi="Calibri"/>
          <w:i/>
          <w:iCs/>
          <w:color w:val="262626"/>
          <w:sz w:val="22"/>
          <w:szCs w:val="22"/>
        </w:rPr>
        <w:t xml:space="preserve">“Marketing believed churn was price-driven. I started from the decision — renew the discount program or not — segmented churned accounts, and found 60% churned within 30 days of a support escalation; price was fourth. We killed the discount renewal and funded two support hires instead; churn fell 3 points in two quarters. The lesson I've kept: start from the decision, not the data.”</w:t>
      </w:r>
    </w:p>
    <w:p>
      <w:pPr>
        <w:spacing w:after="200" w:before="0"/>
      </w:pPr>
      <w:r>
        <w:rPr>
          <w:rFonts w:ascii="Calibri" w:cs="Calibri" w:eastAsia="Calibri" w:hAnsi="Calibri"/>
          <w:color w:val="6B6B6B"/>
          <w:sz w:val="20"/>
          <w:szCs w:val="20"/>
        </w:rPr>
        <w:t xml:space="preserve">Why it scores: Decision-first framing, contrarian finding, action taken, quantified result, Learning. Scores 4.</w:t>
      </w:r>
    </w:p>
    <w:p>
      <w:pPr>
        <w:pStyle w:val="Heading3"/>
        <w:spacing w:after="110" w:before="200"/>
      </w:pPr>
      <w:r>
        <w:rPr>
          <w:rFonts w:ascii="Calibri" w:cs="Calibri" w:eastAsia="Calibri" w:hAnsi="Calibri"/>
          <w:b/>
          <w:bCs/>
          <w:color w:val="CC0000"/>
          <w:sz w:val="23"/>
          <w:szCs w:val="23"/>
        </w:rPr>
        <w:t xml:space="preserve">Communication — Crucial Conversations</w:t>
      </w:r>
    </w:p>
    <w:p>
      <w:pPr>
        <w:spacing w:after="100"/>
      </w:pPr>
      <w:r>
        <w:rPr>
          <w:rFonts w:ascii="Calibri" w:cs="Calibri" w:eastAsia="Calibri" w:hAnsi="Calibri"/>
          <w:b/>
          <w:bCs/>
          <w:color w:val="262626"/>
          <w:sz w:val="22"/>
          <w:szCs w:val="22"/>
        </w:rPr>
        <w:t xml:space="preserve">Question: </w:t>
      </w:r>
      <w:r>
        <w:rPr>
          <w:rFonts w:ascii="Calibri" w:cs="Calibri" w:eastAsia="Calibri" w:hAnsi="Calibri"/>
          <w:i/>
          <w:iCs/>
          <w:color w:val="262626"/>
          <w:sz w:val="22"/>
          <w:szCs w:val="22"/>
        </w:rPr>
        <w:t xml:space="preserve">Tell me about a conversation you knew would be difficult but had anyway.</w:t>
      </w:r>
    </w:p>
    <w:p>
      <w:pPr>
        <w:spacing w:after="60"/>
      </w:pPr>
      <w:r>
        <w:rPr>
          <w:rFonts w:ascii="Calibri" w:cs="Calibri" w:eastAsia="Calibri" w:hAnsi="Calibri"/>
          <w:b/>
          <w:bCs/>
          <w:color w:val="890000"/>
          <w:sz w:val="22"/>
          <w:szCs w:val="22"/>
        </w:rPr>
        <w:t xml:space="preserve">A weak answer: </w:t>
      </w:r>
      <w:r>
        <w:rPr>
          <w:rFonts w:ascii="Calibri" w:cs="Calibri" w:eastAsia="Calibri" w:hAnsi="Calibri"/>
          <w:i/>
          <w:iCs/>
          <w:color w:val="262626"/>
          <w:sz w:val="22"/>
          <w:szCs w:val="22"/>
        </w:rPr>
        <w:t xml:space="preserve">“A teammate wasn't pulling their weight, so I had a talk with them and after that things improved. I believe in addressing issues directly.”</w:t>
      </w:r>
    </w:p>
    <w:p>
      <w:pPr>
        <w:spacing w:after="120" w:before="0"/>
      </w:pPr>
      <w:r>
        <w:rPr>
          <w:rFonts w:ascii="Calibri" w:cs="Calibri" w:eastAsia="Calibri" w:hAnsi="Calibri"/>
          <w:color w:val="6B6B6B"/>
          <w:sz w:val="20"/>
          <w:szCs w:val="20"/>
        </w:rPr>
        <w:t xml:space="preserve">Why it's weak: The entire conversation — the hard part — is skipped. No opening line, no reaction, no repair. Scores 2.</w:t>
      </w:r>
    </w:p>
    <w:p>
      <w:pPr>
        <w:spacing w:after="60"/>
      </w:pPr>
      <w:r>
        <w:rPr>
          <w:rFonts w:ascii="Calibri" w:cs="Calibri" w:eastAsia="Calibri" w:hAnsi="Calibri"/>
          <w:b/>
          <w:bCs/>
          <w:color w:val="3B6D11"/>
          <w:sz w:val="22"/>
          <w:szCs w:val="22"/>
        </w:rPr>
        <w:t xml:space="preserve">A strong answer: </w:t>
      </w:r>
      <w:r>
        <w:rPr>
          <w:rFonts w:ascii="Calibri" w:cs="Calibri" w:eastAsia="Calibri" w:hAnsi="Calibri"/>
          <w:i/>
          <w:iCs/>
          <w:color w:val="262626"/>
          <w:sz w:val="22"/>
          <w:szCs w:val="22"/>
        </w:rPr>
        <w:t xml:space="preserve">“A teammate's deliverables were slipping and the group was routing around him. I asked for 30 minutes, opened with what I'd observed — two specific misses — and asked what was going on before prescribing anything. He was dealing with a family issue he hadn't shared. We re-split the work for three weeks, and I told the team the plan without the reasons. He finished the project strong, and he's the reference who told me I should do this for a living.”</w:t>
      </w:r>
    </w:p>
    <w:p>
      <w:pPr>
        <w:spacing w:after="200" w:before="0"/>
      </w:pPr>
      <w:r>
        <w:rPr>
          <w:rFonts w:ascii="Calibri" w:cs="Calibri" w:eastAsia="Calibri" w:hAnsi="Calibri"/>
          <w:color w:val="6B6B6B"/>
          <w:sz w:val="20"/>
          <w:szCs w:val="20"/>
        </w:rPr>
        <w:t xml:space="preserve">Why it scores: Initiated early, specifics over accusations, listened first, protected dignity, durable outcome. Scores 4.</w:t>
      </w:r>
    </w:p>
    <w:p>
      <w:r>
        <w:br w:type="page"/>
      </w:r>
    </w:p>
    <w:p>
      <w:pPr>
        <w:pStyle w:val="Heading1"/>
        <w:spacing w:after="200" w:before="360"/>
      </w:pPr>
      <w:r>
        <w:rPr>
          <w:rFonts w:ascii="Georgia" w:cs="Georgia" w:eastAsia="Georgia" w:hAnsi="Georgia"/>
          <w:b/>
          <w:bCs/>
          <w:color w:val="890000"/>
          <w:sz w:val="32"/>
          <w:szCs w:val="32"/>
        </w:rPr>
        <w:t xml:space="preserve">8. Your Practice System</w:t>
      </w:r>
    </w:p>
    <w:p>
      <w:pPr>
        <w:pStyle w:val="Heading2"/>
        <w:spacing w:after="140" w:before="260"/>
      </w:pPr>
      <w:r>
        <w:rPr>
          <w:rFonts w:ascii="Georgia" w:cs="Georgia" w:eastAsia="Georgia" w:hAnsi="Georgia"/>
          <w:b/>
          <w:bCs/>
          <w:color w:val="1A1A1A"/>
          <w:sz w:val="26"/>
          <w:szCs w:val="26"/>
        </w:rPr>
        <w:t xml:space="preserve">8.1 The retired question bank</w:t>
      </w:r>
    </w:p>
    <w:p>
      <w:pPr>
        <w:spacing w:after="160" w:before="0"/>
      </w:pPr>
      <w:r>
        <w:rPr>
          <w:rFonts w:ascii="Calibri" w:cs="Calibri" w:eastAsia="Calibri" w:hAnsi="Calibri"/>
          <w:color w:val="262626"/>
          <w:sz w:val="22"/>
          <w:szCs w:val="22"/>
        </w:rPr>
        <w:t xml:space="preserve">The online playbook publishes the full retired employer question bank — 120 competency questions and 20 role screen questions, real questions rotated out of live use precisely so you can practice on them. Filter by your target role; start with the gatekeepers. Live interviews will use different questions targeting the same competencies — which is exactly why practicing the competency, not the sentence, is the whole method.</w:t>
      </w:r>
    </w:p>
    <w:p>
      <w:pPr>
        <w:spacing w:after="160" w:before="0"/>
      </w:pPr>
      <w:r>
        <w:rPr>
          <w:rFonts w:ascii="Calibri" w:cs="Calibri" w:eastAsia="Calibri" w:hAnsi="Calibri"/>
          <w:color w:val="890000"/>
          <w:sz w:val="22"/>
          <w:szCs w:val="22"/>
        </w:rPr>
        <w:t xml:space="preserve">Online: https://coryjburk.github.io/competency-interview/student_playbook.html</w:t>
      </w:r>
    </w:p>
    <w:p>
      <w:pPr>
        <w:pStyle w:val="Heading2"/>
        <w:spacing w:after="140" w:before="260"/>
      </w:pPr>
      <w:r>
        <w:rPr>
          <w:rFonts w:ascii="Georgia" w:cs="Georgia" w:eastAsia="Georgia" w:hAnsi="Georgia"/>
          <w:b/>
          <w:bCs/>
          <w:color w:val="1A1A1A"/>
          <w:sz w:val="26"/>
          <w:szCs w:val="26"/>
        </w:rPr>
        <w:t xml:space="preserve">8.2 The AI practice coach</w:t>
      </w:r>
    </w:p>
    <w:p>
      <w:pPr>
        <w:spacing w:after="160" w:before="0"/>
      </w:pPr>
      <w:r>
        <w:rPr>
          <w:rFonts w:ascii="Calibri" w:cs="Calibri" w:eastAsia="Calibri" w:hAnsi="Calibri"/>
          <w:color w:val="262626"/>
          <w:sz w:val="22"/>
          <w:szCs w:val="22"/>
        </w:rPr>
        <w:t xml:space="preserve">Every retired question has a “Practice with AI” button, and every competency has a prompt generator. Copy the prompt into Claude or another AI assistant and it will interview you, probe like a trained interviewer, score both answers on the exact rubric above, and tell you the single change that would raise each score one level. The prompt orders the AI not to flatter you — a candid 2 helps more than a kind 3.</w:t>
      </w:r>
    </w:p>
    <w:p>
      <w:pPr>
        <w:pStyle w:val="ListParagraph"/>
        <w:numPr>
          <w:ilvl w:val="0"/>
          <w:numId w:val="4"/>
        </w:numPr>
        <w:spacing w:after="80"/>
      </w:pPr>
      <w:r>
        <w:rPr>
          <w:rFonts w:ascii="Calibri" w:cs="Calibri" w:eastAsia="Calibri" w:hAnsi="Calibri"/>
          <w:color w:val="262626"/>
          <w:sz w:val="22"/>
          <w:szCs w:val="22"/>
        </w:rPr>
        <w:t xml:space="preserve">Practice out loud, not in your head. Typing an answer and delivering one are different skills.</w:t>
      </w:r>
    </w:p>
    <w:p>
      <w:pPr>
        <w:pStyle w:val="ListParagraph"/>
        <w:numPr>
          <w:ilvl w:val="0"/>
          <w:numId w:val="4"/>
        </w:numPr>
        <w:spacing w:after="80"/>
      </w:pPr>
      <w:r>
        <w:rPr>
          <w:rFonts w:ascii="Calibri" w:cs="Calibri" w:eastAsia="Calibri" w:hAnsi="Calibri"/>
          <w:color w:val="262626"/>
          <w:sz w:val="22"/>
          <w:szCs w:val="22"/>
        </w:rPr>
        <w:t xml:space="preserve">Score yourself before reading the AI's score. Calibration is the skill; the gap between your score and the rubric's is your homework.</w:t>
      </w:r>
    </w:p>
    <w:p>
      <w:pPr>
        <w:pStyle w:val="ListParagraph"/>
        <w:numPr>
          <w:ilvl w:val="0"/>
          <w:numId w:val="4"/>
        </w:numPr>
        <w:spacing w:after="80"/>
      </w:pPr>
      <w:r>
        <w:rPr>
          <w:rFonts w:ascii="Calibri" w:cs="Calibri" w:eastAsia="Calibri" w:hAnsi="Calibri"/>
          <w:color w:val="262626"/>
          <w:sz w:val="22"/>
          <w:szCs w:val="22"/>
        </w:rPr>
        <w:t xml:space="preserve">Re-run the same question after coaching. One question practiced to a 4 beats five practiced to a 2.</w:t>
      </w:r>
    </w:p>
    <w:p>
      <w:pPr>
        <w:pStyle w:val="Heading2"/>
        <w:spacing w:after="140" w:before="260"/>
      </w:pPr>
      <w:r>
        <w:rPr>
          <w:rFonts w:ascii="Georgia" w:cs="Georgia" w:eastAsia="Georgia" w:hAnsi="Georgia"/>
          <w:b/>
          <w:bCs/>
          <w:color w:val="1A1A1A"/>
          <w:sz w:val="26"/>
          <w:szCs w:val="26"/>
        </w:rPr>
        <w:t xml:space="preserve">8.3 The full mock: Mock Interview Lifecycle</w:t>
      </w:r>
    </w:p>
    <w:p>
      <w:pPr>
        <w:spacing w:after="160" w:before="0"/>
      </w:pPr>
      <w:r>
        <w:rPr>
          <w:rFonts w:ascii="Calibri" w:cs="Calibri" w:eastAsia="Calibri" w:hAnsi="Calibri"/>
          <w:color w:val="262626"/>
          <w:sz w:val="22"/>
          <w:szCs w:val="22"/>
        </w:rPr>
        <w:t xml:space="preserve">When you're ready to practice the way you'll actually be interviewed, run the Mock Interview Lifecycle (linked from the playbook). It simulates all four stages for your target role using the same stage maps, gatekeepers, rubric, and thresholds as the real employer scorecard:</w:t>
      </w:r>
    </w:p>
    <w:p>
      <w:pPr>
        <w:pStyle w:val="ListParagraph"/>
        <w:numPr>
          <w:ilvl w:val="0"/>
          <w:numId w:val="5"/>
        </w:numPr>
        <w:spacing w:after="80"/>
      </w:pPr>
      <w:r>
        <w:rPr>
          <w:rFonts w:ascii="Calibri" w:cs="Calibri" w:eastAsia="Calibri" w:hAnsi="Calibri"/>
          <w:color w:val="262626"/>
          <w:sz w:val="22"/>
          <w:szCs w:val="22"/>
        </w:rPr>
        <w:t xml:space="preserve">Pick your track. Start with Strengths &amp; Weaknesses — Top Behavioral Stories (first in the list): your class question set plus the classic stumpers, gated on Instills Trust — because strength-and-weakness questions are honesty tests. Then switch to your target role. Each stage tab shows its real questions from the retired bank — one box per question, with a shuffle button for variety. Stages are freely navigable; for the full simulation, run them in order.</w:t>
      </w:r>
    </w:p>
    <w:p>
      <w:pPr>
        <w:pStyle w:val="ListParagraph"/>
        <w:numPr>
          <w:ilvl w:val="0"/>
          <w:numId w:val="5"/>
        </w:numPr>
        <w:spacing w:after="80"/>
      </w:pPr>
      <w:r>
        <w:rPr>
          <w:rFonts w:ascii="Calibri" w:cs="Calibri" w:eastAsia="Calibri" w:hAnsi="Calibri"/>
          <w:color w:val="262626"/>
          <w:sz w:val="22"/>
          <w:szCs w:val="22"/>
        </w:rPr>
        <w:t xml:space="preserve">Answer out loud. The record button transcribes as you speak (Chrome, Edge, Safari) and keeps the audio for playback so you can hear your own pacing and fillers. Edit the transcript; typing always works.</w:t>
      </w:r>
    </w:p>
    <w:p>
      <w:pPr>
        <w:pStyle w:val="ListParagraph"/>
        <w:numPr>
          <w:ilvl w:val="0"/>
          <w:numId w:val="5"/>
        </w:numPr>
        <w:spacing w:after="80"/>
      </w:pPr>
      <w:r>
        <w:rPr>
          <w:rFonts w:ascii="Calibri" w:cs="Calibri" w:eastAsia="Calibri" w:hAnsi="Calibri"/>
          <w:color w:val="262626"/>
          <w:sz w:val="22"/>
          <w:szCs w:val="22"/>
        </w:rPr>
        <w:t xml:space="preserve">Copy the stage's coaching prompt into Claude or another AI assistant. It bundles every question and answer with the rubric and instructs the AI to score each answer with quoted evidence, check gates, and name the one change that raises each score a level.</w:t>
      </w:r>
    </w:p>
    <w:p>
      <w:pPr>
        <w:pStyle w:val="ListParagraph"/>
        <w:numPr>
          <w:ilvl w:val="0"/>
          <w:numId w:val="5"/>
        </w:numPr>
        <w:spacing w:after="80"/>
      </w:pPr>
      <w:r>
        <w:rPr>
          <w:rFonts w:ascii="Calibri" w:cs="Calibri" w:eastAsia="Calibri" w:hAnsi="Calibri"/>
          <w:color w:val="262626"/>
          <w:sz w:val="22"/>
          <w:szCs w:val="22"/>
        </w:rPr>
        <w:t xml:space="preserve">Log the AI's scores back into the tool. It computes stage and lifecycle percentages on the employer thresholds and fires gate warnings — a 1 on a gatekeeper is your next practice priority, exactly as it would end a real candidacy.</w:t>
      </w:r>
    </w:p>
    <w:p>
      <w:pPr>
        <w:pStyle w:val="ListParagraph"/>
        <w:numPr>
          <w:ilvl w:val="0"/>
          <w:numId w:val="5"/>
        </w:numPr>
        <w:spacing w:after="80"/>
      </w:pPr>
      <w:r>
        <w:rPr>
          <w:rFonts w:ascii="Calibri" w:cs="Calibri" w:eastAsia="Calibri" w:hAnsi="Calibri"/>
          <w:color w:val="262626"/>
          <w:sz w:val="22"/>
          <w:szCs w:val="22"/>
        </w:rPr>
        <w:t xml:space="preserve">Finish with the final debrief prompt (strengths, weaknesses, cross-stage patterns, a two-week plan, and a straight readiness call) and copy the coach summary to bring to your career coaching appointment.</w:t>
      </w:r>
    </w:p>
    <w:p>
      <w:pPr>
        <w:pStyle w:val="ListParagraph"/>
        <w:numPr>
          <w:ilvl w:val="0"/>
          <w:numId w:val="5"/>
        </w:numPr>
        <w:spacing w:after="80"/>
      </w:pPr>
      <w:r>
        <w:rPr>
          <w:rFonts w:ascii="Calibri" w:cs="Calibri" w:eastAsia="Calibri" w:hAnsi="Calibri"/>
          <w:color w:val="262626"/>
          <w:sz w:val="22"/>
          <w:szCs w:val="22"/>
        </w:rPr>
        <w:t xml:space="preserve">Track your progression. Each stage tab has its own tracker — save a stage run whenever you've scored a full stage, and watch its trend line against the employer thresholds. Complete all four stages and the Final tab unlocks “Save complete mock,” adding a milestone to your full-mock chart below the debrief. Charts plot your 1–4 rubric average; per-competency trends show first, latest, and best. Export a backup occasionally — the log lives only in your browser — and use the three delete controls (clear current mock / delete progress log / delete everything) to manage it. The coach summary automatically includes a link to your coach's one-page reading guide.</w:t>
      </w:r>
    </w:p>
    <w:p>
      <w:pPr>
        <w:spacing w:after="160" w:before="0"/>
      </w:pPr>
      <w:r>
        <w:rPr>
          <w:rFonts w:ascii="Calibri" w:cs="Calibri" w:eastAsia="Calibri" w:hAnsi="Calibri"/>
          <w:i/>
          <w:iCs/>
          <w:color w:val="262626"/>
          <w:sz w:val="22"/>
          <w:szCs w:val="22"/>
        </w:rPr>
        <w:t xml:space="preserve">Privacy note: answers and scores save only in your browser; audio recordings live in memory for the session and are never saved or uploaded. In Chrome, live transcription is processed by Google's speech service — type instead if you prefer.</w:t>
      </w:r>
    </w:p>
    <w:p>
      <w:pPr>
        <w:pStyle w:val="Heading2"/>
        <w:spacing w:after="140" w:before="260"/>
      </w:pPr>
      <w:r>
        <w:rPr>
          <w:rFonts w:ascii="Georgia" w:cs="Georgia" w:eastAsia="Georgia" w:hAnsi="Georgia"/>
          <w:b/>
          <w:bCs/>
          <w:color w:val="1A1A1A"/>
          <w:sz w:val="26"/>
          <w:szCs w:val="26"/>
        </w:rPr>
        <w:t xml:space="preserve">8.4 Peer mock interviews</w:t>
      </w:r>
    </w:p>
    <w:p>
      <w:pPr>
        <w:spacing w:after="160" w:before="0"/>
      </w:pPr>
      <w:r>
        <w:rPr>
          <w:rFonts w:ascii="Calibri" w:cs="Calibri" w:eastAsia="Calibri" w:hAnsi="Calibri"/>
          <w:color w:val="262626"/>
          <w:sz w:val="22"/>
          <w:szCs w:val="22"/>
        </w:rPr>
        <w:t xml:space="preserve">Run full mock stages with a classmate — on the real instrument. The interviewer opens the Interview Scorecard, clicks “Load retired practice bank,” selects your target role and stage, and scores you live on the actual employer tool: same anchors, same gate warnings, same running total. Interviewer practices probing without leading (“what did you do next?” — never “so you escalated, right?”); candidate practices under real eye contact. Swap. Bring your scores to your career coach — self-assessment plus a second set of eyes is the whole method.</w:t>
      </w:r>
    </w:p>
    <w:p>
      <w:pPr>
        <w:pStyle w:val="Heading1"/>
        <w:spacing w:after="200" w:before="360"/>
      </w:pPr>
      <w:r>
        <w:rPr>
          <w:rFonts w:ascii="Georgia" w:cs="Georgia" w:eastAsia="Georgia" w:hAnsi="Georgia"/>
          <w:b/>
          <w:bCs/>
          <w:color w:val="890000"/>
          <w:sz w:val="32"/>
          <w:szCs w:val="32"/>
        </w:rPr>
        <w:t xml:space="preserve">9. Interview Day</w:t>
      </w:r>
    </w:p>
    <w:p>
      <w:pPr>
        <w:pStyle w:val="ListParagraph"/>
        <w:numPr>
          <w:ilvl w:val="0"/>
          <w:numId w:val="2"/>
        </w:numPr>
        <w:spacing w:after="80"/>
      </w:pPr>
      <w:r>
        <w:rPr>
          <w:rFonts w:ascii="Calibri" w:cs="Calibri" w:eastAsia="Calibri" w:hAnsi="Calibri"/>
          <w:color w:val="262626"/>
          <w:sz w:val="22"/>
          <w:szCs w:val="22"/>
        </w:rPr>
        <w:t xml:space="preserve">Probes are gifts. “What was your specific role?” is the interviewer offering you a path to a higher score. Answer the probe, precisely, without defensiveness.</w:t>
      </w:r>
    </w:p>
    <w:p>
      <w:pPr>
        <w:pStyle w:val="ListParagraph"/>
        <w:numPr>
          <w:ilvl w:val="0"/>
          <w:numId w:val="2"/>
        </w:numPr>
        <w:spacing w:after="80"/>
      </w:pPr>
      <w:r>
        <w:rPr>
          <w:rFonts w:ascii="Calibri" w:cs="Calibri" w:eastAsia="Calibri" w:hAnsi="Calibri"/>
          <w:color w:val="262626"/>
          <w:sz w:val="22"/>
          <w:szCs w:val="22"/>
        </w:rPr>
        <w:t xml:space="preserve">If you don't have an example, say so and offer the nearest real one: “I haven't led a pricing decision; the closest is a scoping call I made on X — useful?” Honesty reads as a signal; improvisation reads as a 1.</w:t>
      </w:r>
    </w:p>
    <w:p>
      <w:pPr>
        <w:pStyle w:val="ListParagraph"/>
        <w:numPr>
          <w:ilvl w:val="0"/>
          <w:numId w:val="2"/>
        </w:numPr>
        <w:spacing w:after="80"/>
      </w:pPr>
      <w:r>
        <w:rPr>
          <w:rFonts w:ascii="Calibri" w:cs="Calibri" w:eastAsia="Calibri" w:hAnsi="Calibri"/>
          <w:color w:val="262626"/>
          <w:sz w:val="22"/>
          <w:szCs w:val="22"/>
        </w:rPr>
        <w:t xml:space="preserve">Bring numbers on purpose. Rehearse the two or three figures per story so they arrive naturally.</w:t>
      </w:r>
    </w:p>
    <w:p>
      <w:pPr>
        <w:pStyle w:val="ListParagraph"/>
        <w:numPr>
          <w:ilvl w:val="0"/>
          <w:numId w:val="2"/>
        </w:numPr>
        <w:spacing w:after="80"/>
      </w:pPr>
      <w:r>
        <w:rPr>
          <w:rFonts w:ascii="Calibri" w:cs="Calibri" w:eastAsia="Calibri" w:hAnsi="Calibri"/>
          <w:color w:val="262626"/>
          <w:sz w:val="22"/>
          <w:szCs w:val="22"/>
        </w:rPr>
        <w:t xml:space="preserve">For situational questions (“what would you do if…”), structure out loud: name your assumptions, your first steps, and the trade-off you're accepting. They score reasoning, not the “right answer.”</w:t>
      </w:r>
    </w:p>
    <w:p>
      <w:pPr>
        <w:pStyle w:val="ListParagraph"/>
        <w:numPr>
          <w:ilvl w:val="0"/>
          <w:numId w:val="2"/>
        </w:numPr>
        <w:spacing w:after="80"/>
      </w:pPr>
      <w:r>
        <w:rPr>
          <w:rFonts w:ascii="Calibri" w:cs="Calibri" w:eastAsia="Calibri" w:hAnsi="Calibri"/>
          <w:color w:val="262626"/>
          <w:sz w:val="22"/>
          <w:szCs w:val="22"/>
        </w:rPr>
        <w:t xml:space="preserve">Use your question time. Prepared, specific questions about the role's first six months are themselves evidence of Strategic Alignment.</w:t>
      </w:r>
    </w:p>
    <w:p>
      <w:pPr>
        <w:pStyle w:val="ListParagraph"/>
        <w:numPr>
          <w:ilvl w:val="0"/>
          <w:numId w:val="2"/>
        </w:numPr>
        <w:spacing w:after="80"/>
      </w:pPr>
      <w:r>
        <w:rPr>
          <w:rFonts w:ascii="Calibri" w:cs="Calibri" w:eastAsia="Calibri" w:hAnsi="Calibri"/>
          <w:color w:val="262626"/>
          <w:sz w:val="22"/>
          <w:szCs w:val="22"/>
        </w:rPr>
        <w:t xml:space="preserve">Expect the same process as every other candidate — that's the framework working. Consistency is fairness, not coldness.</w:t>
      </w:r>
    </w:p>
    <w:p>
      <w:pPr>
        <w:pStyle w:val="Heading1"/>
        <w:spacing w:after="200" w:before="360"/>
      </w:pPr>
      <w:r>
        <w:rPr>
          <w:rFonts w:ascii="Georgia" w:cs="Georgia" w:eastAsia="Georgia" w:hAnsi="Georgia"/>
          <w:b/>
          <w:bCs/>
          <w:color w:val="890000"/>
          <w:sz w:val="32"/>
          <w:szCs w:val="32"/>
        </w:rPr>
        <w:t xml:space="preserve">10. A Note on AI Use</w:t>
      </w:r>
    </w:p>
    <w:p>
      <w:pPr>
        <w:spacing w:after="160" w:before="0"/>
      </w:pPr>
      <w:r>
        <w:rPr>
          <w:rFonts w:ascii="Calibri" w:cs="Calibri" w:eastAsia="Calibri" w:hAnsi="Calibri"/>
          <w:color w:val="262626"/>
          <w:sz w:val="22"/>
          <w:szCs w:val="22"/>
        </w:rPr>
        <w:t xml:space="preserve">Preparing with AI — practice, coaching, story refinement — is legitimate and encouraged; it's the modern equivalent of a prep book and a patient friend. Real-time AI assistance during a live interview is not: most employers prohibit it, detection is increasingly reliable, and it converts a preparation advantage into an integrity risk on a framework with an ethics gatekeeper. The line is simple: AI sharpens your evidence before the room; only you carry it into the room.</w:t>
      </w:r>
    </w:p>
    <w:p>
      <w:pPr>
        <w:pStyle w:val="Heading1"/>
        <w:spacing w:after="200" w:before="360"/>
      </w:pPr>
      <w:r>
        <w:rPr>
          <w:rFonts w:ascii="Georgia" w:cs="Georgia" w:eastAsia="Georgia" w:hAnsi="Georgia"/>
          <w:b/>
          <w:bCs/>
          <w:color w:val="890000"/>
          <w:sz w:val="32"/>
          <w:szCs w:val="32"/>
        </w:rPr>
        <w:t xml:space="preserve">11. Connect It to Your Development</w:t>
      </w:r>
    </w:p>
    <w:p>
      <w:pPr>
        <w:spacing w:after="160" w:before="0"/>
      </w:pPr>
      <w:r>
        <w:rPr>
          <w:rFonts w:ascii="Calibri" w:cs="Calibri" w:eastAsia="Calibri" w:hAnsi="Calibri"/>
          <w:color w:val="262626"/>
          <w:sz w:val="22"/>
          <w:szCs w:val="22"/>
        </w:rPr>
        <w:t xml:space="preserve">This framework runs on the same 22 competencies as your program self-assessments. Use that: your orientation and mid-program self-assessments tell you which competencies are your weakest evidence, which tells you which stories to build next. Interview preparation and competency development are the same activity viewed from two ends — and your career coach can see both.</w:t>
      </w:r>
    </w:p>
    <w:p>
      <w:pPr>
        <w:spacing w:after="160" w:before="0"/>
      </w:pPr>
      <w:r>
        <w:rPr>
          <w:rFonts w:ascii="Calibri" w:cs="Calibri" w:eastAsia="Calibri" w:hAnsi="Calibri"/>
          <w:i/>
          <w:iCs/>
          <w:color w:val="262626"/>
          <w:sz w:val="22"/>
          <w:szCs w:val="22"/>
        </w:rPr>
        <w:t xml:space="preserve">Resources: online playbook, role explorer, retired question bank, AI coach, and the Mock Interview Lifecycle at https://coryjburk.github.io/competency-interview/student_playbook.html · this guide · the student overview deck · your career coaching appointments.</w:t>
      </w:r>
    </w:p>
    <w:p>
      <w:pPr>
        <w:spacing w:after="40"/>
      </w:pPr>
      <w:r>
        <w:rPr>
          <w:rFonts w:ascii="Calibri" w:hAnsi="Calibri"/>
          <w:i/>
          <w:color w:val="6B6B6B"/>
          <w:sz w:val="18"/>
        </w:rPr>
        <w:t>Developed by Cory Burk, Senior Manager, Program Management · Full-Time MBA Program · David Eccles School of Business.</w:t>
      </w:r>
    </w:p>
    <w:p>
      <w:pPr>
        <w:spacing w:after="40"/>
      </w:pPr>
      <w:r>
        <w:rPr>
          <w:rFonts w:ascii="Calibri" w:hAnsi="Calibri"/>
          <w:i/>
          <w:color w:val="6B6B6B"/>
          <w:sz w:val="18"/>
        </w:rPr>
        <w:t>© 2026 University of Utah, David Eccles School of Business. All rights reserved.</w:t>
      </w:r>
    </w:p>
    <w:sectPr>
      <w:headerReference w:type="default" r:id="rId7"/>
      <w:footerReference w:type="default" r:id="rId8"/>
      <w:pgSz w:w="12240" w:h="15840" w:orient="portrait"/>
      <w:pgMar w:top="1200" w:right="1350" w:bottom="120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Calibri" w:cs="Calibri" w:eastAsia="Calibri" w:hAnsi="Calibri"/>
        <w:color w:val="6B6B6B"/>
        <w:sz w:val="16"/>
        <w:szCs w:val="16"/>
      </w:rPr>
      <w:t xml:space="preserve">Full-Time MBA Program · David Eccles School of Business   ·   Page </w:t>
    </w:r>
    <w:r>
      <w:rPr>
        <w:rFonts w:ascii="Calibri" w:cs="Calibri" w:eastAsia="Calibri" w:hAnsi="Calibri"/>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Calibri" w:cs="Calibri" w:eastAsia="Calibri" w:hAnsi="Calibri"/>
        <w:color w:val="6B6B6B"/>
        <w:sz w:val="16"/>
        <w:szCs w:val="16"/>
      </w:rPr>
      <w:t xml:space="preserve">Eccles MBA Interview Prep Guide — Student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300"/>
      </w:pPr>
    </w:lvl>
  </w:abstractNum>
  <w:abstractNum w:abstractNumId="4" w15:restartNumberingAfterBreak="0">
    <w:multiLevelType w:val="hybridMultilevel"/>
    <w:lvl w:ilvl="0" w15:tentative="1">
      <w:start w:val="1"/>
      <w:numFmt w:val="decimal"/>
      <w:lvlText w:val="%1."/>
      <w:lvlJc w:val="left"/>
      <w:pPr>
        <w:ind w:left="460" w:hanging="300"/>
      </w:pPr>
    </w:lvl>
  </w:abstractNum>
  <w:abstractNum w:abstractNumId="5"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2026-07-13T18:12:19.141Z</dcterms:created>
  <dcterms:modified xsi:type="dcterms:W3CDTF">2026-07-13T18:12:19.143Z</dcterms:modified>
</cp:coreProperties>
</file>

<file path=docProps/custom.xml><?xml version="1.0" encoding="utf-8"?>
<Properties xmlns="http://schemas.openxmlformats.org/officeDocument/2006/custom-properties" xmlns:vt="http://schemas.openxmlformats.org/officeDocument/2006/docPropsVTypes"/>
</file>