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CC0000" w:sz="30"/>
        </w:pBdr>
        <w:spacing w:after="0" w:before="0"/>
      </w:pP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CC0000"/>
          <w:sz w:val="22"/>
          <w:szCs w:val="22"/>
        </w:rPr>
        <w:t xml:space="preserve">FULL-TIME MBA PROGRAM</w:t>
      </w:r>
    </w:p>
    <w:p>
      <w:pPr>
        <w:spacing w:after="260" w:before="0"/>
      </w:pPr>
      <w:r>
        <w:rPr>
          <w:rFonts w:ascii="Calibri" w:cs="Calibri" w:eastAsia="Calibri" w:hAnsi="Calibri"/>
          <w:color w:val="6B6B6B"/>
          <w:sz w:val="18"/>
          <w:szCs w:val="18"/>
        </w:rPr>
        <w:t xml:space="preserve">DAVID ECCLES SCHOOL OF BUSINESS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1A1A1A"/>
          <w:sz w:val="40"/>
          <w:szCs w:val="40"/>
        </w:rPr>
        <w:t xml:space="preserve">Coach Brief</w:t>
      </w:r>
    </w:p>
    <w:p>
      <w:pPr>
        <w:spacing w:after="240" w:before="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Reading a student's mock-interview practice summary — one page, everything you need.</w:t>
      </w:r>
    </w:p>
    <w:p>
      <w:pPr>
        <w:pStyle w:val="Heading1"/>
        <w:spacing w:after="150" w:before="280"/>
      </w:pPr>
      <w:r>
        <w:rPr>
          <w:rFonts w:ascii="Georgia" w:cs="Georgia" w:eastAsia="Georgia" w:hAnsi="Georgia"/>
          <w:b/>
          <w:bCs/>
          <w:color w:val="890000"/>
          <w:sz w:val="29"/>
          <w:szCs w:val="29"/>
        </w:rPr>
        <w:t xml:space="preserve">What students are using</w:t>
      </w:r>
    </w:p>
    <w:p>
      <w:pPr>
        <w:spacing w:after="140" w:before="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Students practice with the public Interview Prep system at https://coryjburk.github.io/competency-interview/ — a prep playbook, a bank of real retired employer interview questions, and a Mock Interview Lifecycle tool that runs them through all four stages of a structured interview (Screen → Hiring Manager → Panel → Final). They answer out loud, get scored by an AI coach against the official rubric, log those scores, and track trends. When they bring you a summary, it came from that tool.</w:t>
      </w:r>
    </w:p>
    <w:p>
      <w:pPr>
        <w:pStyle w:val="Heading1"/>
        <w:spacing w:after="150" w:before="280"/>
      </w:pPr>
      <w:r>
        <w:rPr>
          <w:rFonts w:ascii="Georgia" w:cs="Georgia" w:eastAsia="Georgia" w:hAnsi="Georgia"/>
          <w:b/>
          <w:bCs/>
          <w:color w:val="890000"/>
          <w:sz w:val="29"/>
          <w:szCs w:val="29"/>
        </w:rPr>
        <w:t xml:space="preserve">Reading the numbers</w:t>
      </w:r>
    </w:p>
    <w:p>
      <w:pPr>
        <w:spacing w:after="140" w:before="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Everything is scored on the employer rubric — the same one partner companies use in live interviews: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600"/>
        <w:gridCol w:w="3200"/>
      </w:tblGrid>
      <w:tr>
        <w:trPr>
          <w:tblHeader/>
        </w:trPr>
        <w:tc>
          <w:tcPr>
            <w:tcW w:type="dxa" w:w="700"/>
            <w:shd w:fill="89000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5600"/>
            <w:shd w:fill="89000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3200"/>
            <w:shd w:fill="89000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Developmental scale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1</w:t>
            </w:r>
          </w:p>
        </w:tc>
        <w:tc>
          <w:tcPr>
            <w:tcW w:type="dxa" w:w="5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No real example; no ownership; can't explain impact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Advanced Beginner (1–2)</w:t>
            </w:r>
          </w:p>
        </w:tc>
      </w:tr>
      <w:tr>
        <w:tc>
          <w:tcPr>
            <w:tcW w:type="dxa" w:w="700"/>
            <w:shd w:fill="F7F3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2</w:t>
            </w:r>
          </w:p>
        </w:tc>
        <w:tc>
          <w:tcPr>
            <w:tcW w:type="dxa" w:w="5600"/>
            <w:shd w:fill="F7F3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Real but thin; role had to be dug out; no measurable result</w:t>
            </w:r>
          </w:p>
        </w:tc>
        <w:tc>
          <w:tcPr>
            <w:tcW w:type="dxa" w:w="3200"/>
            <w:shd w:fill="F7F3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Competent (3–5)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3</w:t>
            </w:r>
          </w:p>
        </w:tc>
        <w:tc>
          <w:tcPr>
            <w:tcW w:type="dxa" w:w="5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Ownership, judgment, trade-offs, credible outcome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Proficient (6–8)</w:t>
            </w:r>
          </w:p>
        </w:tc>
      </w:tr>
      <w:tr>
        <w:tc>
          <w:tcPr>
            <w:tcW w:type="dxa" w:w="700"/>
            <w:shd w:fill="F7F3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4</w:t>
            </w:r>
          </w:p>
        </w:tc>
        <w:tc>
          <w:tcPr>
            <w:tcW w:type="dxa" w:w="5600"/>
            <w:shd w:fill="F7F3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High complexity, repeatable method, elevates others</w:t>
            </w:r>
          </w:p>
        </w:tc>
        <w:tc>
          <w:tcPr>
            <w:tcW w:type="dxa" w:w="3200"/>
            <w:shd w:fill="F7F3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Expert (9–10)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Percentages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are averages against the employer decision thresholds: 80%+ advance (3.2 avg) · 70–79% advance with discussion (2.8) · below 60% do not advance (2.4). The student's charts draw these as dashed lines.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Gates: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each role designates 1–2 gatekeeper competencies where a score of 1 ends a real candidacy at any total. A gate trigger in a practice summary is the single highest-priority coaching target. Gates going quiet across sessions is the strongest progress signal.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Same 22 competencies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as the program self-assessments — a student's interview evidence and their developmental self-ratings are two views of one model, and divergence between them is itself coaching material.</w:t>
      </w:r>
    </w:p>
    <w:p>
      <w:r>
        <w:rPr>
          <w:rFonts w:ascii="Calibri" w:hAnsi="Calibri"/>
          <w:sz w:val="21"/>
        </w:rPr>
        <w:t>The answer framework is CARL — Context/Challenge, Action, Results, Learning — the storytelling method taught in the careers class; every AI coaching prompt in the system scores against it. When a summary shows a competency stuck at 2, the missing beat is almost always the Action specifics (“we” instead of “I”) or the Learning — the beat that separates 3s from 4s.</w:t>
      </w:r>
    </w:p>
    <w:p>
      <w:pPr>
        <w:pStyle w:val="Heading1"/>
        <w:spacing w:after="150" w:before="280"/>
      </w:pPr>
      <w:r>
        <w:rPr>
          <w:rFonts w:ascii="Georgia" w:cs="Georgia" w:eastAsia="Georgia" w:hAnsi="Georgia"/>
          <w:b/>
          <w:bCs/>
          <w:color w:val="890000"/>
          <w:sz w:val="29"/>
          <w:szCs w:val="29"/>
        </w:rPr>
        <w:t xml:space="preserve">Honest caveats</w:t>
      </w:r>
    </w:p>
    <w:p>
      <w:pPr>
        <w:spacing w:after="140" w:before="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These are self-reported practice scores from AI coaching sessions — different days, different question difficulty, and the human temptation to log generously. Treat the trend across sessions as signal and any single session as noise. This is a private practice log, not a credential or a readiness certification; the only thing it certifies is that the student is doing the work.</w:t>
      </w:r>
    </w:p>
    <w:p>
      <w:pPr>
        <w:pStyle w:val="Heading1"/>
        <w:spacing w:after="150" w:before="280"/>
      </w:pPr>
      <w:r>
        <w:rPr>
          <w:rFonts w:ascii="Georgia" w:cs="Georgia" w:eastAsia="Georgia" w:hAnsi="Georgia"/>
          <w:b/>
          <w:bCs/>
          <w:color w:val="890000"/>
          <w:sz w:val="29"/>
          <w:szCs w:val="29"/>
        </w:rPr>
        <w:t xml:space="preserve">In the session — five moves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Start at any gate trigger: which competency, and is the miss story choice or story telling?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Compare the competency table's first→latest trend against their program self-assessment; probe divergence.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Find the competencies with no scores at all — those are story-bank gaps, not skill gaps, until proven otherwise.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Assign homework by question, not by topic: specific retired-bank questions to re-run with the AI coach to a 3+.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Treat a full four-stage mock as a milestone event — suggest one before each real interview cycle, not weekly.</w:t>
      </w:r>
    </w:p>
    <w:p>
      <w:pPr>
        <w:spacing w:after="140" w:before="120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Student-facing materials, the rubric in full, and this system's documentation: https://coryjburk.github.io/competency-interview/</w:t>
      </w:r>
    </w:p>
    <w:p>
      <w:pPr>
        <w:spacing w:after="40"/>
      </w:pPr>
      <w:r>
        <w:rPr>
          <w:rFonts w:ascii="Calibri" w:hAnsi="Calibri"/>
          <w:i/>
          <w:color w:val="6B6B6B"/>
          <w:sz w:val="18"/>
        </w:rPr>
        <w:t>Developed by Cory Burk, Senior Manager, Program Management · Full-Time MBA Program · David Eccles School of Business.</w:t>
      </w:r>
    </w:p>
    <w:p>
      <w:pPr>
        <w:spacing w:after="40"/>
      </w:pPr>
      <w:r>
        <w:rPr>
          <w:rFonts w:ascii="Calibri" w:hAnsi="Calibri"/>
          <w:i/>
          <w:color w:val="6B6B6B"/>
          <w:sz w:val="18"/>
        </w:rPr>
        <w:t>© 2026 University of Utah, David Eccles School of Business. All rights reserved.</w:t>
      </w:r>
    </w:p>
    <w:sectPr>
      <w:headerReference w:type="default" r:id="rId7"/>
      <w:footerReference w:type="default" r:id="rId8"/>
      <w:pgSz w:w="12240" w:h="15840" w:orient="portrait"/>
      <w:pgMar w:top="1000" w:right="1250" w:bottom="10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Calibri" w:cs="Calibri" w:eastAsia="Calibri" w:hAnsi="Calibri"/>
        <w:color w:val="6B6B6B"/>
        <w:sz w:val="15"/>
        <w:szCs w:val="15"/>
      </w:rPr>
      <w:t xml:space="preserve">Full-Time MBA Program · David Eccles School of Business   ·   Page </w:t>
    </w:r>
    <w:r>
      <w:rPr>
        <w:rFonts w:ascii="Calibri" w:cs="Calibri" w:eastAsia="Calibri" w:hAnsi="Calibri"/>
        <w:color w:val="6B6B6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color w:val="6B6B6B"/>
        <w:sz w:val="15"/>
        <w:szCs w:val="15"/>
      </w:rPr>
      <w:t xml:space="preserve">Coach Brief — Mock Interview Practice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2026-07-10T21:42:30.843Z</dcterms:created>
  <dcterms:modified xsi:type="dcterms:W3CDTF">2026-07-10T21:42:30.855Z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