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Project Remora: Architecture &amp; Mathematical Foundations</w:t>
      </w:r>
    </w:p>
    <w:p>
      <w:r>
        <w:rPr>
          <w:b/>
        </w:rPr>
        <w:t>Author: Gerald Corzo (corzogac)</w:t>
        <w:br/>
      </w:r>
      <w:r>
        <w:t>Project: Remora — Continuous Wave-Dynamic Latent Inference &amp; Sub-Symbolic Learning</w:t>
        <w:br/>
      </w:r>
      <w:r>
        <w:t>Date: August 2026</w:t>
        <w:br/>
      </w:r>
    </w:p>
    <w:p>
      <w:pPr>
        <w:pStyle w:val="Heading1"/>
      </w:pPr>
      <w:r>
        <w:t>1. Executive Overview &amp; Motivation</w:t>
      </w:r>
    </w:p>
    <w:p>
      <w:r>
        <w:t>Contemporary Large Language Models operate under a discrete symbolic paradigm: every concept, identity, system rule, and past interaction is translated into tokenized strings. In multi-turn agentic workflows (such as Janus running at IHE Delft), the system re-tokenizes thousands of tokens of identical persona and governance definitions before appending a brief user query.</w:t>
      </w:r>
    </w:p>
    <w:p>
      <w:r>
        <w:t>Project Remora reformulates inference and adaptation through continuous physical wave mechanics. By treating the Transformer residual stream as a continuous state-space trajectory z(t, τ), we decouple identity and memory from symbolic text, achieving:</w:t>
        <w:br/>
        <w:t>1. Zero-Token Latent Ingestion: Pre-computing and hardcoding the persona's standing wave directly into layer biases.</w:t>
        <w:br/>
        <w:t>2. Sub-Symbolic Lifelong Learning: A lightweight 'pilot-fish' companion network (Remora) that learns directly from the activation wake of the primary model.</w:t>
        <w:br/>
        <w:t>3. Predictive NVMe Prefetching: Forecasting Mixture-of-Experts (MoE) routing targets to eliminate I/O wait-states in disk-streamed engines like Colibri.</w:t>
      </w:r>
    </w:p>
    <w:p>
      <w:pPr>
        <w:pStyle w:val="Heading1"/>
      </w:pPr>
      <w:r>
        <w:t>2. Mathematical Foundations: The 2D Damped Semantic Wave</w:t>
      </w:r>
    </w:p>
    <w:p>
      <w:r>
        <w:t>Let τ ∈ [0, L] represent continuous layer depth, and let t ∈ [1, T] represent the discrete sequence token index. In the continuous depth limit, the residual stream evolution satisfies a non-autonomous Neural Ordinary Differential Equation (Neural ODE):</w:t>
        <w:br/>
        <w:br/>
        <w:t xml:space="preserve">   ∂h(t, τ)/∂τ = f_θ(h(t, τ), τ, x_&lt;=t)</w:t>
        <w:br/>
        <w:br/>
        <w:t>Coupling the depth dynamics τ with the autoregressive context expansion Δt = 1 yields the 2D Damped Semantic Wave Equation:</w:t>
        <w:br/>
        <w:br/>
        <w:t xml:space="preserve">   ∂²h(t, τ)/∂τ∂t + γ ∂h(t, τ)/∂τ = D_s ∂²h(t, τ)/∂t² + J_θ(h(t, τ))</w:t>
        <w:br/>
        <w:br/>
        <w:t>Where γ &gt; 0 is the dissipative damping coefficient (LayerNorm/residual scaling), D_s is the semantic dispersion tensor governing historical back-coupling, and J_θ(h) is the non-linear forcing function (FFN/MoE projections).</w:t>
      </w:r>
    </w:p>
    <w:p>
      <w:pPr>
        <w:pStyle w:val="Heading2"/>
      </w:pPr>
      <w:r>
        <w:t>3. The Three Wave Regimes &amp; Phase Space Attractors</w:t>
      </w:r>
    </w:p>
    <w:p>
      <w:r>
        <w:t>1. Ground Potential V_0(h): The neutral language prior where velocity v(t, τ) -&gt; 0.</w:t>
        <w:br/>
        <w:t>2. Persona Standing Wave V_persona(h): Invariant identity rules establish a stable limit cycle across layer depth. Stored directly as a static latent bias tensor b_persona without tokenization.</w:t>
        <w:br/>
        <w:t>3. Dialog Traveling Waveform: User queries inject localized kinetic energy, launching a wavefront that propagates through layers and triggers specific MoE expert clusters before dampening back into the limit cycle.</w:t>
      </w:r>
    </w:p>
    <w:p>
      <w:pPr>
        <w:pStyle w:val="Heading1"/>
      </w:pPr>
      <w:r>
        <w:t>4. The Remora Symbiotic Engine (Pilot Fish)</w:t>
      </w:r>
    </w:p>
    <w:p>
      <w:r>
        <w:t>The Remora companion model rides on the residual stream of the primary heavy Transformer (The Shark). By continuously sampling activation states and velocity vectors v(t) = h(t) - h(t-1), Remora computes second-order Taylor extrapolations:</w:t>
        <w:br/>
        <w:br/>
        <w:t xml:space="preserve">   h_est(t+1, τ) ≈ h(t, τ) + v(t, τ) + 0.5 * a(t, τ)</w:t>
        <w:br/>
        <w:br/>
        <w:t>This projects directly against MoE router matrices to trigger asynchronous kernel-level prefetch calls (Windows Overlapped I/O / Linux posix_fadvise) before routing layers execute, eliminating NVMe read stalls in Colibri.</w:t>
      </w:r>
    </w:p>
    <w:p>
      <w:pPr>
        <w:pStyle w:val="Heading1"/>
      </w:pPr>
      <w:r>
        <w:t>5. Sub-Symbolic Lifelong Learning</w:t>
      </w:r>
    </w:p>
    <w:p>
      <w:r>
        <w:t>Instead of maintaining text-based Markdown logs or external RAG vector databases, Remora updates a continuous low-rank dynamic tensor W_remora:</w:t>
        <w:br/>
        <w:br/>
        <w:t xml:space="preserve">   ΔW_remora = η * (v(t, τ) ⊗ h(t, τ) - λ W_remora)</w:t>
        <w:br/>
        <w:br/>
        <w:t>Over time, Remora's internal attractor basins mold to the user's domain vocabulary, reasoning style, and research workflows in pure latent space.</w:t>
      </w:r>
    </w:p>
    <w:p>
      <w:pPr>
        <w:pStyle w:val="Heading1"/>
      </w:pPr>
      <w:r>
        <w:t>6. Experimental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Experiment</w:t>
            </w:r>
          </w:p>
        </w:tc>
        <w:tc>
          <w:tcPr>
            <w:tcW w:type="dxa" w:w="2340"/>
          </w:tcPr>
          <w:p>
            <w:r>
              <w:t>Core Focus</w:t>
            </w:r>
          </w:p>
        </w:tc>
        <w:tc>
          <w:tcPr>
            <w:tcW w:type="dxa" w:w="2340"/>
          </w:tcPr>
          <w:p>
            <w:r>
              <w:t>Key Metric</w:t>
            </w:r>
          </w:p>
        </w:tc>
        <w:tc>
          <w:tcPr>
            <w:tcW w:type="dxa" w:w="2340"/>
          </w:tcPr>
          <w:p>
            <w:r>
              <w:t>Expected Outcome</w:t>
            </w:r>
          </w:p>
        </w:tc>
      </w:tr>
      <w:tr>
        <w:tc>
          <w:tcPr>
            <w:tcW w:type="dxa" w:w="2340"/>
          </w:tcPr>
          <w:p>
            <w:r>
              <w:t>Exp 1: Latent State Freezing</w:t>
            </w:r>
          </w:p>
        </w:tc>
        <w:tc>
          <w:tcPr>
            <w:tcW w:type="dxa" w:w="2340"/>
          </w:tcPr>
          <w:p>
            <w:r>
              <w:t>Zero-token prompt initialization</w:t>
            </w:r>
          </w:p>
        </w:tc>
        <w:tc>
          <w:tcPr>
            <w:tcW w:type="dxa" w:w="2340"/>
          </w:tcPr>
          <w:p>
            <w:r>
              <w:t>Output Cosine Sim, Tokens Saved</w:t>
            </w:r>
          </w:p>
        </w:tc>
        <w:tc>
          <w:tcPr>
            <w:tcW w:type="dxa" w:w="2340"/>
          </w:tcPr>
          <w:p>
            <w:r>
              <w:t>100% prompt token reduction, &lt;1% output divergence</w:t>
            </w:r>
          </w:p>
        </w:tc>
      </w:tr>
      <w:tr>
        <w:tc>
          <w:tcPr>
            <w:tcW w:type="dxa" w:w="2340"/>
          </w:tcPr>
          <w:p>
            <w:r>
              <w:t>Exp 2: Wave Routing Forecast</w:t>
            </w:r>
          </w:p>
        </w:tc>
        <w:tc>
          <w:tcPr>
            <w:tcW w:type="dxa" w:w="2340"/>
          </w:tcPr>
          <w:p>
            <w:r>
              <w:t>Expert prefetch accuracy</w:t>
            </w:r>
          </w:p>
        </w:tc>
        <w:tc>
          <w:tcPr>
            <w:tcW w:type="dxa" w:w="2340"/>
          </w:tcPr>
          <w:p>
            <w:r>
              <w:t>Top-1 &amp; Top-2 Routing Accuracy</w:t>
            </w:r>
          </w:p>
        </w:tc>
        <w:tc>
          <w:tcPr>
            <w:tcW w:type="dxa" w:w="2340"/>
          </w:tcPr>
          <w:p>
            <w:r>
              <w:t>&gt;75% Top-1 prefetch hit rate; 2x reduction in NVMe read stall</w:t>
            </w:r>
          </w:p>
        </w:tc>
      </w:tr>
      <w:tr>
        <w:tc>
          <w:tcPr>
            <w:tcW w:type="dxa" w:w="2340"/>
          </w:tcPr>
          <w:p>
            <w:r>
              <w:t>Exp 3: Sub-Symbolic Memory</w:t>
            </w:r>
          </w:p>
        </w:tc>
        <w:tc>
          <w:tcPr>
            <w:tcW w:type="dxa" w:w="2340"/>
          </w:tcPr>
          <w:p>
            <w:r>
              <w:t>Continuous activation adaptation</w:t>
            </w:r>
          </w:p>
        </w:tc>
        <w:tc>
          <w:tcPr>
            <w:tcW w:type="dxa" w:w="2340"/>
          </w:tcPr>
          <w:p>
            <w:r>
              <w:t>Trajectory alignment over time</w:t>
            </w:r>
          </w:p>
        </w:tc>
        <w:tc>
          <w:tcPr>
            <w:tcW w:type="dxa" w:w="2340"/>
          </w:tcPr>
          <w:p>
            <w:r>
              <w:t>Organic personalized convergence without text prompts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