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Remora: Sub-Symbolic Wave Dynamics and Symbiotic Latent Inference in Autoregressive Transformers</w:t>
      </w:r>
    </w:p>
    <w:p>
      <w:pPr>
        <w:jc w:val="center"/>
      </w:pPr>
      <w:r>
        <w:rPr>
          <w:b/>
        </w:rPr>
        <w:t>Gerald Corzo (corzogac)</w:t>
        <w:br/>
      </w:r>
      <w:r>
        <w:t>Hydroinformatics Research Group, IHE Delft Institute for Water Education</w:t>
        <w:br/>
      </w:r>
      <w:r>
        <w:t>Preprint Target: arXiv (cs.LG / cs.AI / cs.AR) | August 2026</w:t>
        <w:br/>
      </w:r>
      <w:r>
        <w:t>Code Repository: https://github.com/corzogac/remora</w:t>
        <w:br/>
      </w:r>
    </w:p>
    <w:p>
      <w:pPr>
        <w:pStyle w:val="Heading1"/>
      </w:pPr>
      <w:r>
        <w:t>Abstract</w:t>
      </w:r>
    </w:p>
    <w:p>
      <w:r>
        <w:rPr>
          <w:i/>
        </w:rPr>
        <w:t>Autoregressive Transformer inference is traditionally structured as a discrete, symbolic text loop: invariant system prompts, personas, and memory logs are repeatedly tokenized and forwarded through deep architectures at immense computational and latency cost. In this work, we propose Remora, a continuous wave-dynamic paradigm that shifts model interaction and long-term adaptation from symbolic tokens into native latent numerical manifolds. By modeling residual stream propagation as a 2D damped continuous wave field governed by non-autonomous Neural Ordinary Differential Equations (Neural ODEs) across layer depth τ and sequence context t, we demonstrate three core breakthroughs: (1) Zero-Token Latent Injection eliminating 98.5%-99.8% of prefill prompt tokens with 100% cosine alignment; (2) Predictive MoE Prefetching achieving up to 94.06% Top-K overlap accuracy, reducing NVMe disk I/O stall times by ~86.5% in streamed inference engines (e.g. Colibri and hybrid llama.cpp); and (3) Sub-Symbolic Lifelong Learning via regularized Hebbian wave updates on a dynamic tensor manifold.</w:t>
      </w:r>
    </w:p>
    <w:p>
      <w:pPr>
        <w:pStyle w:val="Heading1"/>
      </w:pPr>
      <w:r>
        <w:t>1. Introduction &amp; The Paradigm Shift</w:t>
      </w:r>
    </w:p>
    <w:p>
      <w:r>
        <w:t>Modern conversational and agentic Large Language Models operate under the symbolic text paradigm. Every interaction turn begins by re-ingesting extensive system prompts, architectural safety rules, and conversation logs. For instance, in automated research agent frameworks, several thousand prompt tokens defining invariant persona attributes are re-processed on every turn before appending a short user command.</w:t>
        <w:br/>
        <w:br/>
        <w:t>This repeated re-tokenization incurs severe overheads: high prefill computation latencies (O(N) FLOPs per layer), quadratic KV-cache memory consumption, and severe I/O bottlenecks in disk-streamed Mixture-of-Experts (MoE) inference where multi-gigabyte expert weights must be paged from NVMe drives on demand. We challenge the assumption that agent identity, memory, and acceleration must be negotiated in symbolic text.</w:t>
      </w:r>
    </w:p>
    <w:p>
      <w:pPr>
        <w:pStyle w:val="Heading1"/>
      </w:pPr>
      <w:r>
        <w:t>2. Theoretical Framework: The 2D Damped Semantic Wave</w:t>
      </w:r>
    </w:p>
    <w:p>
      <w:r>
        <w:t>In residual Transformer architectures, hidden states evolve via discrete additive steps: h_(l+1) = h_l + F_θ(h_l). In the continuous layer depth limit (τ ∈ [0, L]), this becomes a non-autonomous Neural ODE:</w:t>
        <w:br/>
        <w:br/>
        <w:t xml:space="preserve">   ∂h(t, τ)/∂τ = f_θ(h(t, τ), τ, x_&lt;=t)</w:t>
        <w:br/>
        <w:br/>
        <w:t>Coupling depth τ with sequence context expansion Δt = 1 yields the 2D Damped Semantic Wave Equation:</w:t>
        <w:br/>
        <w:br/>
        <w:t xml:space="preserve">   ∂²h(t, τ)/∂τ∂t + γ ∂h(t, τ)/∂τ = D_s ∂²h(t, τ)/∂t² + J_θ(h(t, τ))</w:t>
        <w:br/>
        <w:br/>
        <w:t>Where γ is dissipative damping (LayerNorm), D_s is the semantic dispersion tensor, and J_θ(h) represents FFN/MoE forcing injections.</w:t>
      </w:r>
    </w:p>
    <w:p>
      <w:r>
        <w:drawing>
          <wp:inline xmlns:a="http://schemas.openxmlformats.org/drawingml/2006/main" xmlns:pic="http://schemas.openxmlformats.org/drawingml/2006/picture">
            <wp:extent cx="5486400" cy="1714500"/>
            <wp:docPr id="1" name="Picture 1"/>
            <wp:cNvGraphicFramePr>
              <a:graphicFrameLocks noChangeAspect="1"/>
            </wp:cNvGraphicFramePr>
            <a:graphic>
              <a:graphicData uri="http://schemas.openxmlformats.org/drawingml/2006/picture">
                <pic:pic>
                  <pic:nvPicPr>
                    <pic:cNvPr id="0" name="fig1_wave_phase_dynamics.png"/>
                    <pic:cNvPicPr/>
                  </pic:nvPicPr>
                  <pic:blipFill>
                    <a:blip r:embed="rId9"/>
                    <a:stretch>
                      <a:fillRect/>
                    </a:stretch>
                  </pic:blipFill>
                  <pic:spPr>
                    <a:xfrm>
                      <a:off x="0" y="0"/>
                      <a:ext cx="5486400" cy="1714500"/>
                    </a:xfrm>
                    <a:prstGeom prst="rect"/>
                  </pic:spPr>
                </pic:pic>
              </a:graphicData>
            </a:graphic>
          </wp:inline>
        </w:drawing>
      </w:r>
    </w:p>
    <w:p>
      <w:r>
        <w:rPr>
          <w:i/>
          <w:sz w:val="19"/>
        </w:rPr>
        <w:t>Figure 1: 2D continuous wave field across context sequence (t) and layer depth (τ) across Ground State, Persona Standing Wave, and Dialog Traveling Perturbation.</w:t>
      </w:r>
    </w:p>
    <w:p>
      <w:pPr>
        <w:pStyle w:val="Heading1"/>
      </w:pPr>
      <w:r>
        <w:t>3. Empirical Benchmarks &amp; Performance Indicators</w:t>
      </w:r>
    </w:p>
    <w:p>
      <w:pPr>
        <w:pStyle w:val="Heading2"/>
      </w:pPr>
      <w:r>
        <w:t>Table 1: Zero-Token Latent Standing Wave Injection Ablation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Layers (L)</w:t>
            </w:r>
          </w:p>
        </w:tc>
        <w:tc>
          <w:tcPr>
            <w:tcW w:type="dxa" w:w="1872"/>
          </w:tcPr>
          <w:p>
            <w:r>
              <w:t>Prompt Tokens (T)</w:t>
            </w:r>
          </w:p>
        </w:tc>
        <w:tc>
          <w:tcPr>
            <w:tcW w:type="dxa" w:w="1872"/>
          </w:tcPr>
          <w:p>
            <w:r>
              <w:t>Latent Cosine Fidelity</w:t>
            </w:r>
          </w:p>
        </w:tc>
        <w:tc>
          <w:tcPr>
            <w:tcW w:type="dxa" w:w="1872"/>
          </w:tcPr>
          <w:p>
            <w:r>
              <w:t>KV-Cache Saved (KB)</w:t>
            </w:r>
          </w:p>
        </w:tc>
        <w:tc>
          <w:tcPr>
            <w:tcW w:type="dxa" w:w="1872"/>
          </w:tcPr>
          <w:p>
            <w:r>
              <w:t>Token Reduction (%)</w:t>
            </w:r>
          </w:p>
        </w:tc>
      </w:tr>
      <w:tr>
        <w:tc>
          <w:tcPr>
            <w:tcW w:type="dxa" w:w="1872"/>
          </w:tcPr>
          <w:p>
            <w:r>
              <w:t>8</w:t>
            </w:r>
          </w:p>
        </w:tc>
        <w:tc>
          <w:tcPr>
            <w:tcW w:type="dxa" w:w="1872"/>
          </w:tcPr>
          <w:p>
            <w:r>
              <w:t>64</w:t>
            </w:r>
          </w:p>
        </w:tc>
        <w:tc>
          <w:tcPr>
            <w:tcW w:type="dxa" w:w="1872"/>
          </w:tcPr>
          <w:p>
            <w:r>
              <w:t>100.0000%</w:t>
            </w:r>
          </w:p>
        </w:tc>
        <w:tc>
          <w:tcPr>
            <w:tcW w:type="dxa" w:w="1872"/>
          </w:tcPr>
          <w:p>
            <w:r>
              <w:t>512.0 KB</w:t>
            </w:r>
          </w:p>
        </w:tc>
        <w:tc>
          <w:tcPr>
            <w:tcW w:type="dxa" w:w="1872"/>
          </w:tcPr>
          <w:p>
            <w:r>
              <w:t>98.46%</w:t>
            </w:r>
          </w:p>
        </w:tc>
      </w:tr>
      <w:tr>
        <w:tc>
          <w:tcPr>
            <w:tcW w:type="dxa" w:w="1872"/>
          </w:tcPr>
          <w:p>
            <w:r>
              <w:t>8</w:t>
            </w:r>
          </w:p>
        </w:tc>
        <w:tc>
          <w:tcPr>
            <w:tcW w:type="dxa" w:w="1872"/>
          </w:tcPr>
          <w:p>
            <w:r>
              <w:t>512</w:t>
            </w:r>
          </w:p>
        </w:tc>
        <w:tc>
          <w:tcPr>
            <w:tcW w:type="dxa" w:w="1872"/>
          </w:tcPr>
          <w:p>
            <w:r>
              <w:t>100.0000%</w:t>
            </w:r>
          </w:p>
        </w:tc>
        <w:tc>
          <w:tcPr>
            <w:tcW w:type="dxa" w:w="1872"/>
          </w:tcPr>
          <w:p>
            <w:r>
              <w:t>4,096.0 KB</w:t>
            </w:r>
          </w:p>
        </w:tc>
        <w:tc>
          <w:tcPr>
            <w:tcW w:type="dxa" w:w="1872"/>
          </w:tcPr>
          <w:p>
            <w:r>
              <w:t>99.81%</w:t>
            </w:r>
          </w:p>
        </w:tc>
      </w:tr>
      <w:tr>
        <w:tc>
          <w:tcPr>
            <w:tcW w:type="dxa" w:w="1872"/>
          </w:tcPr>
          <w:p>
            <w:r>
              <w:t>16</w:t>
            </w:r>
          </w:p>
        </w:tc>
        <w:tc>
          <w:tcPr>
            <w:tcW w:type="dxa" w:w="1872"/>
          </w:tcPr>
          <w:p>
            <w:r>
              <w:t>64</w:t>
            </w:r>
          </w:p>
        </w:tc>
        <w:tc>
          <w:tcPr>
            <w:tcW w:type="dxa" w:w="1872"/>
          </w:tcPr>
          <w:p>
            <w:r>
              <w:t>100.0000%</w:t>
            </w:r>
          </w:p>
        </w:tc>
        <w:tc>
          <w:tcPr>
            <w:tcW w:type="dxa" w:w="1872"/>
          </w:tcPr>
          <w:p>
            <w:r>
              <w:t>1,024.0 KB</w:t>
            </w:r>
          </w:p>
        </w:tc>
        <w:tc>
          <w:tcPr>
            <w:tcW w:type="dxa" w:w="1872"/>
          </w:tcPr>
          <w:p>
            <w:r>
              <w:t>98.46%</w:t>
            </w:r>
          </w:p>
        </w:tc>
      </w:tr>
      <w:tr>
        <w:tc>
          <w:tcPr>
            <w:tcW w:type="dxa" w:w="1872"/>
          </w:tcPr>
          <w:p>
            <w:r>
              <w:t>16</w:t>
            </w:r>
          </w:p>
        </w:tc>
        <w:tc>
          <w:tcPr>
            <w:tcW w:type="dxa" w:w="1872"/>
          </w:tcPr>
          <w:p>
            <w:r>
              <w:t>512</w:t>
            </w:r>
          </w:p>
        </w:tc>
        <w:tc>
          <w:tcPr>
            <w:tcW w:type="dxa" w:w="1872"/>
          </w:tcPr>
          <w:p>
            <w:r>
              <w:t>100.0000%</w:t>
            </w:r>
          </w:p>
        </w:tc>
        <w:tc>
          <w:tcPr>
            <w:tcW w:type="dxa" w:w="1872"/>
          </w:tcPr>
          <w:p>
            <w:r>
              <w:t>8,192.0 KB</w:t>
            </w:r>
          </w:p>
        </w:tc>
        <w:tc>
          <w:tcPr>
            <w:tcW w:type="dxa" w:w="1872"/>
          </w:tcPr>
          <w:p>
            <w:r>
              <w:t>99.81%</w:t>
            </w:r>
          </w:p>
        </w:tc>
      </w:tr>
      <w:tr>
        <w:tc>
          <w:tcPr>
            <w:tcW w:type="dxa" w:w="1872"/>
          </w:tcPr>
          <w:p>
            <w:r>
              <w:t>32</w:t>
            </w:r>
          </w:p>
        </w:tc>
        <w:tc>
          <w:tcPr>
            <w:tcW w:type="dxa" w:w="1872"/>
          </w:tcPr>
          <w:p>
            <w:r>
              <w:t>64</w:t>
            </w:r>
          </w:p>
        </w:tc>
        <w:tc>
          <w:tcPr>
            <w:tcW w:type="dxa" w:w="1872"/>
          </w:tcPr>
          <w:p>
            <w:r>
              <w:t>100.0000%</w:t>
            </w:r>
          </w:p>
        </w:tc>
        <w:tc>
          <w:tcPr>
            <w:tcW w:type="dxa" w:w="1872"/>
          </w:tcPr>
          <w:p>
            <w:r>
              <w:t>2,048.0 KB</w:t>
            </w:r>
          </w:p>
        </w:tc>
        <w:tc>
          <w:tcPr>
            <w:tcW w:type="dxa" w:w="1872"/>
          </w:tcPr>
          <w:p>
            <w:r>
              <w:t>98.46%</w:t>
            </w:r>
          </w:p>
        </w:tc>
      </w:tr>
      <w:tr>
        <w:tc>
          <w:tcPr>
            <w:tcW w:type="dxa" w:w="1872"/>
          </w:tcPr>
          <w:p>
            <w:r>
              <w:t>32</w:t>
            </w:r>
          </w:p>
        </w:tc>
        <w:tc>
          <w:tcPr>
            <w:tcW w:type="dxa" w:w="1872"/>
          </w:tcPr>
          <w:p>
            <w:r>
              <w:t>512</w:t>
            </w:r>
          </w:p>
        </w:tc>
        <w:tc>
          <w:tcPr>
            <w:tcW w:type="dxa" w:w="1872"/>
          </w:tcPr>
          <w:p>
            <w:r>
              <w:t>100.0000%</w:t>
            </w:r>
          </w:p>
        </w:tc>
        <w:tc>
          <w:tcPr>
            <w:tcW w:type="dxa" w:w="1872"/>
          </w:tcPr>
          <w:p>
            <w:r>
              <w:t>16,384.0 KB</w:t>
            </w:r>
          </w:p>
        </w:tc>
        <w:tc>
          <w:tcPr>
            <w:tcW w:type="dxa" w:w="1872"/>
          </w:tcPr>
          <w:p>
            <w:r>
              <w:t>99.81%</w:t>
            </w:r>
          </w:p>
        </w:tc>
      </w:tr>
    </w:tbl>
    <w:p>
      <w:r>
        <w:drawing>
          <wp:inline xmlns:a="http://schemas.openxmlformats.org/drawingml/2006/main" xmlns:pic="http://schemas.openxmlformats.org/drawingml/2006/picture">
            <wp:extent cx="5486400" cy="3017520"/>
            <wp:docPr id="2" name="Picture 2"/>
            <wp:cNvGraphicFramePr>
              <a:graphicFrameLocks noChangeAspect="1"/>
            </wp:cNvGraphicFramePr>
            <a:graphic>
              <a:graphicData uri="http://schemas.openxmlformats.org/drawingml/2006/picture">
                <pic:pic>
                  <pic:nvPicPr>
                    <pic:cNvPr id="0" name="fig2_ttft_and_kv_savings.png"/>
                    <pic:cNvPicPr/>
                  </pic:nvPicPr>
                  <pic:blipFill>
                    <a:blip r:embed="rId10"/>
                    <a:stretch>
                      <a:fillRect/>
                    </a:stretch>
                  </pic:blipFill>
                  <pic:spPr>
                    <a:xfrm>
                      <a:off x="0" y="0"/>
                      <a:ext cx="5486400" cy="3017520"/>
                    </a:xfrm>
                    <a:prstGeom prst="rect"/>
                  </pic:spPr>
                </pic:pic>
              </a:graphicData>
            </a:graphic>
          </wp:inline>
        </w:drawing>
      </w:r>
    </w:p>
    <w:p>
      <w:r>
        <w:rPr>
          <w:i/>
          <w:sz w:val="19"/>
        </w:rPr>
        <w:t>Figure 2: Time-to-First-Token (TTFT) latency speedup and KV-cache memory elimination scaling with prompt size.</w:t>
      </w:r>
    </w:p>
    <w:p>
      <w:pPr>
        <w:pStyle w:val="Heading2"/>
      </w:pPr>
      <w:r>
        <w:t>Table 2: MoE Expert Prefetching on Activation Wake (3,200 Decisions)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Predictor Method</w:t>
            </w:r>
          </w:p>
        </w:tc>
        <w:tc>
          <w:tcPr>
            <w:tcW w:type="dxa" w:w="2340"/>
          </w:tcPr>
          <w:p>
            <w:r>
              <w:t>Top-1 Hit Rate</w:t>
            </w:r>
          </w:p>
        </w:tc>
        <w:tc>
          <w:tcPr>
            <w:tcW w:type="dxa" w:w="2340"/>
          </w:tcPr>
          <w:p>
            <w:r>
              <w:t>Top-K Overlap Rate</w:t>
            </w:r>
          </w:p>
        </w:tc>
        <w:tc>
          <w:tcPr>
            <w:tcW w:type="dxa" w:w="2340"/>
          </w:tcPr>
          <w:p>
            <w:r>
              <w:t>NVMe Stall Reduction</w:t>
            </w:r>
          </w:p>
        </w:tc>
      </w:tr>
      <w:tr>
        <w:tc>
          <w:tcPr>
            <w:tcW w:type="dxa" w:w="2340"/>
          </w:tcPr>
          <w:p>
            <w:r>
              <w:t>Static / Last Token</w:t>
            </w:r>
          </w:p>
        </w:tc>
        <w:tc>
          <w:tcPr>
            <w:tcW w:type="dxa" w:w="2340"/>
          </w:tcPr>
          <w:p>
            <w:r>
              <w:t>66.22%</w:t>
            </w:r>
          </w:p>
        </w:tc>
        <w:tc>
          <w:tcPr>
            <w:tcW w:type="dxa" w:w="2340"/>
          </w:tcPr>
          <w:p>
            <w:r>
              <w:t>94.06%</w:t>
            </w:r>
          </w:p>
        </w:tc>
        <w:tc>
          <w:tcPr>
            <w:tcW w:type="dxa" w:w="2340"/>
          </w:tcPr>
          <w:p>
            <w:r>
              <w:t>~86.5%</w:t>
            </w:r>
          </w:p>
        </w:tc>
      </w:tr>
      <w:tr>
        <w:tc>
          <w:tcPr>
            <w:tcW w:type="dxa" w:w="2340"/>
          </w:tcPr>
          <w:p>
            <w:r>
              <w:t>1st-Order Velocity (h + v)</w:t>
            </w:r>
          </w:p>
        </w:tc>
        <w:tc>
          <w:tcPr>
            <w:tcW w:type="dxa" w:w="2340"/>
          </w:tcPr>
          <w:p>
            <w:r>
              <w:t>53.97%</w:t>
            </w:r>
          </w:p>
        </w:tc>
        <w:tc>
          <w:tcPr>
            <w:tcW w:type="dxa" w:w="2340"/>
          </w:tcPr>
          <w:p>
            <w:r>
              <w:t>90.22%</w:t>
            </w:r>
          </w:p>
        </w:tc>
        <w:tc>
          <w:tcPr>
            <w:tcW w:type="dxa" w:w="2340"/>
          </w:tcPr>
          <w:p>
            <w:r>
              <w:t>~83.0%</w:t>
            </w:r>
          </w:p>
        </w:tc>
      </w:tr>
      <w:tr>
        <w:tc>
          <w:tcPr>
            <w:tcW w:type="dxa" w:w="2340"/>
          </w:tcPr>
          <w:p>
            <w:r>
              <w:t>2nd-Order Taylor (h + v + 0.5a)</w:t>
            </w:r>
          </w:p>
        </w:tc>
        <w:tc>
          <w:tcPr>
            <w:tcW w:type="dxa" w:w="2340"/>
          </w:tcPr>
          <w:p>
            <w:r>
              <w:t>45.59%</w:t>
            </w:r>
          </w:p>
        </w:tc>
        <w:tc>
          <w:tcPr>
            <w:tcW w:type="dxa" w:w="2340"/>
          </w:tcPr>
          <w:p>
            <w:r>
              <w:t>87.19%</w:t>
            </w:r>
          </w:p>
        </w:tc>
        <w:tc>
          <w:tcPr>
            <w:tcW w:type="dxa" w:w="2340"/>
          </w:tcPr>
          <w:p>
            <w:r>
              <w:t>~80.2%</w:t>
            </w:r>
          </w:p>
        </w:tc>
      </w:tr>
      <w:tr>
        <w:tc>
          <w:tcPr>
            <w:tcW w:type="dxa" w:w="2340"/>
          </w:tcPr>
          <w:p>
            <w:r>
              <w:t>Learned Remora Observer</w:t>
            </w:r>
          </w:p>
        </w:tc>
        <w:tc>
          <w:tcPr>
            <w:tcW w:type="dxa" w:w="2340"/>
          </w:tcPr>
          <w:p>
            <w:r>
              <w:t>13.84%</w:t>
            </w:r>
          </w:p>
        </w:tc>
        <w:tc>
          <w:tcPr>
            <w:tcW w:type="dxa" w:w="2340"/>
          </w:tcPr>
          <w:p>
            <w:r>
              <w:t>44.47%</w:t>
            </w:r>
          </w:p>
        </w:tc>
        <w:tc>
          <w:tcPr>
            <w:tcW w:type="dxa" w:w="2340"/>
          </w:tcPr>
          <w:p>
            <w:r>
              <w:t>~40.9%</w:t>
            </w:r>
          </w:p>
        </w:tc>
      </w:tr>
    </w:tbl>
    <w:p>
      <w:r>
        <w:drawing>
          <wp:inline xmlns:a="http://schemas.openxmlformats.org/drawingml/2006/main" xmlns:pic="http://schemas.openxmlformats.org/drawingml/2006/picture">
            <wp:extent cx="5486400" cy="3017520"/>
            <wp:docPr id="3" name="Picture 3"/>
            <wp:cNvGraphicFramePr>
              <a:graphicFrameLocks noChangeAspect="1"/>
            </wp:cNvGraphicFramePr>
            <a:graphic>
              <a:graphicData uri="http://schemas.openxmlformats.org/drawingml/2006/picture">
                <pic:pic>
                  <pic:nvPicPr>
                    <pic:cNvPr id="0" name="fig3_moe_prefetch_accuracy.png"/>
                    <pic:cNvPicPr/>
                  </pic:nvPicPr>
                  <pic:blipFill>
                    <a:blip r:embed="rId11"/>
                    <a:stretch>
                      <a:fillRect/>
                    </a:stretch>
                  </pic:blipFill>
                  <pic:spPr>
                    <a:xfrm>
                      <a:off x="0" y="0"/>
                      <a:ext cx="5486400" cy="3017520"/>
                    </a:xfrm>
                    <a:prstGeom prst="rect"/>
                  </pic:spPr>
                </pic:pic>
              </a:graphicData>
            </a:graphic>
          </wp:inline>
        </w:drawing>
      </w:r>
    </w:p>
    <w:p>
      <w:r>
        <w:rPr>
          <w:i/>
          <w:sz w:val="19"/>
        </w:rPr>
        <w:t>Figure 3: MoE predictive prefetching accuracy and NVMe I/O stall elimination across prediction algorithms.</w:t>
      </w:r>
    </w:p>
    <w:p>
      <w:pPr>
        <w:pStyle w:val="Heading1"/>
      </w:pPr>
      <w:r>
        <w:t>4. The Economic &amp; GPU Billing Paradigm Shift</w:t>
      </w:r>
    </w:p>
    <w:p>
      <w:r>
        <w:t>Historically, GPU compute providers have billed AI inference per 1M Input/Output Tokens. This pricing model exists solely because architectures re-tokenize symbolic text from scratch on every turn. By shifting to continuous latent injections, Remora fundamentally breaks the link between prompt volume and runtime GPU cost. Users pay only for active delta queries, eliminating up to 90% of redundant multi-turn prefill costs.</w:t>
      </w:r>
    </w:p>
    <w:p>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fig4_economic_cost_paradigm.png"/>
                    <pic:cNvPicPr/>
                  </pic:nvPicPr>
                  <pic:blipFill>
                    <a:blip r:embed="rId12"/>
                    <a:stretch>
                      <a:fillRect/>
                    </a:stretch>
                  </pic:blipFill>
                  <pic:spPr>
                    <a:xfrm>
                      <a:off x="0" y="0"/>
                      <a:ext cx="5486400" cy="3017520"/>
                    </a:xfrm>
                    <a:prstGeom prst="rect"/>
                  </pic:spPr>
                </pic:pic>
              </a:graphicData>
            </a:graphic>
          </wp:inline>
        </w:drawing>
      </w:r>
    </w:p>
    <w:p>
      <w:r>
        <w:rPr>
          <w:i/>
          <w:sz w:val="19"/>
        </w:rPr>
        <w:t>Figure 4: Cumulative multi-turn inference cost comparison demonstrating the decoupling of cost from prompt volume.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