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Overall Findings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analysis for this question shows distinct patterns in legislators’ community and policy focus. We summarize the results in the table below: </w:t>
      </w:r>
    </w:p>
    <w:p w:rsidR="00000000" w:rsidDel="00000000" w:rsidP="00000000" w:rsidRDefault="00000000" w:rsidRPr="00000000" w14:paraId="00000004">
      <w:pPr>
        <w:rPr/>
      </w:pPr>
      <w:r w:rsidDel="00000000" w:rsidR="00000000" w:rsidRPr="00000000">
        <w:rPr>
          <w:rtl w:val="0"/>
        </w:rPr>
      </w:r>
    </w:p>
    <w:tbl>
      <w:tblPr>
        <w:tblStyle w:val="Table1"/>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240"/>
        <w:gridCol w:w="4980"/>
        <w:gridCol w:w="585"/>
        <w:tblGridChange w:id="0">
          <w:tblGrid>
            <w:gridCol w:w="795"/>
            <w:gridCol w:w="3240"/>
            <w:gridCol w:w="4980"/>
            <w:gridCol w:w="585"/>
          </w:tblGrid>
        </w:tblGridChange>
      </w:tblGrid>
      <w:tr>
        <w:trPr>
          <w:cantSplit w:val="0"/>
          <w:trHeight w:val="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sz w:val="16"/>
                <w:szCs w:val="16"/>
              </w:rPr>
            </w:pPr>
            <w:r w:rsidDel="00000000" w:rsidR="00000000" w:rsidRPr="00000000">
              <w:rPr>
                <w:b w:val="1"/>
                <w:sz w:val="16"/>
                <w:szCs w:val="16"/>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sz w:val="16"/>
                <w:szCs w:val="16"/>
              </w:rPr>
            </w:pPr>
            <w:r w:rsidDel="00000000" w:rsidR="00000000" w:rsidRPr="00000000">
              <w:rPr>
                <w:b w:val="1"/>
                <w:sz w:val="16"/>
                <w:szCs w:val="16"/>
                <w:rtl w:val="0"/>
              </w:rPr>
              <w:t xml:space="preserve">Unique Defining Characteristic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sz w:val="16"/>
                <w:szCs w:val="16"/>
              </w:rPr>
            </w:pPr>
            <w:r w:rsidDel="00000000" w:rsidR="00000000" w:rsidRPr="00000000">
              <w:rPr>
                <w:b w:val="1"/>
                <w:sz w:val="16"/>
                <w:szCs w:val="16"/>
                <w:rtl w:val="0"/>
              </w:rPr>
              <w:t xml:space="preserve">Members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b w:val="1"/>
                <w:sz w:val="16"/>
                <w:szCs w:val="16"/>
              </w:rPr>
            </w:pPr>
            <w:r w:rsidDel="00000000" w:rsidR="00000000" w:rsidRPr="00000000">
              <w:rPr>
                <w:b w:val="1"/>
                <w:sz w:val="16"/>
                <w:szCs w:val="16"/>
                <w:rtl w:val="0"/>
              </w:rPr>
              <w:t xml:space="preserve">Size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rPr>
                <w:sz w:val="16"/>
                <w:szCs w:val="16"/>
              </w:rPr>
            </w:pPr>
            <w:r w:rsidDel="00000000" w:rsidR="00000000" w:rsidRPr="00000000">
              <w:rPr>
                <w:b w:val="1"/>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rPr>
                <w:sz w:val="16"/>
                <w:szCs w:val="16"/>
              </w:rPr>
            </w:pPr>
            <w:r w:rsidDel="00000000" w:rsidR="00000000" w:rsidRPr="00000000">
              <w:rPr>
                <w:b w:val="1"/>
                <w:sz w:val="16"/>
                <w:szCs w:val="16"/>
                <w:rtl w:val="0"/>
              </w:rPr>
              <w:t xml:space="preserve">Housing &amp; Protection Focus</w:t>
            </w:r>
            <w:r w:rsidDel="00000000" w:rsidR="00000000" w:rsidRPr="00000000">
              <w:rPr>
                <w:sz w:val="16"/>
                <w:szCs w:val="16"/>
                <w:rtl w:val="0"/>
              </w:rPr>
              <w:t xml:space="preserve"> – Emphasizes </w:t>
            </w:r>
            <w:r w:rsidDel="00000000" w:rsidR="00000000" w:rsidRPr="00000000">
              <w:rPr>
                <w:i w:val="1"/>
                <w:sz w:val="16"/>
                <w:szCs w:val="16"/>
                <w:rtl w:val="0"/>
              </w:rPr>
              <w:t xml:space="preserve">housing</w:t>
            </w:r>
            <w:r w:rsidDel="00000000" w:rsidR="00000000" w:rsidRPr="00000000">
              <w:rPr>
                <w:sz w:val="16"/>
                <w:szCs w:val="16"/>
                <w:rtl w:val="0"/>
              </w:rPr>
              <w:t xml:space="preserve"> and </w:t>
            </w:r>
            <w:r w:rsidDel="00000000" w:rsidR="00000000" w:rsidRPr="00000000">
              <w:rPr>
                <w:i w:val="1"/>
                <w:sz w:val="16"/>
                <w:szCs w:val="16"/>
                <w:rtl w:val="0"/>
              </w:rPr>
              <w:t xml:space="preserve">protection</w:t>
            </w:r>
            <w:r w:rsidDel="00000000" w:rsidR="00000000" w:rsidRPr="00000000">
              <w:rPr>
                <w:sz w:val="16"/>
                <w:szCs w:val="16"/>
                <w:rtl w:val="0"/>
              </w:rPr>
              <w:t xml:space="preserve"> alongside public health.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rPr>
                <w:sz w:val="16"/>
                <w:szCs w:val="16"/>
              </w:rPr>
            </w:pPr>
            <w:r w:rsidDel="00000000" w:rsidR="00000000" w:rsidRPr="00000000">
              <w:rPr>
                <w:sz w:val="16"/>
                <w:szCs w:val="16"/>
                <w:rtl w:val="0"/>
              </w:rPr>
              <w:t xml:space="preserve">Jason M. Lewis, Marjorie C. Decker, Ruth B. Balser, Jennifer E. Benson, Kenneth I. Gordon, Carolyn C. Dykema, Louis L. Kafka, Lori A. Ehrlich, Frank I. Smizik, Peter V. Kocot, Sarah K. Peake, John W. Scibak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rPr>
                <w:sz w:val="16"/>
                <w:szCs w:val="16"/>
              </w:rPr>
            </w:pPr>
            <w:r w:rsidDel="00000000" w:rsidR="00000000" w:rsidRPr="00000000">
              <w:rPr>
                <w:sz w:val="16"/>
                <w:szCs w:val="16"/>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rPr>
                <w:sz w:val="16"/>
                <w:szCs w:val="16"/>
              </w:rPr>
            </w:pPr>
            <w:r w:rsidDel="00000000" w:rsidR="00000000" w:rsidRPr="00000000">
              <w:rPr>
                <w:b w:val="1"/>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rPr>
                <w:sz w:val="16"/>
                <w:szCs w:val="16"/>
              </w:rPr>
            </w:pPr>
            <w:r w:rsidDel="00000000" w:rsidR="00000000" w:rsidRPr="00000000">
              <w:rPr>
                <w:b w:val="1"/>
                <w:sz w:val="16"/>
                <w:szCs w:val="16"/>
                <w:rtl w:val="0"/>
              </w:rPr>
              <w:t xml:space="preserve">Service-Oriented Programs</w:t>
            </w:r>
            <w:r w:rsidDel="00000000" w:rsidR="00000000" w:rsidRPr="00000000">
              <w:rPr>
                <w:sz w:val="16"/>
                <w:szCs w:val="16"/>
                <w:rtl w:val="0"/>
              </w:rPr>
              <w:t xml:space="preserve"> – Stands out with </w:t>
            </w:r>
            <w:r w:rsidDel="00000000" w:rsidR="00000000" w:rsidRPr="00000000">
              <w:rPr>
                <w:i w:val="1"/>
                <w:sz w:val="16"/>
                <w:szCs w:val="16"/>
                <w:rtl w:val="0"/>
              </w:rPr>
              <w:t xml:space="preserve">services</w:t>
            </w:r>
            <w:r w:rsidDel="00000000" w:rsidR="00000000" w:rsidRPr="00000000">
              <w:rPr>
                <w:sz w:val="16"/>
                <w:szCs w:val="16"/>
                <w:rtl w:val="0"/>
              </w:rPr>
              <w:t xml:space="preserve"> and </w:t>
            </w:r>
            <w:r w:rsidDel="00000000" w:rsidR="00000000" w:rsidRPr="00000000">
              <w:rPr>
                <w:i w:val="1"/>
                <w:sz w:val="16"/>
                <w:szCs w:val="16"/>
                <w:rtl w:val="0"/>
              </w:rPr>
              <w:t xml:space="preserve">program</w:t>
            </w:r>
            <w:r w:rsidDel="00000000" w:rsidR="00000000" w:rsidRPr="00000000">
              <w:rPr>
                <w:sz w:val="16"/>
                <w:szCs w:val="16"/>
                <w:rtl w:val="0"/>
              </w:rPr>
              <w:t xml:space="preserve"> focus.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rPr>
                <w:sz w:val="16"/>
                <w:szCs w:val="16"/>
              </w:rPr>
            </w:pPr>
            <w:r w:rsidDel="00000000" w:rsidR="00000000" w:rsidRPr="00000000">
              <w:rPr>
                <w:sz w:val="16"/>
                <w:szCs w:val="16"/>
                <w:rtl w:val="0"/>
              </w:rPr>
              <w:t xml:space="preserve">Jay D. Livingstone, Kevin G. Honan, Edward F. Coppinger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rPr>
                <w:sz w:val="16"/>
                <w:szCs w:val="16"/>
              </w:rPr>
            </w:pPr>
            <w:r w:rsidDel="00000000" w:rsidR="00000000" w:rsidRPr="00000000">
              <w:rPr>
                <w:sz w:val="16"/>
                <w:szCs w:val="16"/>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sz w:val="16"/>
                <w:szCs w:val="16"/>
              </w:rPr>
            </w:pPr>
            <w:r w:rsidDel="00000000" w:rsidR="00000000" w:rsidRPr="00000000">
              <w:rPr>
                <w:b w:val="1"/>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rPr>
                <w:sz w:val="16"/>
                <w:szCs w:val="16"/>
              </w:rPr>
            </w:pPr>
            <w:r w:rsidDel="00000000" w:rsidR="00000000" w:rsidRPr="00000000">
              <w:rPr>
                <w:b w:val="1"/>
                <w:sz w:val="16"/>
                <w:szCs w:val="16"/>
                <w:rtl w:val="0"/>
              </w:rPr>
              <w:t xml:space="preserve">Strong Public Safety &amp; Promotion</w:t>
            </w:r>
            <w:r w:rsidDel="00000000" w:rsidR="00000000" w:rsidRPr="00000000">
              <w:rPr>
                <w:sz w:val="16"/>
                <w:szCs w:val="16"/>
                <w:rtl w:val="0"/>
              </w:rPr>
              <w:t xml:space="preserve"> – Unique emphasis on </w:t>
            </w:r>
            <w:r w:rsidDel="00000000" w:rsidR="00000000" w:rsidRPr="00000000">
              <w:rPr>
                <w:i w:val="1"/>
                <w:sz w:val="16"/>
                <w:szCs w:val="16"/>
                <w:rtl w:val="0"/>
              </w:rPr>
              <w:t xml:space="preserve">protect</w:t>
            </w:r>
            <w:r w:rsidDel="00000000" w:rsidR="00000000" w:rsidRPr="00000000">
              <w:rPr>
                <w:sz w:val="16"/>
                <w:szCs w:val="16"/>
                <w:rtl w:val="0"/>
              </w:rPr>
              <w:t xml:space="preserve"> and </w:t>
            </w:r>
            <w:r w:rsidDel="00000000" w:rsidR="00000000" w:rsidRPr="00000000">
              <w:rPr>
                <w:i w:val="1"/>
                <w:sz w:val="16"/>
                <w:szCs w:val="16"/>
                <w:rtl w:val="0"/>
              </w:rPr>
              <w:t xml:space="preserve">promote</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rPr>
                <w:sz w:val="16"/>
                <w:szCs w:val="16"/>
              </w:rPr>
            </w:pPr>
            <w:r w:rsidDel="00000000" w:rsidR="00000000" w:rsidRPr="00000000">
              <w:rPr>
                <w:sz w:val="16"/>
                <w:szCs w:val="16"/>
                <w:rtl w:val="0"/>
              </w:rPr>
              <w:t xml:space="preserve">Tricia Farley-Bouvier, Christine P. Barber, David Paul Linsky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rPr>
                <w:sz w:val="16"/>
                <w:szCs w:val="16"/>
              </w:rPr>
            </w:pPr>
            <w:r w:rsidDel="00000000" w:rsidR="00000000" w:rsidRPr="00000000">
              <w:rPr>
                <w:sz w:val="16"/>
                <w:szCs w:val="16"/>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rPr>
                <w:sz w:val="16"/>
                <w:szCs w:val="16"/>
              </w:rPr>
            </w:pPr>
            <w:r w:rsidDel="00000000" w:rsidR="00000000" w:rsidRPr="00000000">
              <w:rPr>
                <w:b w:val="1"/>
                <w:sz w:val="16"/>
                <w:szCs w:val="1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rPr>
                <w:sz w:val="16"/>
                <w:szCs w:val="16"/>
              </w:rPr>
            </w:pPr>
            <w:r w:rsidDel="00000000" w:rsidR="00000000" w:rsidRPr="00000000">
              <w:rPr>
                <w:b w:val="1"/>
                <w:sz w:val="16"/>
                <w:szCs w:val="16"/>
                <w:rtl w:val="0"/>
              </w:rPr>
              <w:t xml:space="preserve">COVID-19 Concern</w:t>
            </w:r>
            <w:r w:rsidDel="00000000" w:rsidR="00000000" w:rsidRPr="00000000">
              <w:rPr>
                <w:sz w:val="16"/>
                <w:szCs w:val="16"/>
                <w:rtl w:val="0"/>
              </w:rPr>
              <w:t xml:space="preserve"> – The only group explicitly mentioning </w:t>
            </w:r>
            <w:r w:rsidDel="00000000" w:rsidR="00000000" w:rsidRPr="00000000">
              <w:rPr>
                <w:i w:val="1"/>
                <w:sz w:val="16"/>
                <w:szCs w:val="16"/>
                <w:rtl w:val="0"/>
              </w:rPr>
              <w:t xml:space="preserve">COVID</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rPr>
                <w:sz w:val="16"/>
                <w:szCs w:val="16"/>
              </w:rPr>
            </w:pPr>
            <w:r w:rsidDel="00000000" w:rsidR="00000000" w:rsidRPr="00000000">
              <w:rPr>
                <w:sz w:val="16"/>
                <w:szCs w:val="16"/>
                <w:rtl w:val="0"/>
              </w:rPr>
              <w:t xml:space="preserve">Kay Khan, Denise Provost, Mary S. Keefe, Patricia D. Jehlen, Jonathan Hecht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rPr>
                <w:sz w:val="16"/>
                <w:szCs w:val="16"/>
              </w:rPr>
            </w:pPr>
            <w:r w:rsidDel="00000000" w:rsidR="00000000" w:rsidRPr="00000000">
              <w:rPr>
                <w:sz w:val="16"/>
                <w:szCs w:val="16"/>
                <w:rtl w:val="0"/>
              </w:rPr>
              <w:t xml:space="preserve">5</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rPr>
                <w:sz w:val="16"/>
                <w:szCs w:val="16"/>
              </w:rPr>
            </w:pPr>
            <w:r w:rsidDel="00000000" w:rsidR="00000000" w:rsidRPr="00000000">
              <w:rPr>
                <w:b w:val="1"/>
                <w:sz w:val="16"/>
                <w:szCs w:val="1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rPr>
                <w:sz w:val="16"/>
                <w:szCs w:val="16"/>
              </w:rPr>
            </w:pPr>
            <w:r w:rsidDel="00000000" w:rsidR="00000000" w:rsidRPr="00000000">
              <w:rPr>
                <w:b w:val="1"/>
                <w:sz w:val="16"/>
                <w:szCs w:val="16"/>
                <w:rtl w:val="0"/>
              </w:rPr>
              <w:t xml:space="preserve">Town &amp; Housing Focus</w:t>
            </w:r>
            <w:r w:rsidDel="00000000" w:rsidR="00000000" w:rsidRPr="00000000">
              <w:rPr>
                <w:sz w:val="16"/>
                <w:szCs w:val="16"/>
                <w:rtl w:val="0"/>
              </w:rPr>
              <w:t xml:space="preserve"> – The only group highlighting </w:t>
            </w:r>
            <w:r w:rsidDel="00000000" w:rsidR="00000000" w:rsidRPr="00000000">
              <w:rPr>
                <w:i w:val="1"/>
                <w:sz w:val="16"/>
                <w:szCs w:val="16"/>
                <w:rtl w:val="0"/>
              </w:rPr>
              <w:t xml:space="preserve">town</w:t>
            </w:r>
            <w:r w:rsidDel="00000000" w:rsidR="00000000" w:rsidRPr="00000000">
              <w:rPr>
                <w:sz w:val="16"/>
                <w:szCs w:val="16"/>
                <w:rtl w:val="0"/>
              </w:rPr>
              <w:t xml:space="preserve"> alongside </w:t>
            </w:r>
            <w:r w:rsidDel="00000000" w:rsidR="00000000" w:rsidRPr="00000000">
              <w:rPr>
                <w:i w:val="1"/>
                <w:sz w:val="16"/>
                <w:szCs w:val="16"/>
                <w:rtl w:val="0"/>
              </w:rPr>
              <w:t xml:space="preserve">housing</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sz w:val="16"/>
                <w:szCs w:val="16"/>
              </w:rPr>
            </w:pPr>
            <w:r w:rsidDel="00000000" w:rsidR="00000000" w:rsidRPr="00000000">
              <w:rPr>
                <w:sz w:val="16"/>
                <w:szCs w:val="16"/>
                <w:rtl w:val="0"/>
              </w:rPr>
              <w:t xml:space="preserve">Lindsay N. Sabadosa, Natalie M. Higgins, Jack Patrick Lewis, Mike Connolly, Rebecca L. Rausch, Tommy Vitolo, Carmine Lawrence Gentile, James K. Hawkins, David Henry Argosky LeBoeuf, Carlos González, Joanne M. Comerford, Tram T. Nguyen, Brian W. Murray, Adrian C. Madaro, Maria Duaime Robinson, Michelle L. Ciccolo, Tami L. Gouveia, Mindy Domb, Peter Capano, David Allen Robertson, Natalie M. Blais, Marcos A. Devers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rPr>
                <w:sz w:val="16"/>
                <w:szCs w:val="16"/>
              </w:rPr>
            </w:pPr>
            <w:r w:rsidDel="00000000" w:rsidR="00000000" w:rsidRPr="00000000">
              <w:rPr>
                <w:sz w:val="16"/>
                <w:szCs w:val="16"/>
                <w:rtl w:val="0"/>
              </w:rPr>
              <w:t xml:space="preserve">22</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rPr>
                <w:sz w:val="16"/>
                <w:szCs w:val="16"/>
              </w:rPr>
            </w:pPr>
            <w:r w:rsidDel="00000000" w:rsidR="00000000" w:rsidRPr="00000000">
              <w:rPr>
                <w:b w:val="1"/>
                <w:sz w:val="16"/>
                <w:szCs w:val="16"/>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rPr>
                <w:sz w:val="16"/>
                <w:szCs w:val="16"/>
              </w:rPr>
            </w:pPr>
            <w:r w:rsidDel="00000000" w:rsidR="00000000" w:rsidRPr="00000000">
              <w:rPr>
                <w:b w:val="1"/>
                <w:sz w:val="16"/>
                <w:szCs w:val="16"/>
                <w:rtl w:val="0"/>
              </w:rPr>
              <w:t xml:space="preserve">Health &amp; Safety Core</w:t>
            </w:r>
            <w:r w:rsidDel="00000000" w:rsidR="00000000" w:rsidRPr="00000000">
              <w:rPr>
                <w:sz w:val="16"/>
                <w:szCs w:val="16"/>
                <w:rtl w:val="0"/>
              </w:rPr>
              <w:t xml:space="preserve"> – General alignment but strong </w:t>
            </w:r>
            <w:r w:rsidDel="00000000" w:rsidR="00000000" w:rsidRPr="00000000">
              <w:rPr>
                <w:i w:val="1"/>
                <w:sz w:val="16"/>
                <w:szCs w:val="16"/>
                <w:rtl w:val="0"/>
              </w:rPr>
              <w:t xml:space="preserve">safety</w:t>
            </w:r>
            <w:r w:rsidDel="00000000" w:rsidR="00000000" w:rsidRPr="00000000">
              <w:rPr>
                <w:sz w:val="16"/>
                <w:szCs w:val="16"/>
                <w:rtl w:val="0"/>
              </w:rPr>
              <w:t xml:space="preserve"> and </w:t>
            </w:r>
            <w:r w:rsidDel="00000000" w:rsidR="00000000" w:rsidRPr="00000000">
              <w:rPr>
                <w:i w:val="1"/>
                <w:sz w:val="16"/>
                <w:szCs w:val="16"/>
                <w:rtl w:val="0"/>
              </w:rPr>
              <w:t xml:space="preserve">protection</w:t>
            </w:r>
            <w:r w:rsidDel="00000000" w:rsidR="00000000" w:rsidRPr="00000000">
              <w:rPr>
                <w:sz w:val="16"/>
                <w:szCs w:val="16"/>
                <w:rtl w:val="0"/>
              </w:rPr>
              <w:t xml:space="preserve"> presence.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rPr>
                <w:sz w:val="16"/>
                <w:szCs w:val="16"/>
              </w:rPr>
            </w:pPr>
            <w:r w:rsidDel="00000000" w:rsidR="00000000" w:rsidRPr="00000000">
              <w:rPr>
                <w:sz w:val="16"/>
                <w:szCs w:val="16"/>
                <w:rtl w:val="0"/>
              </w:rPr>
              <w:t xml:space="preserve">Elizabeth A. Malia, Steven Ultrino, Daniel J. Ryan, Alice Hanlon Peisch, John H. Rogers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rPr>
                <w:sz w:val="16"/>
                <w:szCs w:val="16"/>
              </w:rPr>
            </w:pPr>
            <w:r w:rsidDel="00000000" w:rsidR="00000000" w:rsidRPr="00000000">
              <w:rPr>
                <w:sz w:val="16"/>
                <w:szCs w:val="16"/>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sz w:val="16"/>
                <w:szCs w:val="16"/>
              </w:rPr>
            </w:pPr>
            <w:r w:rsidDel="00000000" w:rsidR="00000000" w:rsidRPr="00000000">
              <w:rPr>
                <w:b w:val="1"/>
                <w:sz w:val="16"/>
                <w:szCs w:val="16"/>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sz w:val="16"/>
                <w:szCs w:val="16"/>
              </w:rPr>
            </w:pPr>
            <w:r w:rsidDel="00000000" w:rsidR="00000000" w:rsidRPr="00000000">
              <w:rPr>
                <w:b w:val="1"/>
                <w:sz w:val="16"/>
                <w:szCs w:val="16"/>
                <w:rtl w:val="0"/>
              </w:rPr>
              <w:t xml:space="preserve">Children's Welfare Priority</w:t>
            </w:r>
            <w:r w:rsidDel="00000000" w:rsidR="00000000" w:rsidRPr="00000000">
              <w:rPr>
                <w:sz w:val="16"/>
                <w:szCs w:val="16"/>
                <w:rtl w:val="0"/>
              </w:rPr>
              <w:t xml:space="preserve"> – Stands out with </w:t>
            </w:r>
            <w:r w:rsidDel="00000000" w:rsidR="00000000" w:rsidRPr="00000000">
              <w:rPr>
                <w:i w:val="1"/>
                <w:sz w:val="16"/>
                <w:szCs w:val="16"/>
                <w:rtl w:val="0"/>
              </w:rPr>
              <w:t xml:space="preserve">children</w:t>
            </w:r>
            <w:r w:rsidDel="00000000" w:rsidR="00000000" w:rsidRPr="00000000">
              <w:rPr>
                <w:sz w:val="16"/>
                <w:szCs w:val="16"/>
                <w:rtl w:val="0"/>
              </w:rPr>
              <w:t xml:space="preserve"> in addition to </w:t>
            </w:r>
            <w:r w:rsidDel="00000000" w:rsidR="00000000" w:rsidRPr="00000000">
              <w:rPr>
                <w:i w:val="1"/>
                <w:sz w:val="16"/>
                <w:szCs w:val="16"/>
                <w:rtl w:val="0"/>
              </w:rPr>
              <w:t xml:space="preserve">services &amp; programs</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sz w:val="16"/>
                <w:szCs w:val="16"/>
              </w:rPr>
            </w:pPr>
            <w:r w:rsidDel="00000000" w:rsidR="00000000" w:rsidRPr="00000000">
              <w:rPr>
                <w:sz w:val="16"/>
                <w:szCs w:val="16"/>
                <w:rtl w:val="0"/>
              </w:rPr>
              <w:t xml:space="preserve">Michael D. Brady, Paul W. Mark, Diana DiZoglio, Tackey Chan, Joseph W. McGonagle Jr., Frank A. Moran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sz w:val="16"/>
                <w:szCs w:val="16"/>
              </w:rPr>
            </w:pPr>
            <w:r w:rsidDel="00000000" w:rsidR="00000000" w:rsidRPr="00000000">
              <w:rPr>
                <w:sz w:val="16"/>
                <w:szCs w:val="16"/>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sz w:val="16"/>
                <w:szCs w:val="16"/>
              </w:rPr>
            </w:pPr>
            <w:r w:rsidDel="00000000" w:rsidR="00000000" w:rsidRPr="00000000">
              <w:rPr>
                <w:b w:val="1"/>
                <w:sz w:val="16"/>
                <w:szCs w:val="16"/>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sz w:val="16"/>
                <w:szCs w:val="16"/>
              </w:rPr>
            </w:pPr>
            <w:r w:rsidDel="00000000" w:rsidR="00000000" w:rsidRPr="00000000">
              <w:rPr>
                <w:b w:val="1"/>
                <w:sz w:val="16"/>
                <w:szCs w:val="16"/>
                <w:rtl w:val="0"/>
              </w:rPr>
              <w:t xml:space="preserve">Education &amp; State-Level Policies</w:t>
            </w:r>
            <w:r w:rsidDel="00000000" w:rsidR="00000000" w:rsidRPr="00000000">
              <w:rPr>
                <w:sz w:val="16"/>
                <w:szCs w:val="16"/>
                <w:rtl w:val="0"/>
              </w:rPr>
              <w:t xml:space="preserve"> – Highlights </w:t>
            </w:r>
            <w:r w:rsidDel="00000000" w:rsidR="00000000" w:rsidRPr="00000000">
              <w:rPr>
                <w:i w:val="1"/>
                <w:sz w:val="16"/>
                <w:szCs w:val="16"/>
                <w:rtl w:val="0"/>
              </w:rPr>
              <w:t xml:space="preserve">school</w:t>
            </w:r>
            <w:r w:rsidDel="00000000" w:rsidR="00000000" w:rsidRPr="00000000">
              <w:rPr>
                <w:sz w:val="16"/>
                <w:szCs w:val="16"/>
                <w:rtl w:val="0"/>
              </w:rPr>
              <w:t xml:space="preserve"> and </w:t>
            </w:r>
            <w:r w:rsidDel="00000000" w:rsidR="00000000" w:rsidRPr="00000000">
              <w:rPr>
                <w:i w:val="1"/>
                <w:sz w:val="16"/>
                <w:szCs w:val="16"/>
                <w:rtl w:val="0"/>
              </w:rPr>
              <w:t xml:space="preserve">state</w:t>
            </w:r>
            <w:r w:rsidDel="00000000" w:rsidR="00000000" w:rsidRPr="00000000">
              <w:rPr>
                <w:sz w:val="16"/>
                <w:szCs w:val="16"/>
                <w:rtl w:val="0"/>
              </w:rPr>
              <w:t xml:space="preserve"> policy concerns.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sz w:val="16"/>
                <w:szCs w:val="16"/>
              </w:rPr>
            </w:pPr>
            <w:r w:rsidDel="00000000" w:rsidR="00000000" w:rsidRPr="00000000">
              <w:rPr>
                <w:sz w:val="16"/>
                <w:szCs w:val="16"/>
                <w:rtl w:val="0"/>
              </w:rPr>
              <w:t xml:space="preserve">David M. Rogers, Sean Garballey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sz w:val="16"/>
                <w:szCs w:val="16"/>
              </w:rPr>
            </w:pPr>
            <w:r w:rsidDel="00000000" w:rsidR="00000000" w:rsidRPr="00000000">
              <w:rPr>
                <w:sz w:val="16"/>
                <w:szCs w:val="16"/>
                <w:rtl w:val="0"/>
              </w:rPr>
              <w:t xml:space="preserve">2</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sz w:val="16"/>
                <w:szCs w:val="16"/>
              </w:rPr>
            </w:pPr>
            <w:r w:rsidDel="00000000" w:rsidR="00000000" w:rsidRPr="00000000">
              <w:rPr>
                <w:b w:val="1"/>
                <w:sz w:val="16"/>
                <w:szCs w:val="16"/>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sz w:val="16"/>
                <w:szCs w:val="16"/>
              </w:rPr>
            </w:pPr>
            <w:r w:rsidDel="00000000" w:rsidR="00000000" w:rsidRPr="00000000">
              <w:rPr>
                <w:b w:val="1"/>
                <w:sz w:val="16"/>
                <w:szCs w:val="16"/>
                <w:rtl w:val="0"/>
              </w:rPr>
              <w:t xml:space="preserve">Balanced &amp; Generalist Approach</w:t>
            </w:r>
            <w:r w:rsidDel="00000000" w:rsidR="00000000" w:rsidRPr="00000000">
              <w:rPr>
                <w:sz w:val="16"/>
                <w:szCs w:val="16"/>
                <w:rtl w:val="0"/>
              </w:rPr>
              <w:t xml:space="preserve"> – Covers all key topics without any highly unique keywords.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sz w:val="16"/>
                <w:szCs w:val="16"/>
              </w:rPr>
            </w:pPr>
            <w:r w:rsidDel="00000000" w:rsidR="00000000" w:rsidRPr="00000000">
              <w:rPr>
                <w:sz w:val="16"/>
                <w:szCs w:val="16"/>
                <w:rtl w:val="0"/>
              </w:rPr>
              <w:t xml:space="preserve">James J. O'Day, Daniel M. Donahue, Antonio F. D. Cabral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sz w:val="16"/>
                <w:szCs w:val="16"/>
              </w:rPr>
            </w:pPr>
            <w:r w:rsidDel="00000000" w:rsidR="00000000" w:rsidRPr="00000000">
              <w:rPr>
                <w:sz w:val="16"/>
                <w:szCs w:val="16"/>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sz w:val="16"/>
                <w:szCs w:val="16"/>
              </w:rPr>
            </w:pPr>
            <w:r w:rsidDel="00000000" w:rsidR="00000000" w:rsidRPr="00000000">
              <w:rPr>
                <w:b w:val="1"/>
                <w:sz w:val="16"/>
                <w:szCs w:val="16"/>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sz w:val="16"/>
                <w:szCs w:val="16"/>
              </w:rPr>
            </w:pPr>
            <w:r w:rsidDel="00000000" w:rsidR="00000000" w:rsidRPr="00000000">
              <w:rPr>
                <w:b w:val="1"/>
                <w:sz w:val="16"/>
                <w:szCs w:val="16"/>
                <w:rtl w:val="0"/>
              </w:rPr>
              <w:t xml:space="preserve">Program-Centric Approach</w:t>
            </w:r>
            <w:r w:rsidDel="00000000" w:rsidR="00000000" w:rsidRPr="00000000">
              <w:rPr>
                <w:sz w:val="16"/>
                <w:szCs w:val="16"/>
                <w:rtl w:val="0"/>
              </w:rPr>
              <w:t xml:space="preserve"> – </w:t>
            </w:r>
            <w:r w:rsidDel="00000000" w:rsidR="00000000" w:rsidRPr="00000000">
              <w:rPr>
                <w:i w:val="1"/>
                <w:sz w:val="16"/>
                <w:szCs w:val="16"/>
                <w:rtl w:val="0"/>
              </w:rPr>
              <w:t xml:space="preserve">Program</w:t>
            </w:r>
            <w:r w:rsidDel="00000000" w:rsidR="00000000" w:rsidRPr="00000000">
              <w:rPr>
                <w:sz w:val="16"/>
                <w:szCs w:val="16"/>
                <w:rtl w:val="0"/>
              </w:rPr>
              <w:t xml:space="preserve"> appears uniquely high in the ranking.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sz w:val="16"/>
                <w:szCs w:val="16"/>
              </w:rPr>
            </w:pPr>
            <w:r w:rsidDel="00000000" w:rsidR="00000000" w:rsidRPr="00000000">
              <w:rPr>
                <w:sz w:val="16"/>
                <w:szCs w:val="16"/>
                <w:rtl w:val="0"/>
              </w:rPr>
              <w:t xml:space="preserve">Chris Walsh, Paul R. Heroux, Michelle M. DuBois, Barbara A. L'Italien, José F. Tosado, Aaron Vega, Danielle W. Gregoire, Kate Hogan, John J. Lawn Jr.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sz w:val="16"/>
                <w:szCs w:val="16"/>
              </w:rPr>
            </w:pPr>
            <w:r w:rsidDel="00000000" w:rsidR="00000000" w:rsidRPr="00000000">
              <w:rPr>
                <w:sz w:val="16"/>
                <w:szCs w:val="16"/>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sz w:val="16"/>
                <w:szCs w:val="16"/>
              </w:rPr>
            </w:pPr>
            <w:r w:rsidDel="00000000" w:rsidR="00000000" w:rsidRPr="00000000">
              <w:rPr>
                <w:b w:val="1"/>
                <w:sz w:val="16"/>
                <w:szCs w:val="1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sz w:val="16"/>
                <w:szCs w:val="16"/>
              </w:rPr>
            </w:pPr>
            <w:r w:rsidDel="00000000" w:rsidR="00000000" w:rsidRPr="00000000">
              <w:rPr>
                <w:b w:val="1"/>
                <w:sz w:val="16"/>
                <w:szCs w:val="16"/>
                <w:rtl w:val="0"/>
              </w:rPr>
              <w:t xml:space="preserve">Strong Promotion &amp; Protection</w:t>
            </w:r>
            <w:r w:rsidDel="00000000" w:rsidR="00000000" w:rsidRPr="00000000">
              <w:rPr>
                <w:sz w:val="16"/>
                <w:szCs w:val="16"/>
                <w:rtl w:val="0"/>
              </w:rPr>
              <w:t xml:space="preserve"> – Prioritizes </w:t>
            </w:r>
            <w:r w:rsidDel="00000000" w:rsidR="00000000" w:rsidRPr="00000000">
              <w:rPr>
                <w:i w:val="1"/>
                <w:sz w:val="16"/>
                <w:szCs w:val="16"/>
                <w:rtl w:val="0"/>
              </w:rPr>
              <w:t xml:space="preserve">promote</w:t>
            </w:r>
            <w:r w:rsidDel="00000000" w:rsidR="00000000" w:rsidRPr="00000000">
              <w:rPr>
                <w:sz w:val="16"/>
                <w:szCs w:val="16"/>
                <w:rtl w:val="0"/>
              </w:rPr>
              <w:t xml:space="preserve"> and </w:t>
            </w:r>
            <w:r w:rsidDel="00000000" w:rsidR="00000000" w:rsidRPr="00000000">
              <w:rPr>
                <w:i w:val="1"/>
                <w:sz w:val="16"/>
                <w:szCs w:val="16"/>
                <w:rtl w:val="0"/>
              </w:rPr>
              <w:t xml:space="preserve">protect</w:t>
            </w:r>
            <w:r w:rsidDel="00000000" w:rsidR="00000000" w:rsidRPr="00000000">
              <w:rPr>
                <w:sz w:val="16"/>
                <w:szCs w:val="16"/>
                <w:rtl w:val="0"/>
              </w:rPr>
              <w:t xml:space="preserve"> together.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sz w:val="16"/>
                <w:szCs w:val="16"/>
              </w:rPr>
            </w:pPr>
            <w:r w:rsidDel="00000000" w:rsidR="00000000" w:rsidRPr="00000000">
              <w:rPr>
                <w:sz w:val="16"/>
                <w:szCs w:val="16"/>
                <w:rtl w:val="0"/>
              </w:rPr>
              <w:t xml:space="preserve">James B. Eldridge, Sal N. DiDomenico, Thomas M. Stanley, Michael O. Moore, Patrick M. O'Connor, Michael J. Barrett, Walter F. Timilty, Anne M. Gobi, Brendan P. Crighton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sz w:val="16"/>
                <w:szCs w:val="16"/>
              </w:rPr>
            </w:pPr>
            <w:r w:rsidDel="00000000" w:rsidR="00000000" w:rsidRPr="00000000">
              <w:rPr>
                <w:sz w:val="16"/>
                <w:szCs w:val="16"/>
                <w:rtl w:val="0"/>
              </w:rPr>
              <w:t xml:space="preserve">9</w:t>
            </w:r>
          </w:p>
        </w:tc>
      </w:tr>
      <w:tr>
        <w:trPr>
          <w:cantSplit w:val="0"/>
          <w:trHeight w:val="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sz w:val="16"/>
                <w:szCs w:val="16"/>
              </w:rPr>
            </w:pPr>
            <w:r w:rsidDel="00000000" w:rsidR="00000000" w:rsidRPr="00000000">
              <w:rPr>
                <w:b w:val="1"/>
                <w:sz w:val="16"/>
                <w:szCs w:val="16"/>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sz w:val="16"/>
                <w:szCs w:val="16"/>
              </w:rPr>
            </w:pPr>
            <w:r w:rsidDel="00000000" w:rsidR="00000000" w:rsidRPr="00000000">
              <w:rPr>
                <w:b w:val="1"/>
                <w:sz w:val="16"/>
                <w:szCs w:val="16"/>
                <w:rtl w:val="0"/>
              </w:rPr>
              <w:t xml:space="preserve">Service &amp; Safety Advocacy</w:t>
            </w:r>
            <w:r w:rsidDel="00000000" w:rsidR="00000000" w:rsidRPr="00000000">
              <w:rPr>
                <w:sz w:val="16"/>
                <w:szCs w:val="16"/>
                <w:rtl w:val="0"/>
              </w:rPr>
              <w:t xml:space="preserve"> – Strong focus on </w:t>
            </w:r>
            <w:r w:rsidDel="00000000" w:rsidR="00000000" w:rsidRPr="00000000">
              <w:rPr>
                <w:i w:val="1"/>
                <w:sz w:val="16"/>
                <w:szCs w:val="16"/>
                <w:rtl w:val="0"/>
              </w:rPr>
              <w:t xml:space="preserve">services</w:t>
            </w:r>
            <w:r w:rsidDel="00000000" w:rsidR="00000000" w:rsidRPr="00000000">
              <w:rPr>
                <w:sz w:val="16"/>
                <w:szCs w:val="16"/>
                <w:rtl w:val="0"/>
              </w:rPr>
              <w:t xml:space="preserve"> and </w:t>
            </w:r>
            <w:r w:rsidDel="00000000" w:rsidR="00000000" w:rsidRPr="00000000">
              <w:rPr>
                <w:i w:val="1"/>
                <w:sz w:val="16"/>
                <w:szCs w:val="16"/>
                <w:rtl w:val="0"/>
              </w:rPr>
              <w:t xml:space="preserve">safety</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sz w:val="16"/>
                <w:szCs w:val="16"/>
              </w:rPr>
            </w:pPr>
            <w:r w:rsidDel="00000000" w:rsidR="00000000" w:rsidRPr="00000000">
              <w:rPr>
                <w:sz w:val="16"/>
                <w:szCs w:val="16"/>
                <w:rtl w:val="0"/>
              </w:rPr>
              <w:t xml:space="preserve">Paul McMurtry, Denise C. Garlick, James Arciero, William C. Galvin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sz w:val="16"/>
                <w:szCs w:val="16"/>
              </w:rPr>
            </w:pPr>
            <w:r w:rsidDel="00000000" w:rsidR="00000000" w:rsidRPr="00000000">
              <w:rPr>
                <w:sz w:val="16"/>
                <w:szCs w:val="16"/>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sz w:val="16"/>
                <w:szCs w:val="16"/>
              </w:rPr>
            </w:pPr>
            <w:r w:rsidDel="00000000" w:rsidR="00000000" w:rsidRPr="00000000">
              <w:rPr>
                <w:b w:val="1"/>
                <w:sz w:val="16"/>
                <w:szCs w:val="16"/>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sz w:val="16"/>
                <w:szCs w:val="16"/>
              </w:rPr>
            </w:pPr>
            <w:r w:rsidDel="00000000" w:rsidR="00000000" w:rsidRPr="00000000">
              <w:rPr>
                <w:b w:val="1"/>
                <w:sz w:val="16"/>
                <w:szCs w:val="16"/>
                <w:rtl w:val="0"/>
              </w:rPr>
              <w:t xml:space="preserve">Emphasis on Protection &amp; Promotion</w:t>
            </w:r>
            <w:r w:rsidDel="00000000" w:rsidR="00000000" w:rsidRPr="00000000">
              <w:rPr>
                <w:sz w:val="16"/>
                <w:szCs w:val="16"/>
                <w:rtl w:val="0"/>
              </w:rPr>
              <w:t xml:space="preserve"> – Mirrors Group 2 but broader.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sz w:val="16"/>
                <w:szCs w:val="16"/>
              </w:rPr>
            </w:pPr>
            <w:r w:rsidDel="00000000" w:rsidR="00000000" w:rsidRPr="00000000">
              <w:rPr>
                <w:sz w:val="16"/>
                <w:szCs w:val="16"/>
                <w:rtl w:val="0"/>
              </w:rPr>
              <w:t xml:space="preserve">Julian Cyr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sz w:val="16"/>
                <w:szCs w:val="16"/>
              </w:rPr>
            </w:pPr>
            <w:r w:rsidDel="00000000" w:rsidR="00000000" w:rsidRPr="00000000">
              <w:rPr>
                <w:sz w:val="16"/>
                <w:szCs w:val="16"/>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sz w:val="16"/>
                <w:szCs w:val="16"/>
              </w:rPr>
            </w:pPr>
            <w:r w:rsidDel="00000000" w:rsidR="00000000" w:rsidRPr="00000000">
              <w:rPr>
                <w:b w:val="1"/>
                <w:sz w:val="16"/>
                <w:szCs w:val="16"/>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sz w:val="16"/>
                <w:szCs w:val="16"/>
              </w:rPr>
            </w:pPr>
            <w:r w:rsidDel="00000000" w:rsidR="00000000" w:rsidRPr="00000000">
              <w:rPr>
                <w:b w:val="1"/>
                <w:sz w:val="16"/>
                <w:szCs w:val="16"/>
                <w:rtl w:val="0"/>
              </w:rPr>
              <w:t xml:space="preserve">Program &amp; Education-Driven</w:t>
            </w:r>
            <w:r w:rsidDel="00000000" w:rsidR="00000000" w:rsidRPr="00000000">
              <w:rPr>
                <w:sz w:val="16"/>
                <w:szCs w:val="16"/>
                <w:rtl w:val="0"/>
              </w:rPr>
              <w:t xml:space="preserve"> – </w:t>
            </w:r>
            <w:r w:rsidDel="00000000" w:rsidR="00000000" w:rsidRPr="00000000">
              <w:rPr>
                <w:i w:val="1"/>
                <w:sz w:val="16"/>
                <w:szCs w:val="16"/>
                <w:rtl w:val="0"/>
              </w:rPr>
              <w:t xml:space="preserve">Program</w:t>
            </w:r>
            <w:r w:rsidDel="00000000" w:rsidR="00000000" w:rsidRPr="00000000">
              <w:rPr>
                <w:sz w:val="16"/>
                <w:szCs w:val="16"/>
                <w:rtl w:val="0"/>
              </w:rPr>
              <w:t xml:space="preserve"> is emphasized along with education.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sz w:val="16"/>
                <w:szCs w:val="16"/>
              </w:rPr>
            </w:pPr>
            <w:r w:rsidDel="00000000" w:rsidR="00000000" w:rsidRPr="00000000">
              <w:rPr>
                <w:sz w:val="16"/>
                <w:szCs w:val="16"/>
                <w:rtl w:val="0"/>
              </w:rPr>
              <w:t xml:space="preserve">Susan Williams Gifford, Steven S. Howitt, Todd M. Smola, Elizabeth A. Poirier, Bruce E. Tarr, Kimberly N. Ferguson, Brian M. Ashe, Angelo J. Puppolo Jr., Hannah Kane, Mathew J. Muratore, Angelo L. D'Emilia, Colleen M. Garry, Josh S. Cutler, Bradley H. Jones Jr., James J. Dwyer, Carole A. Fiola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sz w:val="16"/>
                <w:szCs w:val="16"/>
              </w:rPr>
            </w:pPr>
            <w:r w:rsidDel="00000000" w:rsidR="00000000" w:rsidRPr="00000000">
              <w:rPr>
                <w:sz w:val="16"/>
                <w:szCs w:val="16"/>
                <w:rtl w:val="0"/>
              </w:rPr>
              <w:t xml:space="preserve">16</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While most legislators align closely with their cooperative groups, some individuals exhibit notable deviations in their policy priorities. Especially in larger groups (such as Group 7 and Group 8), there is a tendency for certain individuals to diverge significantly from their group's primary focus. We believe that identifying these discrepancies provides insight into potential special interests and independent policy agendas. These deviations may indicate legislators pursuing issue areas outside their group due to district-specific concerns, cross-party cooperation, or external influences such as lobbying and political alliances.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