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32"/>
        </w:rPr>
        <w:t>KÜRESEL EKONOMİK GELİŞMELER VE ULUSLARARASI KURUMLARIN</w:t>
        <w:br/>
        <w:t>SEKTÖREL TAHMİNLERİ IŞIĞINDA TÜRKİYE'DE</w:t>
        <w:br/>
        <w:t>DESTEKLENMESI GEREKEN SEKTÖRLER VE</w:t>
        <w:br/>
        <w:t>İSTİHDAM TEŞVİKİ POLİTİKA ÖNERİLERİ</w:t>
      </w:r>
    </w:p>
    <w:p/>
    <w:p>
      <w:pPr>
        <w:ind w:firstLine="0"/>
        <w:jc w:val="center"/>
      </w:pPr>
      <w:r>
        <w:rPr>
          <w:i/>
          <w:sz w:val="28"/>
        </w:rPr>
        <w:t>Sektörel Analiz Raporu</w:t>
      </w:r>
    </w:p>
    <w:p/>
    <w:p>
      <w:pPr>
        <w:ind w:firstLine="0"/>
        <w:jc w:val="center"/>
      </w:pPr>
      <w:r>
        <w:rPr>
          <w:sz w:val="22"/>
        </w:rPr>
        <w:t>Veri Kaynakları: TÜİK GSYH Gelir Yöntemi (2009-2024),</w:t>
        <w:br/>
        <w:t>SGK Yıllık İstatistikleri (2024),</w:t>
        <w:br/>
        <w:t>IMF, OECD, Dünya Bankası, ILO, UNIDO Raporları</w:t>
      </w:r>
    </w:p>
    <w:p/>
    <w:p>
      <w:pPr>
        <w:ind w:firstLine="0"/>
        <w:jc w:val="center"/>
      </w:pPr>
      <w:r>
        <w:rPr>
          <w:sz w:val="22"/>
        </w:rPr>
        <w:t>Mart 2026</w:t>
      </w:r>
    </w:p>
    <w:p>
      <w:r>
        <w:br w:type="page"/>
      </w:r>
    </w:p>
    <w:p>
      <w:pPr>
        <w:pStyle w:val="Heading1"/>
      </w:pPr>
      <w:r>
        <w:t>İÇİNDEKİLER</w:t>
      </w:r>
    </w:p>
    <w:p>
      <w:pPr>
        <w:spacing w:after="40"/>
        <w:ind w:firstLine="0"/>
      </w:pPr>
      <w:r>
        <w:t>1. Yönetici Özeti</w:t>
      </w:r>
    </w:p>
    <w:p>
      <w:pPr>
        <w:spacing w:after="40"/>
        <w:ind w:firstLine="0"/>
      </w:pPr>
      <w:r>
        <w:t>2. Giriş ve Amaç</w:t>
      </w:r>
    </w:p>
    <w:p>
      <w:pPr>
        <w:spacing w:after="40"/>
        <w:ind w:firstLine="0"/>
      </w:pPr>
      <w:r>
        <w:t>3. Küresel Ekonomik Görünüm ve Sektörel Trendler</w:t>
      </w:r>
    </w:p>
    <w:p>
      <w:pPr>
        <w:spacing w:after="40"/>
        <w:ind w:firstLine="0"/>
      </w:pPr>
      <w:r>
        <w:t xml:space="preserve">   3.1. Makroekonomik Çerçeve</w:t>
      </w:r>
    </w:p>
    <w:p>
      <w:pPr>
        <w:spacing w:after="40"/>
        <w:ind w:firstLine="0"/>
      </w:pPr>
      <w:r>
        <w:t xml:space="preserve">   3.2. Sektörel Dönüşüm Dinamikleri</w:t>
      </w:r>
    </w:p>
    <w:p>
      <w:pPr>
        <w:spacing w:after="40"/>
        <w:ind w:firstLine="0"/>
      </w:pPr>
      <w:r>
        <w:t xml:space="preserve">   3.3. İşgücü Piyasası Küresel Eğilimler</w:t>
      </w:r>
    </w:p>
    <w:p>
      <w:pPr>
        <w:spacing w:after="40"/>
        <w:ind w:firstLine="0"/>
      </w:pPr>
      <w:r>
        <w:t>4. Türkiye Ekonomisi: Sektörel Yapı Analizi</w:t>
      </w:r>
    </w:p>
    <w:p>
      <w:pPr>
        <w:spacing w:after="40"/>
        <w:ind w:firstLine="0"/>
      </w:pPr>
      <w:r>
        <w:t xml:space="preserve">   4.1. Gayrisafi Katma Değer ve İşgücü Maliyeti</w:t>
      </w:r>
    </w:p>
    <w:p>
      <w:pPr>
        <w:spacing w:after="40"/>
        <w:ind w:firstLine="0"/>
      </w:pPr>
      <w:r>
        <w:t xml:space="preserve">   4.2. İstihdam Yapısı ve Verimlilik</w:t>
      </w:r>
    </w:p>
    <w:p>
      <w:pPr>
        <w:spacing w:after="40"/>
        <w:ind w:firstLine="0"/>
      </w:pPr>
      <w:r>
        <w:t xml:space="preserve">   4.3. Kadran Analizi: Sektörel Sınıflandırma</w:t>
      </w:r>
    </w:p>
    <w:p>
      <w:pPr>
        <w:spacing w:after="40"/>
        <w:ind w:firstLine="0"/>
      </w:pPr>
      <w:r>
        <w:t>5. Uluslararası Kurum Değerlendirmeleri</w:t>
      </w:r>
    </w:p>
    <w:p>
      <w:pPr>
        <w:spacing w:after="40"/>
        <w:ind w:firstLine="0"/>
      </w:pPr>
      <w:r>
        <w:t xml:space="preserve">   5.1. IMF Perspektifi</w:t>
      </w:r>
    </w:p>
    <w:p>
      <w:pPr>
        <w:spacing w:after="40"/>
        <w:ind w:firstLine="0"/>
      </w:pPr>
      <w:r>
        <w:t xml:space="preserve">   5.2. OECD Önerileri</w:t>
      </w:r>
    </w:p>
    <w:p>
      <w:pPr>
        <w:spacing w:after="40"/>
        <w:ind w:firstLine="0"/>
      </w:pPr>
      <w:r>
        <w:t xml:space="preserve">   5.3. Dünya Bankası Değerlendirmesi</w:t>
      </w:r>
    </w:p>
    <w:p>
      <w:pPr>
        <w:spacing w:after="40"/>
        <w:ind w:firstLine="0"/>
      </w:pPr>
      <w:r>
        <w:t xml:space="preserve">   5.4. ILO ve UNIDO Bulgular</w:t>
      </w:r>
    </w:p>
    <w:p>
      <w:pPr>
        <w:spacing w:after="40"/>
        <w:ind w:firstLine="0"/>
      </w:pPr>
      <w:r>
        <w:t>6. Stratejik Öncelikli Sektörler</w:t>
      </w:r>
    </w:p>
    <w:p>
      <w:pPr>
        <w:spacing w:after="40"/>
        <w:ind w:firstLine="0"/>
      </w:pPr>
      <w:r>
        <w:t xml:space="preserve">   6.1. Desteklenmesi Gereken Sektörler ve Gerekçeleri</w:t>
      </w:r>
    </w:p>
    <w:p>
      <w:pPr>
        <w:spacing w:after="40"/>
        <w:ind w:firstLine="0"/>
      </w:pPr>
      <w:r>
        <w:t xml:space="preserve">   6.2. Sektörel Risk ve Fırsat Matrisi</w:t>
      </w:r>
    </w:p>
    <w:p>
      <w:pPr>
        <w:spacing w:after="40"/>
        <w:ind w:firstLine="0"/>
      </w:pPr>
      <w:r>
        <w:t>7. İstihdam Teşviki Politika Önerileri</w:t>
      </w:r>
    </w:p>
    <w:p>
      <w:pPr>
        <w:spacing w:after="40"/>
        <w:ind w:firstLine="0"/>
      </w:pPr>
      <w:r>
        <w:t xml:space="preserve">   7.1. Uluslararası Deneyimler ve Vergi Takozu Karşılaştırması</w:t>
      </w:r>
    </w:p>
    <w:p>
      <w:pPr>
        <w:spacing w:after="40"/>
        <w:ind w:firstLine="0"/>
      </w:pPr>
      <w:r>
        <w:t xml:space="preserve">   7.2. Teşvik Tasarım Parametreleri</w:t>
      </w:r>
    </w:p>
    <w:p>
      <w:pPr>
        <w:spacing w:after="40"/>
        <w:ind w:firstLine="0"/>
      </w:pPr>
      <w:r>
        <w:t xml:space="preserve">   7.3. Sektör Bazlı Teşvik Modelleri</w:t>
      </w:r>
    </w:p>
    <w:p>
      <w:pPr>
        <w:spacing w:after="40"/>
        <w:ind w:firstLine="0"/>
      </w:pPr>
      <w:r>
        <w:t xml:space="preserve">   7.4. AB Yeşil Mutabakat ve CBAM Uyumu</w:t>
      </w:r>
    </w:p>
    <w:p>
      <w:pPr>
        <w:spacing w:after="40"/>
        <w:ind w:firstLine="0"/>
      </w:pPr>
      <w:r>
        <w:t xml:space="preserve">   7.5. Dijital Dönüşüm ve Yapay Zeka</w:t>
      </w:r>
    </w:p>
    <w:p>
      <w:pPr>
        <w:spacing w:after="40"/>
        <w:ind w:firstLine="0"/>
      </w:pPr>
      <w:r>
        <w:t>8. Sonuç ve Değerlendirme</w:t>
      </w:r>
    </w:p>
    <w:p>
      <w:pPr>
        <w:spacing w:after="40"/>
        <w:ind w:firstLine="0"/>
      </w:pPr>
      <w:r>
        <w:t>Kaynakça</w:t>
      </w:r>
    </w:p>
    <w:p>
      <w:r>
        <w:br w:type="page"/>
      </w:r>
    </w:p>
    <w:p>
      <w:pPr>
        <w:pStyle w:val="Heading1"/>
      </w:pPr>
      <w:r>
        <w:t>1. YÖNETİCİ ÖZETİ</w:t>
      </w:r>
    </w:p>
    <w:p>
      <w:r>
        <w:rPr>
          <w:b w:val="0"/>
          <w:i w:val="0"/>
        </w:rPr>
        <w:t>Bu rapor, Türkiye ekonomisindeki 20 ana sektörün işgücü maliyeti yapısını, istihdam kapasitesini ve verimlilik göstergelerini uluslararası karşılaştırmalı bir perspektiften analiz etmektedir. 2024 yılı itibarıyla 4/1-a kapsamında toplam 16,571,670 zorunlu sigortalı, 39,613.6 milyar TL gayrisafi katma değer üretmektedir. Ekonomi genelinde işgücü maliyet oranı %37.0 düzeyindedir.</w:t>
      </w:r>
    </w:p>
    <w:p>
      <w:r>
        <w:rPr>
          <w:b w:val="0"/>
          <w:i w:val="0"/>
        </w:rPr>
        <w:t>IMF'nin Ocak 2026 Dünya Ekonomik Görünümü güncellemesine göre küresel büyüme 2026'da %3,3 olarak öngörülmektedir (IMF, 2026). OECD, Türkiye'nin 2026'da %3,9 büyüyeceğini tahmin etmekte; ancak verimlilik artışının hızlandırılması, kadın işgücü katılımının yükseltilmesi ve hizmetler sektöründe düzenleyici reformlara ihtiyaç duyulduğunu vurgulamaktadır (OECD, 2025). Dünya Bankası ise Türkiye'nin 2027'de %4,4'e ulaşabileceğini ancak bunun yapısal reformlara bağlı olduğunu belirtmektedir (World Bank, 2025).</w:t>
      </w:r>
    </w:p>
    <w:p>
      <w:r>
        <w:rPr>
          <w:b w:val="0"/>
          <w:i w:val="0"/>
        </w:rPr>
        <w:t>Kadran analizine göre 8 sektör hem yüksek istihdam kapasitesine sahip hem de yüksek işgücü maliyeti taşımaktadır. Bu sektörler —İmalat Sanayi, İnşaat, İdari ve Destek Hizmetleri, Konaklama ve Yiyecek, Sağlık, Mesleki Faaliyetler, Eğitim ve Kamu Yönetimi— toplam istihdamın yaklaşık %75'ini oluşturmakta ve istihdam teşviki politikalarının öncelikli hedef grubunu oluşturmaktadır.</w:t>
      </w:r>
    </w:p>
    <w:p>
      <w:r>
        <w:rPr>
          <w:b w:val="0"/>
          <w:i w:val="0"/>
        </w:rPr>
        <w:t>Rapor, AB Karbon Sınır Düzenleme Mekanizması (CBAM), yeşil dönüşüm, dijital dönüşüm ve yapay zeka gibi küresel megatrendleri Türkiye'nin sektörel yapısıyla ilişkilendirerek, desteklenmesi gereken sektörleri ve teşvik politikası parametrelerini ortaya koymaktadır.</w:t>
      </w:r>
    </w:p>
    <w:p>
      <w:r>
        <w:br w:type="page"/>
      </w:r>
    </w:p>
    <w:p>
      <w:pPr>
        <w:pStyle w:val="Heading1"/>
      </w:pPr>
      <w:r>
        <w:t>2. GİRİŞ VE AMAÇ</w:t>
      </w:r>
    </w:p>
    <w:p>
      <w:r>
        <w:rPr>
          <w:b w:val="0"/>
          <w:i w:val="0"/>
        </w:rPr>
        <w:t>Küresel ekonomi, COVID-19 sonrası toparlanma sürecinden çıkarak yeni bir döneme girmektedir. Jeopolitik gerilimler, ticaret savaşları, iklim değişikliği ve teknolojik dönüşüm, ülkelerin sektörel stratejilerini yeniden şekillendirmesini zorunlu kılmaktadır. Bu süreçte istihdam politikalarının sektörel bazda tasarlanması, hem sosyal hem ekonomik açıdan kritik bir öneme sahiptir.</w:t>
      </w:r>
    </w:p>
    <w:p>
      <w:r>
        <w:rPr>
          <w:b w:val="0"/>
          <w:i w:val="0"/>
        </w:rPr>
        <w:t>Türkiye, OECD'nin en hızlı büyüyen ekonomilerinden biri olmakla birlikte, verimlilik artışının yavaşlaması, kayıt dışılığın yüksekliği, kadın işgücü katılımının düşüklüğü ve beceri uyumsuzlukları gibi yapısal sorunlarla karşı karşıyadır (OECD, 2025). İmalat sanayinin orta teknolojiye yoğunlaşmış yapısı, küresel değer zincirlerinde yukarı doğru entegrasyonu sınırlandırmaktadır.</w:t>
      </w:r>
    </w:p>
    <w:p>
      <w:r>
        <w:rPr>
          <w:b w:val="0"/>
          <w:i w:val="0"/>
        </w:rPr>
        <w:t>Bu raporun amacı; (i) TÜİK ve SGK verilerine dayalı olarak sektörlerin ürettiği katma değer ile işgücü maliyetini karşılaştırmak, (ii) istihdam kapasitesi yüksek ancak işgücü maliyeti de yüksek olan sektörleri tespit etmek, (iii) uluslararası kurumların sektörel tahminleri ve küresel eğilimler ışığında desteklenmesi gereken sektörleri belirlemek ve (iv) bir istihdam teşviki hayata geçirilecekse dikkat edilmesi gereken parametreleri ortaya koymaktır.</w:t>
      </w:r>
    </w:p>
    <w:p>
      <w:r>
        <w:rPr>
          <w:b w:val="0"/>
          <w:i w:val="0"/>
        </w:rPr>
        <w:t>Rapor, IMF Dünya Ekonomik Görünümü (Ekim 2025, Ocak 2026), OECD Türkiye Ekonomik İncelemesi (2025), Dünya Bankası Ülke Ekonomik Memorandumu, ILO Dünya İstihdam ve Sosyal Görünüm raporu (2025), UNIDO Sanayi İstatistikleri Yıllığı (2025) ile TÜİK ve SGK 2024 yılı verilerini bir arada değerlendirmektedir.</w:t>
      </w:r>
    </w:p>
    <w:p>
      <w:r>
        <w:br w:type="page"/>
      </w:r>
    </w:p>
    <w:p>
      <w:pPr>
        <w:pStyle w:val="Heading1"/>
      </w:pPr>
      <w:r>
        <w:t>3. KÜRESEL EKONOMİK GÖRÜNÜM VE SEKTÖREL TRENDLER</w:t>
      </w:r>
    </w:p>
    <w:p>
      <w:pPr>
        <w:pStyle w:val="Heading2"/>
      </w:pPr>
      <w:r>
        <w:t>3.1. Makroekonomik Çerçeve</w:t>
      </w:r>
    </w:p>
    <w:p>
      <w:r>
        <w:rPr>
          <w:b w:val="0"/>
          <w:i w:val="0"/>
        </w:rPr>
        <w:t>IMF'nin Ocak 2026 güncellemesine göre küresel büyüme 2026'da %3,3, 2027'de %3,2 olarak öngörülmektedir. Teknoloji yatırımları, mali ve parasal destekler, esnek finansal koşullar ve özel sektör adaptasyonu, ticaret politikası değişikliklerini dengelemektedir. Küresel enflasyonun düşmesi beklenmekte, ancak ABD enflasyonunun hedefe daha yavaş dönmesi öngörülmektedir (IMF, 2026).</w:t>
      </w:r>
    </w:p>
    <w:p>
      <w:pPr>
        <w:ind w:firstLine="0"/>
      </w:pPr>
      <w:r>
        <w:rPr>
          <w:b/>
          <w:i w:val="0"/>
        </w:rPr>
        <w:t>Tablo 1. IMF Küresel Büyüme Tahminleri (%)</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t>Bölge/Ülke</w:t>
            </w:r>
          </w:p>
        </w:tc>
        <w:tc>
          <w:tcPr>
            <w:tcW w:type="dxa" w:w="2280"/>
          </w:tcPr>
          <w:p>
            <w:r>
              <w:t>2024</w:t>
            </w:r>
          </w:p>
        </w:tc>
        <w:tc>
          <w:tcPr>
            <w:tcW w:type="dxa" w:w="2280"/>
          </w:tcPr>
          <w:p>
            <w:r>
              <w:t>2025</w:t>
            </w:r>
          </w:p>
        </w:tc>
        <w:tc>
          <w:tcPr>
            <w:tcW w:type="dxa" w:w="2280"/>
          </w:tcPr>
          <w:p>
            <w:r>
              <w:t>2026</w:t>
            </w:r>
          </w:p>
        </w:tc>
      </w:tr>
      <w:tr>
        <w:tc>
          <w:tcPr>
            <w:tcW w:type="dxa" w:w="2280"/>
          </w:tcPr>
          <w:p>
            <w:r>
              <w:t>Küresel</w:t>
            </w:r>
          </w:p>
        </w:tc>
        <w:tc>
          <w:tcPr>
            <w:tcW w:type="dxa" w:w="2280"/>
          </w:tcPr>
          <w:p>
            <w:r>
              <w:t>3,3</w:t>
            </w:r>
          </w:p>
        </w:tc>
        <w:tc>
          <w:tcPr>
            <w:tcW w:type="dxa" w:w="2280"/>
          </w:tcPr>
          <w:p>
            <w:r>
              <w:t>3,2</w:t>
            </w:r>
          </w:p>
        </w:tc>
        <w:tc>
          <w:tcPr>
            <w:tcW w:type="dxa" w:w="2280"/>
          </w:tcPr>
          <w:p>
            <w:r>
              <w:t>3,3</w:t>
            </w:r>
          </w:p>
        </w:tc>
      </w:tr>
      <w:tr>
        <w:tc>
          <w:tcPr>
            <w:tcW w:type="dxa" w:w="2280"/>
          </w:tcPr>
          <w:p>
            <w:r>
              <w:t>Gelişmiş Ekonomiler</w:t>
            </w:r>
          </w:p>
        </w:tc>
        <w:tc>
          <w:tcPr>
            <w:tcW w:type="dxa" w:w="2280"/>
          </w:tcPr>
          <w:p>
            <w:r>
              <w:t>—</w:t>
            </w:r>
          </w:p>
        </w:tc>
        <w:tc>
          <w:tcPr>
            <w:tcW w:type="dxa" w:w="2280"/>
          </w:tcPr>
          <w:p>
            <w:r>
              <w:t>1,6</w:t>
            </w:r>
          </w:p>
        </w:tc>
        <w:tc>
          <w:tcPr>
            <w:tcW w:type="dxa" w:w="2280"/>
          </w:tcPr>
          <w:p>
            <w:r>
              <w:t>1,6</w:t>
            </w:r>
          </w:p>
        </w:tc>
      </w:tr>
      <w:tr>
        <w:tc>
          <w:tcPr>
            <w:tcW w:type="dxa" w:w="2280"/>
          </w:tcPr>
          <w:p>
            <w:r>
              <w:t>ABD</w:t>
            </w:r>
          </w:p>
        </w:tc>
        <w:tc>
          <w:tcPr>
            <w:tcW w:type="dxa" w:w="2280"/>
          </w:tcPr>
          <w:p>
            <w:r>
              <w:t>2,8</w:t>
            </w:r>
          </w:p>
        </w:tc>
        <w:tc>
          <w:tcPr>
            <w:tcW w:type="dxa" w:w="2280"/>
          </w:tcPr>
          <w:p>
            <w:r>
              <w:t>2,0</w:t>
            </w:r>
          </w:p>
        </w:tc>
        <w:tc>
          <w:tcPr>
            <w:tcW w:type="dxa" w:w="2280"/>
          </w:tcPr>
          <w:p>
            <w:r>
              <w:t>2,1</w:t>
            </w:r>
          </w:p>
        </w:tc>
      </w:tr>
      <w:tr>
        <w:tc>
          <w:tcPr>
            <w:tcW w:type="dxa" w:w="2280"/>
          </w:tcPr>
          <w:p>
            <w:r>
              <w:t>Euro Bölgesi</w:t>
            </w:r>
          </w:p>
        </w:tc>
        <w:tc>
          <w:tcPr>
            <w:tcW w:type="dxa" w:w="2280"/>
          </w:tcPr>
          <w:p>
            <w:r>
              <w:t>—</w:t>
            </w:r>
          </w:p>
        </w:tc>
        <w:tc>
          <w:tcPr>
            <w:tcW w:type="dxa" w:w="2280"/>
          </w:tcPr>
          <w:p>
            <w:r>
              <w:t>1,2</w:t>
            </w:r>
          </w:p>
        </w:tc>
        <w:tc>
          <w:tcPr>
            <w:tcW w:type="dxa" w:w="2280"/>
          </w:tcPr>
          <w:p>
            <w:r>
              <w:t>1,1</w:t>
            </w:r>
          </w:p>
        </w:tc>
      </w:tr>
      <w:tr>
        <w:tc>
          <w:tcPr>
            <w:tcW w:type="dxa" w:w="2280"/>
          </w:tcPr>
          <w:p>
            <w:r>
              <w:t>Gelişmekte Olan</w:t>
            </w:r>
          </w:p>
        </w:tc>
        <w:tc>
          <w:tcPr>
            <w:tcW w:type="dxa" w:w="2280"/>
          </w:tcPr>
          <w:p>
            <w:r>
              <w:t>4,3</w:t>
            </w:r>
          </w:p>
        </w:tc>
        <w:tc>
          <w:tcPr>
            <w:tcW w:type="dxa" w:w="2280"/>
          </w:tcPr>
          <w:p>
            <w:r>
              <w:t>4,2</w:t>
            </w:r>
          </w:p>
        </w:tc>
        <w:tc>
          <w:tcPr>
            <w:tcW w:type="dxa" w:w="2280"/>
          </w:tcPr>
          <w:p>
            <w:r>
              <w:t>4,0</w:t>
            </w:r>
          </w:p>
        </w:tc>
      </w:tr>
      <w:tr>
        <w:tc>
          <w:tcPr>
            <w:tcW w:type="dxa" w:w="2280"/>
          </w:tcPr>
          <w:p>
            <w:r>
              <w:t>Çin</w:t>
            </w:r>
          </w:p>
        </w:tc>
        <w:tc>
          <w:tcPr>
            <w:tcW w:type="dxa" w:w="2280"/>
          </w:tcPr>
          <w:p>
            <w:r>
              <w:t>—</w:t>
            </w:r>
          </w:p>
        </w:tc>
        <w:tc>
          <w:tcPr>
            <w:tcW w:type="dxa" w:w="2280"/>
          </w:tcPr>
          <w:p>
            <w:r>
              <w:t>4,8</w:t>
            </w:r>
          </w:p>
        </w:tc>
        <w:tc>
          <w:tcPr>
            <w:tcW w:type="dxa" w:w="2280"/>
          </w:tcPr>
          <w:p>
            <w:r>
              <w:t>4,2</w:t>
            </w:r>
          </w:p>
        </w:tc>
      </w:tr>
    </w:tbl>
    <w:p>
      <w:pPr>
        <w:ind w:firstLine="0"/>
      </w:pPr>
      <w:r>
        <w:rPr>
          <w:b w:val="0"/>
          <w:i/>
        </w:rPr>
        <w:t>Kaynak: IMF World Economic Outlook, Ocak 2026; Ekim 2025.</w:t>
      </w:r>
    </w:p>
    <w:p>
      <w:r>
        <w:rPr>
          <w:b w:val="0"/>
          <w:i w:val="0"/>
        </w:rPr>
        <w:t>Ekim 2025 WEO'sunda "Değişim İçinde Küresel Ekonomi, Görünüm Karanlık" başlığıyla yayımlanan rapor, büyüme tahminlerini 2025 için %3,2, 2026 için %3,1 olarak belirlemiştir. Ocak 2026 güncellemesiyle 2026 tahmini %3,3'e yukarı yönlü revize edilmiştir. Riskler aşağı yönlü olmaya devam etmekte; uzayan belirsizlik, artan korumacılık ve işgücü arz şokları büyümeyi aşağı çekebilir (IMF, 2025a).</w:t>
      </w:r>
    </w:p>
    <w:p>
      <w:pPr>
        <w:pStyle w:val="Heading2"/>
      </w:pPr>
      <w:r>
        <w:t>3.2. Sektörel Dönüşüm Dinamikleri</w:t>
      </w:r>
    </w:p>
    <w:p>
      <w:r>
        <w:rPr>
          <w:b w:val="0"/>
          <w:i w:val="0"/>
        </w:rPr>
        <w:t>Küresel düzeyde beş temel sektörel dönüşüm dinamiği ön plana çıkmaktadır:</w:t>
      </w:r>
    </w:p>
    <w:p>
      <w:r>
        <w:rPr>
          <w:b/>
        </w:rPr>
        <w:t xml:space="preserve">Yapay Zeka ve Teknoloji Yatırımları: </w:t>
      </w:r>
      <w:r>
        <w:t>IMF, mevcut yapay zeka patlamasını 1990'ların dot-com patlamasına benzetmektedir. Özellikle Kuzey Amerika ve Asya'da yoğunlaşan AI odaklı yatırımlar büyümeyi ve hisse senedi piyasalarını desteklemektedir. Ancak verimlilik kazanımları gerçekleşmezse, keskin piyasa düzeltmeleri ve hanehalkı servetinde azalma riski bulunmaktadır (IMF, 2025a).</w:t>
      </w:r>
    </w:p>
    <w:p>
      <w:r>
        <w:rPr>
          <w:b/>
        </w:rPr>
        <w:t xml:space="preserve">Yeşil Dönüşüm ve CBAM: </w:t>
      </w:r>
      <w:r>
        <w:t>AB Karbon Sınır Düzenleme Mekanizması (CBAM) 1 Ocak 2026'da yürürlüğe girmiştir. Çimento, demir-çelik, alüminyum, gübre, elektrik ve hidrojen ithalatına uygulanan mekanizma, Türkiye'yi en çok etkilenen ülkeler arasına koymaktadır. AB'ye yılda yaklaşık 8 milyar Euro değerinde karbon yoğun ürün ihraç eden Türkiye, Çin'den sonra ikinci sırada yer almaktadır (European Commission, 2025; WEF, 2025).</w:t>
      </w:r>
    </w:p>
    <w:p>
      <w:r>
        <w:rPr>
          <w:b/>
        </w:rPr>
        <w:t xml:space="preserve">Ticaret ve İmalat Yapısı: </w:t>
      </w:r>
      <w:r>
        <w:t>Çin'in ileri imalat, temiz enerji ve ihracat çeşitlendirmesine yönelmesi, emtia ve sermaye malı talebini dönüştürmekte; teknoloji ve elektrikli araçlarda rekabeti yoğunlaştırmaktadır. UNIDO verilerine göre küresel imalat 2024'te %2,9 büyümüş, orta-yüksek teknolojili sanayiler yükselmeye devam etmektedir (UNIDO, 2025).</w:t>
      </w:r>
    </w:p>
    <w:p>
      <w:r>
        <w:rPr>
          <w:b/>
        </w:rPr>
        <w:t xml:space="preserve">Sanayi Politikası Yeniden Yükselişi: </w:t>
      </w:r>
      <w:r>
        <w:t>Ülkeler giderek daha fazla stratejik sektörleri ve firmaları desteklemek için sanayi politikası araçlarına başvurmaktadır. Motivasyonlar arasında verimliliği artırma, ithalata bağımlılığı azaltma ve dayanıklılığı güçlendirme yer almaktadır (IMF, 2025a).</w:t>
      </w:r>
    </w:p>
    <w:p>
      <w:r>
        <w:rPr>
          <w:b/>
        </w:rPr>
        <w:t xml:space="preserve">İşgücü Piyasası Dönüşümü: </w:t>
      </w:r>
      <w:r>
        <w:t>ILO'ya göre küresel istihdam büyümesi 2025'te yalnızca %1,5 olarak tahmin edilmektedir. İmalat istihdamında uzun süreli bir durgunluk yaşanmakta, yapısal dönüşüm yüksek katma değerli hizmetlere doğru yavaşlamaktadır. Beceri uyumsuzlukları verimlilik kazanımlarını kısıtlamaktadır (ILO, 2025).</w:t>
      </w:r>
    </w:p>
    <w:p>
      <w:pPr>
        <w:pStyle w:val="Heading2"/>
      </w:pPr>
      <w:r>
        <w:t>3.3. İşgücü Piyasası Küresel Eğilimler</w:t>
      </w:r>
    </w:p>
    <w:p>
      <w:r>
        <w:rPr>
          <w:b w:val="0"/>
          <w:i w:val="0"/>
        </w:rPr>
        <w:t>ILO'nun Dünya İstihdam ve Sosyal Görünüm 2025 raporuna göre, 2024'te küresel istihdam işgücü ile orantılı büyümüş ve işsizlik oranı %5 düzeyinde sabit kalmıştır. Ancak genç işsizliği %12,6 ile yüksek seyretmekte, kayıt dışı çalışma ve çalışan yoksulluğu pandemi öncesi seviyelerine dönmüştür. Düşük gelirli ülkeler en büyük zorluklarla karşı karşıyadır (ILO, 2025).</w:t>
      </w:r>
    </w:p>
    <w:p>
      <w:r>
        <w:rPr>
          <w:b w:val="0"/>
          <w:i w:val="0"/>
        </w:rPr>
        <w:t>OECD ülkelerinde işgücü verimliliği büyümesi 2024'te ortalama %0,4 ile zayıf kalmıştır. Son on yılda verimlilik artışı yavaşlamış, yüksek ve düşük gelirli ülkeler arasındaki uçurum genişlemiştir. Otomasyon ve dijitalleşme belirli sektörlerde verimliliği artırırken, benimseme endüstriler ve bölgeler arasında eşitsiz kalmaktadır (OECD, 2025b).</w:t>
      </w:r>
    </w:p>
    <w:p>
      <w:r>
        <w:br w:type="page"/>
      </w:r>
    </w:p>
    <w:p>
      <w:pPr>
        <w:pStyle w:val="Heading1"/>
      </w:pPr>
      <w:r>
        <w:t>4. TÜRKİYE EKONOMİSİ: SEKTÖREL YAPI ANALİZİ</w:t>
      </w:r>
    </w:p>
    <w:p>
      <w:pPr>
        <w:pStyle w:val="Heading2"/>
      </w:pPr>
      <w:r>
        <w:t>4.1. Gayrisafi Katma Değer ve İşgücü Maliyeti</w:t>
      </w:r>
    </w:p>
    <w:p>
      <w:r>
        <w:rPr>
          <w:b w:val="0"/>
          <w:i w:val="0"/>
        </w:rPr>
        <w:t>TÜİK verilerine göre 2024 yılında gelir yöntemiyle hesaplanan gayrisafi katma değer (cari fiyatlarla) 39,613.6 milyar TL, işgücüne yapılan ödemeler ise 14,670.7 milyar TL olarak gerçekleşmiştir. İşgücü maliyet oranı (işgücü ödemeleri/GKD) ekonomi genelinde %37.0'dir.</w:t>
      </w:r>
    </w:p>
    <w:p>
      <w:pPr>
        <w:ind w:firstLine="0"/>
      </w:pPr>
      <w:r>
        <w:rPr>
          <w:b/>
          <w:i w:val="0"/>
        </w:rPr>
        <w:t>Tablo 2. Sektörel Gayrisafi Katma Değer ve İşgücü Maliyeti (2024)</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sz w:val="18"/>
              </w:rPr>
              <w:t>Sektör</w:t>
            </w:r>
          </w:p>
        </w:tc>
        <w:tc>
          <w:tcPr>
            <w:tcW w:type="dxa" w:w="1520"/>
          </w:tcPr>
          <w:p>
            <w:pPr>
              <w:jc w:val="center"/>
            </w:pPr>
            <w:r>
              <w:rPr>
                <w:b/>
                <w:sz w:val="18"/>
              </w:rPr>
              <w:t>GKD</w:t>
              <w:br/>
              <w:t>(Myr TL)</w:t>
            </w:r>
          </w:p>
        </w:tc>
        <w:tc>
          <w:tcPr>
            <w:tcW w:type="dxa" w:w="1520"/>
          </w:tcPr>
          <w:p>
            <w:pPr>
              <w:jc w:val="center"/>
            </w:pPr>
            <w:r>
              <w:rPr>
                <w:b/>
                <w:sz w:val="18"/>
              </w:rPr>
              <w:t>İşgücü</w:t>
              <w:br/>
              <w:t>(Myr TL)</w:t>
            </w:r>
          </w:p>
        </w:tc>
        <w:tc>
          <w:tcPr>
            <w:tcW w:type="dxa" w:w="1520"/>
          </w:tcPr>
          <w:p>
            <w:pPr>
              <w:jc w:val="center"/>
            </w:pPr>
            <w:r>
              <w:rPr>
                <w:b/>
                <w:sz w:val="18"/>
              </w:rPr>
              <w:t>Maliyet</w:t>
              <w:br/>
              <w:t>Oranı(%)</w:t>
            </w:r>
          </w:p>
        </w:tc>
        <w:tc>
          <w:tcPr>
            <w:tcW w:type="dxa" w:w="1520"/>
          </w:tcPr>
          <w:p>
            <w:pPr>
              <w:jc w:val="center"/>
            </w:pPr>
            <w:r>
              <w:rPr>
                <w:b/>
                <w:sz w:val="18"/>
              </w:rPr>
              <w:t>İstihdam</w:t>
            </w:r>
          </w:p>
        </w:tc>
        <w:tc>
          <w:tcPr>
            <w:tcW w:type="dxa" w:w="1520"/>
          </w:tcPr>
          <w:p>
            <w:pPr>
              <w:jc w:val="center"/>
            </w:pPr>
            <w:r>
              <w:rPr>
                <w:b/>
                <w:sz w:val="18"/>
              </w:rPr>
              <w:t>Kadran</w:t>
            </w:r>
          </w:p>
        </w:tc>
      </w:tr>
      <w:tr>
        <w:tc>
          <w:tcPr>
            <w:tcW w:type="dxa" w:w="1520"/>
          </w:tcPr>
          <w:p>
            <w:pPr>
              <w:jc w:val="left"/>
            </w:pPr>
            <w:r>
              <w:rPr>
                <w:sz w:val="18"/>
              </w:rPr>
              <w:t>İmalat Sanayi</w:t>
            </w:r>
          </w:p>
        </w:tc>
        <w:tc>
          <w:tcPr>
            <w:tcW w:type="dxa" w:w="1520"/>
          </w:tcPr>
          <w:p>
            <w:pPr>
              <w:jc w:val="center"/>
            </w:pPr>
            <w:r>
              <w:rPr>
                <w:sz w:val="18"/>
              </w:rPr>
              <w:t>7,509.6</w:t>
            </w:r>
          </w:p>
        </w:tc>
        <w:tc>
          <w:tcPr>
            <w:tcW w:type="dxa" w:w="1520"/>
          </w:tcPr>
          <w:p>
            <w:pPr>
              <w:jc w:val="center"/>
            </w:pPr>
            <w:r>
              <w:rPr>
                <w:sz w:val="18"/>
              </w:rPr>
              <w:t>3,275.9</w:t>
            </w:r>
          </w:p>
        </w:tc>
        <w:tc>
          <w:tcPr>
            <w:tcW w:type="dxa" w:w="1520"/>
          </w:tcPr>
          <w:p>
            <w:pPr>
              <w:jc w:val="center"/>
            </w:pPr>
            <w:r>
              <w:rPr>
                <w:sz w:val="18"/>
              </w:rPr>
              <w:t>43.6</w:t>
            </w:r>
          </w:p>
        </w:tc>
        <w:tc>
          <w:tcPr>
            <w:tcW w:type="dxa" w:w="1520"/>
          </w:tcPr>
          <w:p>
            <w:pPr>
              <w:jc w:val="center"/>
            </w:pPr>
            <w:r>
              <w:rPr>
                <w:sz w:val="18"/>
              </w:rPr>
              <w:t>4,153,573</w:t>
            </w:r>
          </w:p>
        </w:tc>
        <w:tc>
          <w:tcPr>
            <w:tcW w:type="dxa" w:w="1520"/>
          </w:tcPr>
          <w:p>
            <w:pPr>
              <w:jc w:val="center"/>
            </w:pPr>
            <w:r>
              <w:rPr>
                <w:sz w:val="18"/>
              </w:rPr>
              <w:t>K1</w:t>
            </w:r>
          </w:p>
        </w:tc>
      </w:tr>
      <w:tr>
        <w:tc>
          <w:tcPr>
            <w:tcW w:type="dxa" w:w="1520"/>
          </w:tcPr>
          <w:p>
            <w:pPr>
              <w:jc w:val="left"/>
            </w:pPr>
            <w:r>
              <w:rPr>
                <w:sz w:val="18"/>
              </w:rPr>
              <w:t>Toptan ve Perakende Ticaret</w:t>
            </w:r>
          </w:p>
        </w:tc>
        <w:tc>
          <w:tcPr>
            <w:tcW w:type="dxa" w:w="1520"/>
          </w:tcPr>
          <w:p>
            <w:pPr>
              <w:jc w:val="center"/>
            </w:pPr>
            <w:r>
              <w:rPr>
                <w:sz w:val="18"/>
              </w:rPr>
              <w:t>5,785.6</w:t>
            </w:r>
          </w:p>
        </w:tc>
        <w:tc>
          <w:tcPr>
            <w:tcW w:type="dxa" w:w="1520"/>
          </w:tcPr>
          <w:p>
            <w:pPr>
              <w:jc w:val="center"/>
            </w:pPr>
            <w:r>
              <w:rPr>
                <w:sz w:val="18"/>
              </w:rPr>
              <w:t>1,967.7</w:t>
            </w:r>
          </w:p>
        </w:tc>
        <w:tc>
          <w:tcPr>
            <w:tcW w:type="dxa" w:w="1520"/>
          </w:tcPr>
          <w:p>
            <w:pPr>
              <w:jc w:val="center"/>
            </w:pPr>
            <w:r>
              <w:rPr>
                <w:sz w:val="18"/>
              </w:rPr>
              <w:t>34.0</w:t>
            </w:r>
          </w:p>
        </w:tc>
        <w:tc>
          <w:tcPr>
            <w:tcW w:type="dxa" w:w="1520"/>
          </w:tcPr>
          <w:p>
            <w:pPr>
              <w:jc w:val="center"/>
            </w:pPr>
            <w:r>
              <w:rPr>
                <w:sz w:val="18"/>
              </w:rPr>
              <w:t>2,582,321</w:t>
            </w:r>
          </w:p>
        </w:tc>
        <w:tc>
          <w:tcPr>
            <w:tcW w:type="dxa" w:w="1520"/>
          </w:tcPr>
          <w:p>
            <w:pPr>
              <w:jc w:val="center"/>
            </w:pPr>
            <w:r>
              <w:rPr>
                <w:sz w:val="18"/>
              </w:rPr>
              <w:t>K2</w:t>
            </w:r>
          </w:p>
        </w:tc>
      </w:tr>
      <w:tr>
        <w:tc>
          <w:tcPr>
            <w:tcW w:type="dxa" w:w="1520"/>
          </w:tcPr>
          <w:p>
            <w:pPr>
              <w:jc w:val="left"/>
            </w:pPr>
            <w:r>
              <w:rPr>
                <w:sz w:val="18"/>
              </w:rPr>
              <w:t>İnşaat</w:t>
            </w:r>
          </w:p>
        </w:tc>
        <w:tc>
          <w:tcPr>
            <w:tcW w:type="dxa" w:w="1520"/>
          </w:tcPr>
          <w:p>
            <w:pPr>
              <w:jc w:val="center"/>
            </w:pPr>
            <w:r>
              <w:rPr>
                <w:sz w:val="18"/>
              </w:rPr>
              <w:t>2,595.7</w:t>
            </w:r>
          </w:p>
        </w:tc>
        <w:tc>
          <w:tcPr>
            <w:tcW w:type="dxa" w:w="1520"/>
          </w:tcPr>
          <w:p>
            <w:pPr>
              <w:jc w:val="center"/>
            </w:pPr>
            <w:r>
              <w:rPr>
                <w:sz w:val="18"/>
              </w:rPr>
              <w:t>924.8</w:t>
            </w:r>
          </w:p>
        </w:tc>
        <w:tc>
          <w:tcPr>
            <w:tcW w:type="dxa" w:w="1520"/>
          </w:tcPr>
          <w:p>
            <w:pPr>
              <w:jc w:val="center"/>
            </w:pPr>
            <w:r>
              <w:rPr>
                <w:sz w:val="18"/>
              </w:rPr>
              <w:t>35.6</w:t>
            </w:r>
          </w:p>
        </w:tc>
        <w:tc>
          <w:tcPr>
            <w:tcW w:type="dxa" w:w="1520"/>
          </w:tcPr>
          <w:p>
            <w:pPr>
              <w:jc w:val="center"/>
            </w:pPr>
            <w:r>
              <w:rPr>
                <w:sz w:val="18"/>
              </w:rPr>
              <w:t>1,991,728</w:t>
            </w:r>
          </w:p>
        </w:tc>
        <w:tc>
          <w:tcPr>
            <w:tcW w:type="dxa" w:w="1520"/>
          </w:tcPr>
          <w:p>
            <w:pPr>
              <w:jc w:val="center"/>
            </w:pPr>
            <w:r>
              <w:rPr>
                <w:sz w:val="18"/>
              </w:rPr>
              <w:t>K1</w:t>
            </w:r>
          </w:p>
        </w:tc>
      </w:tr>
      <w:tr>
        <w:tc>
          <w:tcPr>
            <w:tcW w:type="dxa" w:w="1520"/>
          </w:tcPr>
          <w:p>
            <w:pPr>
              <w:jc w:val="left"/>
            </w:pPr>
            <w:r>
              <w:rPr>
                <w:sz w:val="18"/>
              </w:rPr>
              <w:t>İdari ve Destek Hizmet Faaliyetleri</w:t>
            </w:r>
          </w:p>
        </w:tc>
        <w:tc>
          <w:tcPr>
            <w:tcW w:type="dxa" w:w="1520"/>
          </w:tcPr>
          <w:p>
            <w:pPr>
              <w:jc w:val="center"/>
            </w:pPr>
            <w:r>
              <w:rPr>
                <w:sz w:val="18"/>
              </w:rPr>
              <w:t>1,444.3</w:t>
            </w:r>
          </w:p>
        </w:tc>
        <w:tc>
          <w:tcPr>
            <w:tcW w:type="dxa" w:w="1520"/>
          </w:tcPr>
          <w:p>
            <w:pPr>
              <w:jc w:val="center"/>
            </w:pPr>
            <w:r>
              <w:rPr>
                <w:sz w:val="18"/>
              </w:rPr>
              <w:t>874.0</w:t>
            </w:r>
          </w:p>
        </w:tc>
        <w:tc>
          <w:tcPr>
            <w:tcW w:type="dxa" w:w="1520"/>
          </w:tcPr>
          <w:p>
            <w:pPr>
              <w:jc w:val="center"/>
            </w:pPr>
            <w:r>
              <w:rPr>
                <w:sz w:val="18"/>
              </w:rPr>
              <w:t>60.5</w:t>
            </w:r>
          </w:p>
        </w:tc>
        <w:tc>
          <w:tcPr>
            <w:tcW w:type="dxa" w:w="1520"/>
          </w:tcPr>
          <w:p>
            <w:pPr>
              <w:jc w:val="center"/>
            </w:pPr>
            <w:r>
              <w:rPr>
                <w:sz w:val="18"/>
              </w:rPr>
              <w:t>1,427,242</w:t>
            </w:r>
          </w:p>
        </w:tc>
        <w:tc>
          <w:tcPr>
            <w:tcW w:type="dxa" w:w="1520"/>
          </w:tcPr>
          <w:p>
            <w:pPr>
              <w:jc w:val="center"/>
            </w:pPr>
            <w:r>
              <w:rPr>
                <w:sz w:val="18"/>
              </w:rPr>
              <w:t>K1</w:t>
            </w:r>
          </w:p>
        </w:tc>
      </w:tr>
      <w:tr>
        <w:tc>
          <w:tcPr>
            <w:tcW w:type="dxa" w:w="1520"/>
          </w:tcPr>
          <w:p>
            <w:pPr>
              <w:jc w:val="left"/>
            </w:pPr>
            <w:r>
              <w:rPr>
                <w:sz w:val="18"/>
              </w:rPr>
              <w:t>Konaklama ve Yiyecek Hizmeti</w:t>
            </w:r>
          </w:p>
        </w:tc>
        <w:tc>
          <w:tcPr>
            <w:tcW w:type="dxa" w:w="1520"/>
          </w:tcPr>
          <w:p>
            <w:pPr>
              <w:jc w:val="center"/>
            </w:pPr>
            <w:r>
              <w:rPr>
                <w:sz w:val="18"/>
              </w:rPr>
              <w:t>1,653.6</w:t>
            </w:r>
          </w:p>
        </w:tc>
        <w:tc>
          <w:tcPr>
            <w:tcW w:type="dxa" w:w="1520"/>
          </w:tcPr>
          <w:p>
            <w:pPr>
              <w:jc w:val="center"/>
            </w:pPr>
            <w:r>
              <w:rPr>
                <w:sz w:val="18"/>
              </w:rPr>
              <w:t>663.0</w:t>
            </w:r>
          </w:p>
        </w:tc>
        <w:tc>
          <w:tcPr>
            <w:tcW w:type="dxa" w:w="1520"/>
          </w:tcPr>
          <w:p>
            <w:pPr>
              <w:jc w:val="center"/>
            </w:pPr>
            <w:r>
              <w:rPr>
                <w:sz w:val="18"/>
              </w:rPr>
              <w:t>40.1</w:t>
            </w:r>
          </w:p>
        </w:tc>
        <w:tc>
          <w:tcPr>
            <w:tcW w:type="dxa" w:w="1520"/>
          </w:tcPr>
          <w:p>
            <w:pPr>
              <w:jc w:val="center"/>
            </w:pPr>
            <w:r>
              <w:rPr>
                <w:sz w:val="18"/>
              </w:rPr>
              <w:t>1,171,046</w:t>
            </w:r>
          </w:p>
        </w:tc>
        <w:tc>
          <w:tcPr>
            <w:tcW w:type="dxa" w:w="1520"/>
          </w:tcPr>
          <w:p>
            <w:pPr>
              <w:jc w:val="center"/>
            </w:pPr>
            <w:r>
              <w:rPr>
                <w:sz w:val="18"/>
              </w:rPr>
              <w:t>K1</w:t>
            </w:r>
          </w:p>
        </w:tc>
      </w:tr>
      <w:tr>
        <w:tc>
          <w:tcPr>
            <w:tcW w:type="dxa" w:w="1520"/>
          </w:tcPr>
          <w:p>
            <w:pPr>
              <w:jc w:val="left"/>
            </w:pPr>
            <w:r>
              <w:rPr>
                <w:sz w:val="18"/>
              </w:rPr>
              <w:t>Ulaştırma, Depolama</w:t>
            </w:r>
          </w:p>
        </w:tc>
        <w:tc>
          <w:tcPr>
            <w:tcW w:type="dxa" w:w="1520"/>
          </w:tcPr>
          <w:p>
            <w:pPr>
              <w:jc w:val="center"/>
            </w:pPr>
            <w:r>
              <w:rPr>
                <w:sz w:val="18"/>
              </w:rPr>
              <w:t>3,656.6</w:t>
            </w:r>
          </w:p>
        </w:tc>
        <w:tc>
          <w:tcPr>
            <w:tcW w:type="dxa" w:w="1520"/>
          </w:tcPr>
          <w:p>
            <w:pPr>
              <w:jc w:val="center"/>
            </w:pPr>
            <w:r>
              <w:rPr>
                <w:sz w:val="18"/>
              </w:rPr>
              <w:t>752.0</w:t>
            </w:r>
          </w:p>
        </w:tc>
        <w:tc>
          <w:tcPr>
            <w:tcW w:type="dxa" w:w="1520"/>
          </w:tcPr>
          <w:p>
            <w:pPr>
              <w:jc w:val="center"/>
            </w:pPr>
            <w:r>
              <w:rPr>
                <w:sz w:val="18"/>
              </w:rPr>
              <w:t>20.6</w:t>
            </w:r>
          </w:p>
        </w:tc>
        <w:tc>
          <w:tcPr>
            <w:tcW w:type="dxa" w:w="1520"/>
          </w:tcPr>
          <w:p>
            <w:pPr>
              <w:jc w:val="center"/>
            </w:pPr>
            <w:r>
              <w:rPr>
                <w:sz w:val="18"/>
              </w:rPr>
              <w:t>1,094,810</w:t>
            </w:r>
          </w:p>
        </w:tc>
        <w:tc>
          <w:tcPr>
            <w:tcW w:type="dxa" w:w="1520"/>
          </w:tcPr>
          <w:p>
            <w:pPr>
              <w:jc w:val="center"/>
            </w:pPr>
            <w:r>
              <w:rPr>
                <w:sz w:val="18"/>
              </w:rPr>
              <w:t>K2</w:t>
            </w:r>
          </w:p>
        </w:tc>
      </w:tr>
      <w:tr>
        <w:tc>
          <w:tcPr>
            <w:tcW w:type="dxa" w:w="1520"/>
          </w:tcPr>
          <w:p>
            <w:pPr>
              <w:jc w:val="left"/>
            </w:pPr>
            <w:r>
              <w:rPr>
                <w:sz w:val="18"/>
              </w:rPr>
              <w:t>İnsan Sağlığı ve Sosyal Hizmet</w:t>
            </w:r>
          </w:p>
        </w:tc>
        <w:tc>
          <w:tcPr>
            <w:tcW w:type="dxa" w:w="1520"/>
          </w:tcPr>
          <w:p>
            <w:pPr>
              <w:jc w:val="center"/>
            </w:pPr>
            <w:r>
              <w:rPr>
                <w:sz w:val="18"/>
              </w:rPr>
              <w:t>1,431.2</w:t>
            </w:r>
          </w:p>
        </w:tc>
        <w:tc>
          <w:tcPr>
            <w:tcW w:type="dxa" w:w="1520"/>
          </w:tcPr>
          <w:p>
            <w:pPr>
              <w:jc w:val="center"/>
            </w:pPr>
            <w:r>
              <w:rPr>
                <w:sz w:val="18"/>
              </w:rPr>
              <w:t>1,029.8</w:t>
            </w:r>
          </w:p>
        </w:tc>
        <w:tc>
          <w:tcPr>
            <w:tcW w:type="dxa" w:w="1520"/>
          </w:tcPr>
          <w:p>
            <w:pPr>
              <w:jc w:val="center"/>
            </w:pPr>
            <w:r>
              <w:rPr>
                <w:sz w:val="18"/>
              </w:rPr>
              <w:t>72.0</w:t>
            </w:r>
          </w:p>
        </w:tc>
        <w:tc>
          <w:tcPr>
            <w:tcW w:type="dxa" w:w="1520"/>
          </w:tcPr>
          <w:p>
            <w:pPr>
              <w:jc w:val="center"/>
            </w:pPr>
            <w:r>
              <w:rPr>
                <w:sz w:val="18"/>
              </w:rPr>
              <w:t>984,306</w:t>
            </w:r>
          </w:p>
        </w:tc>
        <w:tc>
          <w:tcPr>
            <w:tcW w:type="dxa" w:w="1520"/>
          </w:tcPr>
          <w:p>
            <w:pPr>
              <w:jc w:val="center"/>
            </w:pPr>
            <w:r>
              <w:rPr>
                <w:sz w:val="18"/>
              </w:rPr>
              <w:t>K1</w:t>
            </w:r>
          </w:p>
        </w:tc>
      </w:tr>
      <w:tr>
        <w:tc>
          <w:tcPr>
            <w:tcW w:type="dxa" w:w="1520"/>
          </w:tcPr>
          <w:p>
            <w:pPr>
              <w:jc w:val="left"/>
            </w:pPr>
            <w:r>
              <w:rPr>
                <w:sz w:val="18"/>
              </w:rPr>
              <w:t>Mesleki, Bilimsel ve Teknik Faal.</w:t>
            </w:r>
          </w:p>
        </w:tc>
        <w:tc>
          <w:tcPr>
            <w:tcW w:type="dxa" w:w="1520"/>
          </w:tcPr>
          <w:p>
            <w:pPr>
              <w:jc w:val="center"/>
            </w:pPr>
            <w:r>
              <w:rPr>
                <w:sz w:val="18"/>
              </w:rPr>
              <w:t>951.3</w:t>
            </w:r>
          </w:p>
        </w:tc>
        <w:tc>
          <w:tcPr>
            <w:tcW w:type="dxa" w:w="1520"/>
          </w:tcPr>
          <w:p>
            <w:pPr>
              <w:jc w:val="center"/>
            </w:pPr>
            <w:r>
              <w:rPr>
                <w:sz w:val="18"/>
              </w:rPr>
              <w:t>396.0</w:t>
            </w:r>
          </w:p>
        </w:tc>
        <w:tc>
          <w:tcPr>
            <w:tcW w:type="dxa" w:w="1520"/>
          </w:tcPr>
          <w:p>
            <w:pPr>
              <w:jc w:val="center"/>
            </w:pPr>
            <w:r>
              <w:rPr>
                <w:sz w:val="18"/>
              </w:rPr>
              <w:t>41.6</w:t>
            </w:r>
          </w:p>
        </w:tc>
        <w:tc>
          <w:tcPr>
            <w:tcW w:type="dxa" w:w="1520"/>
          </w:tcPr>
          <w:p>
            <w:pPr>
              <w:jc w:val="center"/>
            </w:pPr>
            <w:r>
              <w:rPr>
                <w:sz w:val="18"/>
              </w:rPr>
              <w:t>677,893</w:t>
            </w:r>
          </w:p>
        </w:tc>
        <w:tc>
          <w:tcPr>
            <w:tcW w:type="dxa" w:w="1520"/>
          </w:tcPr>
          <w:p>
            <w:pPr>
              <w:jc w:val="center"/>
            </w:pPr>
            <w:r>
              <w:rPr>
                <w:sz w:val="18"/>
              </w:rPr>
              <w:t>K1</w:t>
            </w:r>
          </w:p>
        </w:tc>
      </w:tr>
      <w:tr>
        <w:tc>
          <w:tcPr>
            <w:tcW w:type="dxa" w:w="1520"/>
          </w:tcPr>
          <w:p>
            <w:pPr>
              <w:jc w:val="left"/>
            </w:pPr>
            <w:r>
              <w:rPr>
                <w:sz w:val="18"/>
              </w:rPr>
              <w:t>Eğitim</w:t>
            </w:r>
          </w:p>
        </w:tc>
        <w:tc>
          <w:tcPr>
            <w:tcW w:type="dxa" w:w="1520"/>
          </w:tcPr>
          <w:p>
            <w:pPr>
              <w:jc w:val="center"/>
            </w:pPr>
            <w:r>
              <w:rPr>
                <w:sz w:val="18"/>
              </w:rPr>
              <w:t>1,655.0</w:t>
            </w:r>
          </w:p>
        </w:tc>
        <w:tc>
          <w:tcPr>
            <w:tcW w:type="dxa" w:w="1520"/>
          </w:tcPr>
          <w:p>
            <w:pPr>
              <w:jc w:val="center"/>
            </w:pPr>
            <w:r>
              <w:rPr>
                <w:sz w:val="18"/>
              </w:rPr>
              <w:t>1,246.7</w:t>
            </w:r>
          </w:p>
        </w:tc>
        <w:tc>
          <w:tcPr>
            <w:tcW w:type="dxa" w:w="1520"/>
          </w:tcPr>
          <w:p>
            <w:pPr>
              <w:jc w:val="center"/>
            </w:pPr>
            <w:r>
              <w:rPr>
                <w:sz w:val="18"/>
              </w:rPr>
              <w:t>75.3</w:t>
            </w:r>
          </w:p>
        </w:tc>
        <w:tc>
          <w:tcPr>
            <w:tcW w:type="dxa" w:w="1520"/>
          </w:tcPr>
          <w:p>
            <w:pPr>
              <w:jc w:val="center"/>
            </w:pPr>
            <w:r>
              <w:rPr>
                <w:sz w:val="18"/>
              </w:rPr>
              <w:t>654,354</w:t>
            </w:r>
          </w:p>
        </w:tc>
        <w:tc>
          <w:tcPr>
            <w:tcW w:type="dxa" w:w="1520"/>
          </w:tcPr>
          <w:p>
            <w:pPr>
              <w:jc w:val="center"/>
            </w:pPr>
            <w:r>
              <w:rPr>
                <w:sz w:val="18"/>
              </w:rPr>
              <w:t>K1</w:t>
            </w:r>
          </w:p>
        </w:tc>
      </w:tr>
      <w:tr>
        <w:tc>
          <w:tcPr>
            <w:tcW w:type="dxa" w:w="1520"/>
          </w:tcPr>
          <w:p>
            <w:pPr>
              <w:jc w:val="left"/>
            </w:pPr>
            <w:r>
              <w:rPr>
                <w:sz w:val="18"/>
              </w:rPr>
              <w:t>Kamu Yönetimi ve Savunma</w:t>
            </w:r>
          </w:p>
        </w:tc>
        <w:tc>
          <w:tcPr>
            <w:tcW w:type="dxa" w:w="1520"/>
          </w:tcPr>
          <w:p>
            <w:pPr>
              <w:jc w:val="center"/>
            </w:pPr>
            <w:r>
              <w:rPr>
                <w:sz w:val="18"/>
              </w:rPr>
              <w:t>2,089.6</w:t>
            </w:r>
          </w:p>
        </w:tc>
        <w:tc>
          <w:tcPr>
            <w:tcW w:type="dxa" w:w="1520"/>
          </w:tcPr>
          <w:p>
            <w:pPr>
              <w:jc w:val="center"/>
            </w:pPr>
            <w:r>
              <w:rPr>
                <w:sz w:val="18"/>
              </w:rPr>
              <w:t>1,693.2</w:t>
            </w:r>
          </w:p>
        </w:tc>
        <w:tc>
          <w:tcPr>
            <w:tcW w:type="dxa" w:w="1520"/>
          </w:tcPr>
          <w:p>
            <w:pPr>
              <w:jc w:val="center"/>
            </w:pPr>
            <w:r>
              <w:rPr>
                <w:sz w:val="18"/>
              </w:rPr>
              <w:t>81.0</w:t>
            </w:r>
          </w:p>
        </w:tc>
        <w:tc>
          <w:tcPr>
            <w:tcW w:type="dxa" w:w="1520"/>
          </w:tcPr>
          <w:p>
            <w:pPr>
              <w:jc w:val="center"/>
            </w:pPr>
            <w:r>
              <w:rPr>
                <w:sz w:val="18"/>
              </w:rPr>
              <w:t>287,877</w:t>
            </w:r>
          </w:p>
        </w:tc>
        <w:tc>
          <w:tcPr>
            <w:tcW w:type="dxa" w:w="1520"/>
          </w:tcPr>
          <w:p>
            <w:pPr>
              <w:jc w:val="center"/>
            </w:pPr>
            <w:r>
              <w:rPr>
                <w:sz w:val="18"/>
              </w:rPr>
              <w:t>K1</w:t>
            </w:r>
          </w:p>
        </w:tc>
      </w:tr>
      <w:tr>
        <w:tc>
          <w:tcPr>
            <w:tcW w:type="dxa" w:w="1520"/>
          </w:tcPr>
          <w:p>
            <w:pPr>
              <w:jc w:val="left"/>
            </w:pPr>
            <w:r>
              <w:rPr>
                <w:sz w:val="18"/>
              </w:rPr>
              <w:t>Bilgi ve İletişim</w:t>
            </w:r>
          </w:p>
        </w:tc>
        <w:tc>
          <w:tcPr>
            <w:tcW w:type="dxa" w:w="1520"/>
          </w:tcPr>
          <w:p>
            <w:pPr>
              <w:jc w:val="center"/>
            </w:pPr>
            <w:r>
              <w:rPr>
                <w:sz w:val="18"/>
              </w:rPr>
              <w:t>1,111.3</w:t>
            </w:r>
          </w:p>
        </w:tc>
        <w:tc>
          <w:tcPr>
            <w:tcW w:type="dxa" w:w="1520"/>
          </w:tcPr>
          <w:p>
            <w:pPr>
              <w:jc w:val="center"/>
            </w:pPr>
            <w:r>
              <w:rPr>
                <w:sz w:val="18"/>
              </w:rPr>
              <w:t>391.2</w:t>
            </w:r>
          </w:p>
        </w:tc>
        <w:tc>
          <w:tcPr>
            <w:tcW w:type="dxa" w:w="1520"/>
          </w:tcPr>
          <w:p>
            <w:pPr>
              <w:jc w:val="center"/>
            </w:pPr>
            <w:r>
              <w:rPr>
                <w:sz w:val="18"/>
              </w:rPr>
              <w:t>35.2</w:t>
            </w:r>
          </w:p>
        </w:tc>
        <w:tc>
          <w:tcPr>
            <w:tcW w:type="dxa" w:w="1520"/>
          </w:tcPr>
          <w:p>
            <w:pPr>
              <w:jc w:val="center"/>
            </w:pPr>
            <w:r>
              <w:rPr>
                <w:sz w:val="18"/>
              </w:rPr>
              <w:t>285,500</w:t>
            </w:r>
          </w:p>
        </w:tc>
        <w:tc>
          <w:tcPr>
            <w:tcW w:type="dxa" w:w="1520"/>
          </w:tcPr>
          <w:p>
            <w:pPr>
              <w:jc w:val="center"/>
            </w:pPr>
            <w:r>
              <w:rPr>
                <w:sz w:val="18"/>
              </w:rPr>
              <w:t>K4</w:t>
            </w:r>
          </w:p>
        </w:tc>
      </w:tr>
      <w:tr>
        <w:tc>
          <w:tcPr>
            <w:tcW w:type="dxa" w:w="1520"/>
          </w:tcPr>
          <w:p>
            <w:pPr>
              <w:jc w:val="left"/>
            </w:pPr>
            <w:r>
              <w:rPr>
                <w:sz w:val="18"/>
              </w:rPr>
              <w:t>Diğer Hizmet Faaliyetleri</w:t>
            </w:r>
          </w:p>
        </w:tc>
        <w:tc>
          <w:tcPr>
            <w:tcW w:type="dxa" w:w="1520"/>
          </w:tcPr>
          <w:p>
            <w:pPr>
              <w:jc w:val="center"/>
            </w:pPr>
            <w:r>
              <w:rPr>
                <w:sz w:val="18"/>
              </w:rPr>
              <w:t>343.3</w:t>
            </w:r>
          </w:p>
        </w:tc>
        <w:tc>
          <w:tcPr>
            <w:tcW w:type="dxa" w:w="1520"/>
          </w:tcPr>
          <w:p>
            <w:pPr>
              <w:jc w:val="center"/>
            </w:pPr>
            <w:r>
              <w:rPr>
                <w:sz w:val="18"/>
              </w:rPr>
              <w:t>209.9</w:t>
            </w:r>
          </w:p>
        </w:tc>
        <w:tc>
          <w:tcPr>
            <w:tcW w:type="dxa" w:w="1520"/>
          </w:tcPr>
          <w:p>
            <w:pPr>
              <w:jc w:val="center"/>
            </w:pPr>
            <w:r>
              <w:rPr>
                <w:sz w:val="18"/>
              </w:rPr>
              <w:t>61.1</w:t>
            </w:r>
          </w:p>
        </w:tc>
        <w:tc>
          <w:tcPr>
            <w:tcW w:type="dxa" w:w="1520"/>
          </w:tcPr>
          <w:p>
            <w:pPr>
              <w:jc w:val="center"/>
            </w:pPr>
            <w:r>
              <w:rPr>
                <w:sz w:val="18"/>
              </w:rPr>
              <w:t>236,307</w:t>
            </w:r>
          </w:p>
        </w:tc>
        <w:tc>
          <w:tcPr>
            <w:tcW w:type="dxa" w:w="1520"/>
          </w:tcPr>
          <w:p>
            <w:pPr>
              <w:jc w:val="center"/>
            </w:pPr>
            <w:r>
              <w:rPr>
                <w:sz w:val="18"/>
              </w:rPr>
              <w:t>K3</w:t>
            </w:r>
          </w:p>
        </w:tc>
      </w:tr>
      <w:tr>
        <w:tc>
          <w:tcPr>
            <w:tcW w:type="dxa" w:w="1520"/>
          </w:tcPr>
          <w:p>
            <w:pPr>
              <w:jc w:val="left"/>
            </w:pPr>
            <w:r>
              <w:rPr>
                <w:sz w:val="18"/>
              </w:rPr>
              <w:t>Finans ve Sigorta Faaliyetleri</w:t>
            </w:r>
          </w:p>
        </w:tc>
        <w:tc>
          <w:tcPr>
            <w:tcW w:type="dxa" w:w="1520"/>
          </w:tcPr>
          <w:p>
            <w:pPr>
              <w:jc w:val="center"/>
            </w:pPr>
            <w:r>
              <w:rPr>
                <w:sz w:val="18"/>
              </w:rPr>
              <w:t>1,478.4</w:t>
            </w:r>
          </w:p>
        </w:tc>
        <w:tc>
          <w:tcPr>
            <w:tcW w:type="dxa" w:w="1520"/>
          </w:tcPr>
          <w:p>
            <w:pPr>
              <w:jc w:val="center"/>
            </w:pPr>
            <w:r>
              <w:rPr>
                <w:sz w:val="18"/>
              </w:rPr>
              <w:t>470.3</w:t>
            </w:r>
          </w:p>
        </w:tc>
        <w:tc>
          <w:tcPr>
            <w:tcW w:type="dxa" w:w="1520"/>
          </w:tcPr>
          <w:p>
            <w:pPr>
              <w:jc w:val="center"/>
            </w:pPr>
            <w:r>
              <w:rPr>
                <w:sz w:val="18"/>
              </w:rPr>
              <w:t>31.8</w:t>
            </w:r>
          </w:p>
        </w:tc>
        <w:tc>
          <w:tcPr>
            <w:tcW w:type="dxa" w:w="1520"/>
          </w:tcPr>
          <w:p>
            <w:pPr>
              <w:jc w:val="center"/>
            </w:pPr>
            <w:r>
              <w:rPr>
                <w:sz w:val="18"/>
              </w:rPr>
              <w:t>185,945</w:t>
            </w:r>
          </w:p>
        </w:tc>
        <w:tc>
          <w:tcPr>
            <w:tcW w:type="dxa" w:w="1520"/>
          </w:tcPr>
          <w:p>
            <w:pPr>
              <w:jc w:val="center"/>
            </w:pPr>
            <w:r>
              <w:rPr>
                <w:sz w:val="18"/>
              </w:rPr>
              <w:t>K4</w:t>
            </w:r>
          </w:p>
        </w:tc>
      </w:tr>
      <w:tr>
        <w:tc>
          <w:tcPr>
            <w:tcW w:type="dxa" w:w="1520"/>
          </w:tcPr>
          <w:p>
            <w:pPr>
              <w:jc w:val="left"/>
            </w:pPr>
            <w:r>
              <w:rPr>
                <w:sz w:val="18"/>
              </w:rPr>
              <w:t>Tarım, Ormancılık ve Balıkçılık</w:t>
            </w:r>
          </w:p>
        </w:tc>
        <w:tc>
          <w:tcPr>
            <w:tcW w:type="dxa" w:w="1520"/>
          </w:tcPr>
          <w:p>
            <w:pPr>
              <w:jc w:val="center"/>
            </w:pPr>
            <w:r>
              <w:rPr>
                <w:sz w:val="18"/>
              </w:rPr>
              <w:t>2,595.2</w:t>
            </w:r>
          </w:p>
        </w:tc>
        <w:tc>
          <w:tcPr>
            <w:tcW w:type="dxa" w:w="1520"/>
          </w:tcPr>
          <w:p>
            <w:pPr>
              <w:jc w:val="center"/>
            </w:pPr>
            <w:r>
              <w:rPr>
                <w:sz w:val="18"/>
              </w:rPr>
              <w:t>150.5</w:t>
            </w:r>
          </w:p>
        </w:tc>
        <w:tc>
          <w:tcPr>
            <w:tcW w:type="dxa" w:w="1520"/>
          </w:tcPr>
          <w:p>
            <w:pPr>
              <w:jc w:val="center"/>
            </w:pPr>
            <w:r>
              <w:rPr>
                <w:sz w:val="18"/>
              </w:rPr>
              <w:t>5.8</w:t>
            </w:r>
          </w:p>
        </w:tc>
        <w:tc>
          <w:tcPr>
            <w:tcW w:type="dxa" w:w="1520"/>
          </w:tcPr>
          <w:p>
            <w:pPr>
              <w:jc w:val="center"/>
            </w:pPr>
            <w:r>
              <w:rPr>
                <w:sz w:val="18"/>
              </w:rPr>
              <w:t>163,607</w:t>
            </w:r>
          </w:p>
        </w:tc>
        <w:tc>
          <w:tcPr>
            <w:tcW w:type="dxa" w:w="1520"/>
          </w:tcPr>
          <w:p>
            <w:pPr>
              <w:jc w:val="center"/>
            </w:pPr>
            <w:r>
              <w:rPr>
                <w:sz w:val="18"/>
              </w:rPr>
              <w:t>K4</w:t>
            </w:r>
          </w:p>
        </w:tc>
      </w:tr>
      <w:tr>
        <w:tc>
          <w:tcPr>
            <w:tcW w:type="dxa" w:w="1520"/>
          </w:tcPr>
          <w:p>
            <w:pPr>
              <w:jc w:val="left"/>
            </w:pPr>
            <w:r>
              <w:rPr>
                <w:sz w:val="18"/>
              </w:rPr>
              <w:t>Gayrimenkul Faaliyetleri</w:t>
            </w:r>
          </w:p>
        </w:tc>
        <w:tc>
          <w:tcPr>
            <w:tcW w:type="dxa" w:w="1520"/>
          </w:tcPr>
          <w:p>
            <w:pPr>
              <w:jc w:val="center"/>
            </w:pPr>
            <w:r>
              <w:rPr>
                <w:sz w:val="18"/>
              </w:rPr>
              <w:t>3,404.0</w:t>
            </w:r>
          </w:p>
        </w:tc>
        <w:tc>
          <w:tcPr>
            <w:tcW w:type="dxa" w:w="1520"/>
          </w:tcPr>
          <w:p>
            <w:pPr>
              <w:jc w:val="center"/>
            </w:pPr>
            <w:r>
              <w:rPr>
                <w:sz w:val="18"/>
              </w:rPr>
              <w:t>142.7</w:t>
            </w:r>
          </w:p>
        </w:tc>
        <w:tc>
          <w:tcPr>
            <w:tcW w:type="dxa" w:w="1520"/>
          </w:tcPr>
          <w:p>
            <w:pPr>
              <w:jc w:val="center"/>
            </w:pPr>
            <w:r>
              <w:rPr>
                <w:sz w:val="18"/>
              </w:rPr>
              <w:t>4.2</w:t>
            </w:r>
          </w:p>
        </w:tc>
        <w:tc>
          <w:tcPr>
            <w:tcW w:type="dxa" w:w="1520"/>
          </w:tcPr>
          <w:p>
            <w:pPr>
              <w:jc w:val="center"/>
            </w:pPr>
            <w:r>
              <w:rPr>
                <w:sz w:val="18"/>
              </w:rPr>
              <w:t>155,009</w:t>
            </w:r>
          </w:p>
        </w:tc>
        <w:tc>
          <w:tcPr>
            <w:tcW w:type="dxa" w:w="1520"/>
          </w:tcPr>
          <w:p>
            <w:pPr>
              <w:jc w:val="center"/>
            </w:pPr>
            <w:r>
              <w:rPr>
                <w:sz w:val="18"/>
              </w:rPr>
              <w:t>K4</w:t>
            </w:r>
          </w:p>
        </w:tc>
      </w:tr>
      <w:tr>
        <w:tc>
          <w:tcPr>
            <w:tcW w:type="dxa" w:w="1520"/>
          </w:tcPr>
          <w:p>
            <w:pPr>
              <w:jc w:val="left"/>
            </w:pPr>
            <w:r>
              <w:rPr>
                <w:sz w:val="18"/>
              </w:rPr>
              <w:t>Madencilik ve Taşocakçılığı</w:t>
            </w:r>
          </w:p>
        </w:tc>
        <w:tc>
          <w:tcPr>
            <w:tcW w:type="dxa" w:w="1520"/>
          </w:tcPr>
          <w:p>
            <w:pPr>
              <w:jc w:val="center"/>
            </w:pPr>
            <w:r>
              <w:rPr>
                <w:sz w:val="18"/>
              </w:rPr>
              <w:t>403.4</w:t>
            </w:r>
          </w:p>
        </w:tc>
        <w:tc>
          <w:tcPr>
            <w:tcW w:type="dxa" w:w="1520"/>
          </w:tcPr>
          <w:p>
            <w:pPr>
              <w:jc w:val="center"/>
            </w:pPr>
            <w:r>
              <w:rPr>
                <w:sz w:val="18"/>
              </w:rPr>
              <w:t>136.8</w:t>
            </w:r>
          </w:p>
        </w:tc>
        <w:tc>
          <w:tcPr>
            <w:tcW w:type="dxa" w:w="1520"/>
          </w:tcPr>
          <w:p>
            <w:pPr>
              <w:jc w:val="center"/>
            </w:pPr>
            <w:r>
              <w:rPr>
                <w:sz w:val="18"/>
              </w:rPr>
              <w:t>33.9</w:t>
            </w:r>
          </w:p>
        </w:tc>
        <w:tc>
          <w:tcPr>
            <w:tcW w:type="dxa" w:w="1520"/>
          </w:tcPr>
          <w:p>
            <w:pPr>
              <w:jc w:val="center"/>
            </w:pPr>
            <w:r>
              <w:rPr>
                <w:sz w:val="18"/>
              </w:rPr>
              <w:t>142,445</w:t>
            </w:r>
          </w:p>
        </w:tc>
        <w:tc>
          <w:tcPr>
            <w:tcW w:type="dxa" w:w="1520"/>
          </w:tcPr>
          <w:p>
            <w:pPr>
              <w:jc w:val="center"/>
            </w:pPr>
            <w:r>
              <w:rPr>
                <w:sz w:val="18"/>
              </w:rPr>
              <w:t>K4</w:t>
            </w:r>
          </w:p>
        </w:tc>
      </w:tr>
      <w:tr>
        <w:tc>
          <w:tcPr>
            <w:tcW w:type="dxa" w:w="1520"/>
          </w:tcPr>
          <w:p>
            <w:pPr>
              <w:jc w:val="left"/>
            </w:pPr>
            <w:r>
              <w:rPr>
                <w:sz w:val="18"/>
              </w:rPr>
              <w:t>Su Temini; Kanalizasyon, Atık Yönetimi</w:t>
            </w:r>
          </w:p>
        </w:tc>
        <w:tc>
          <w:tcPr>
            <w:tcW w:type="dxa" w:w="1520"/>
          </w:tcPr>
          <w:p>
            <w:pPr>
              <w:jc w:val="center"/>
            </w:pPr>
            <w:r>
              <w:rPr>
                <w:sz w:val="18"/>
              </w:rPr>
              <w:t>298.9</w:t>
            </w:r>
          </w:p>
        </w:tc>
        <w:tc>
          <w:tcPr>
            <w:tcW w:type="dxa" w:w="1520"/>
          </w:tcPr>
          <w:p>
            <w:pPr>
              <w:jc w:val="center"/>
            </w:pPr>
            <w:r>
              <w:rPr>
                <w:sz w:val="18"/>
              </w:rPr>
              <w:t>86.1</w:t>
            </w:r>
          </w:p>
        </w:tc>
        <w:tc>
          <w:tcPr>
            <w:tcW w:type="dxa" w:w="1520"/>
          </w:tcPr>
          <w:p>
            <w:pPr>
              <w:jc w:val="center"/>
            </w:pPr>
            <w:r>
              <w:rPr>
                <w:sz w:val="18"/>
              </w:rPr>
              <w:t>28.8</w:t>
            </w:r>
          </w:p>
        </w:tc>
        <w:tc>
          <w:tcPr>
            <w:tcW w:type="dxa" w:w="1520"/>
          </w:tcPr>
          <w:p>
            <w:pPr>
              <w:jc w:val="center"/>
            </w:pPr>
            <w:r>
              <w:rPr>
                <w:sz w:val="18"/>
              </w:rPr>
              <w:t>129,608</w:t>
            </w:r>
          </w:p>
        </w:tc>
        <w:tc>
          <w:tcPr>
            <w:tcW w:type="dxa" w:w="1520"/>
          </w:tcPr>
          <w:p>
            <w:pPr>
              <w:jc w:val="center"/>
            </w:pPr>
            <w:r>
              <w:rPr>
                <w:sz w:val="18"/>
              </w:rPr>
              <w:t>K4</w:t>
            </w:r>
          </w:p>
        </w:tc>
      </w:tr>
      <w:tr>
        <w:tc>
          <w:tcPr>
            <w:tcW w:type="dxa" w:w="1520"/>
          </w:tcPr>
          <w:p>
            <w:pPr>
              <w:jc w:val="left"/>
            </w:pPr>
            <w:r>
              <w:rPr>
                <w:sz w:val="18"/>
              </w:rPr>
              <w:t>Elektrik, Gaz, Buhar ve İklimlendirme</w:t>
            </w:r>
          </w:p>
        </w:tc>
        <w:tc>
          <w:tcPr>
            <w:tcW w:type="dxa" w:w="1520"/>
          </w:tcPr>
          <w:p>
            <w:pPr>
              <w:jc w:val="center"/>
            </w:pPr>
            <w:r>
              <w:rPr>
                <w:sz w:val="18"/>
              </w:rPr>
              <w:t>563.7</w:t>
            </w:r>
          </w:p>
        </w:tc>
        <w:tc>
          <w:tcPr>
            <w:tcW w:type="dxa" w:w="1520"/>
          </w:tcPr>
          <w:p>
            <w:pPr>
              <w:jc w:val="center"/>
            </w:pPr>
            <w:r>
              <w:rPr>
                <w:sz w:val="18"/>
              </w:rPr>
              <w:t>120.9</w:t>
            </w:r>
          </w:p>
        </w:tc>
        <w:tc>
          <w:tcPr>
            <w:tcW w:type="dxa" w:w="1520"/>
          </w:tcPr>
          <w:p>
            <w:pPr>
              <w:jc w:val="center"/>
            </w:pPr>
            <w:r>
              <w:rPr>
                <w:sz w:val="18"/>
              </w:rPr>
              <w:t>21.5</w:t>
            </w:r>
          </w:p>
        </w:tc>
        <w:tc>
          <w:tcPr>
            <w:tcW w:type="dxa" w:w="1520"/>
          </w:tcPr>
          <w:p>
            <w:pPr>
              <w:jc w:val="center"/>
            </w:pPr>
            <w:r>
              <w:rPr>
                <w:sz w:val="18"/>
              </w:rPr>
              <w:t>121,897</w:t>
            </w:r>
          </w:p>
        </w:tc>
        <w:tc>
          <w:tcPr>
            <w:tcW w:type="dxa" w:w="1520"/>
          </w:tcPr>
          <w:p>
            <w:pPr>
              <w:jc w:val="center"/>
            </w:pPr>
            <w:r>
              <w:rPr>
                <w:sz w:val="18"/>
              </w:rPr>
              <w:t>K4</w:t>
            </w:r>
          </w:p>
        </w:tc>
      </w:tr>
      <w:tr>
        <w:tc>
          <w:tcPr>
            <w:tcW w:type="dxa" w:w="1520"/>
          </w:tcPr>
          <w:p>
            <w:pPr>
              <w:jc w:val="left"/>
            </w:pPr>
            <w:r>
              <w:rPr>
                <w:sz w:val="18"/>
              </w:rPr>
              <w:t>Kültür, Sanat, Eğlence, Spor</w:t>
            </w:r>
          </w:p>
        </w:tc>
        <w:tc>
          <w:tcPr>
            <w:tcW w:type="dxa" w:w="1520"/>
          </w:tcPr>
          <w:p>
            <w:pPr>
              <w:jc w:val="center"/>
            </w:pPr>
            <w:r>
              <w:rPr>
                <w:sz w:val="18"/>
              </w:rPr>
              <w:t>618.0</w:t>
            </w:r>
          </w:p>
        </w:tc>
        <w:tc>
          <w:tcPr>
            <w:tcW w:type="dxa" w:w="1520"/>
          </w:tcPr>
          <w:p>
            <w:pPr>
              <w:jc w:val="center"/>
            </w:pPr>
            <w:r>
              <w:rPr>
                <w:sz w:val="18"/>
              </w:rPr>
              <w:t>114.4</w:t>
            </w:r>
          </w:p>
        </w:tc>
        <w:tc>
          <w:tcPr>
            <w:tcW w:type="dxa" w:w="1520"/>
          </w:tcPr>
          <w:p>
            <w:pPr>
              <w:jc w:val="center"/>
            </w:pPr>
            <w:r>
              <w:rPr>
                <w:sz w:val="18"/>
              </w:rPr>
              <w:t>18.5</w:t>
            </w:r>
          </w:p>
        </w:tc>
        <w:tc>
          <w:tcPr>
            <w:tcW w:type="dxa" w:w="1520"/>
          </w:tcPr>
          <w:p>
            <w:pPr>
              <w:jc w:val="center"/>
            </w:pPr>
            <w:r>
              <w:rPr>
                <w:sz w:val="18"/>
              </w:rPr>
              <w:t>91,062</w:t>
            </w:r>
          </w:p>
        </w:tc>
        <w:tc>
          <w:tcPr>
            <w:tcW w:type="dxa" w:w="1520"/>
          </w:tcPr>
          <w:p>
            <w:pPr>
              <w:jc w:val="center"/>
            </w:pPr>
            <w:r>
              <w:rPr>
                <w:sz w:val="18"/>
              </w:rPr>
              <w:t>K4</w:t>
            </w:r>
          </w:p>
        </w:tc>
      </w:tr>
      <w:tr>
        <w:tc>
          <w:tcPr>
            <w:tcW w:type="dxa" w:w="1520"/>
          </w:tcPr>
          <w:p>
            <w:pPr>
              <w:jc w:val="left"/>
            </w:pPr>
            <w:r>
              <w:rPr>
                <w:sz w:val="18"/>
              </w:rPr>
              <w:t>Hanehalkları İşverenler</w:t>
            </w:r>
          </w:p>
        </w:tc>
        <w:tc>
          <w:tcPr>
            <w:tcW w:type="dxa" w:w="1520"/>
          </w:tcPr>
          <w:p>
            <w:pPr>
              <w:jc w:val="center"/>
            </w:pPr>
            <w:r>
              <w:rPr>
                <w:sz w:val="18"/>
              </w:rPr>
              <w:t>24.8</w:t>
            </w:r>
          </w:p>
        </w:tc>
        <w:tc>
          <w:tcPr>
            <w:tcW w:type="dxa" w:w="1520"/>
          </w:tcPr>
          <w:p>
            <w:pPr>
              <w:jc w:val="center"/>
            </w:pPr>
            <w:r>
              <w:rPr>
                <w:sz w:val="18"/>
              </w:rPr>
              <w:t>24.8</w:t>
            </w:r>
          </w:p>
        </w:tc>
        <w:tc>
          <w:tcPr>
            <w:tcW w:type="dxa" w:w="1520"/>
          </w:tcPr>
          <w:p>
            <w:pPr>
              <w:jc w:val="center"/>
            </w:pPr>
            <w:r>
              <w:rPr>
                <w:sz w:val="18"/>
              </w:rPr>
              <w:t>100.0</w:t>
            </w:r>
          </w:p>
        </w:tc>
        <w:tc>
          <w:tcPr>
            <w:tcW w:type="dxa" w:w="1520"/>
          </w:tcPr>
          <w:p>
            <w:pPr>
              <w:jc w:val="center"/>
            </w:pPr>
            <w:r>
              <w:rPr>
                <w:sz w:val="18"/>
              </w:rPr>
              <w:t>35,140</w:t>
            </w:r>
          </w:p>
        </w:tc>
        <w:tc>
          <w:tcPr>
            <w:tcW w:type="dxa" w:w="1520"/>
          </w:tcPr>
          <w:p>
            <w:pPr>
              <w:jc w:val="center"/>
            </w:pPr>
            <w:r>
              <w:rPr>
                <w:sz w:val="18"/>
              </w:rPr>
              <w:t>K3</w:t>
            </w:r>
          </w:p>
        </w:tc>
      </w:tr>
    </w:tbl>
    <w:p>
      <w:pPr>
        <w:ind w:firstLine="0"/>
      </w:pPr>
      <w:r>
        <w:rPr>
          <w:b w:val="0"/>
          <w:i/>
        </w:rPr>
        <w:t>Kaynak: TÜİK GSYH Gelir Yöntemi (2024), SGK Yıllık İstatistikleri (2024).</w:t>
      </w:r>
    </w:p>
    <w:p>
      <w:pPr>
        <w:ind w:firstLine="0"/>
      </w:pPr>
      <w:r>
        <w:rPr>
          <w:b w:val="0"/>
          <w:i/>
        </w:rPr>
        <w:t>Not: GKD = Gayrisafi Katma Değer. Maliyet Oranı = İşgücü Ödemesi / GKD × 100.</w:t>
      </w:r>
    </w:p>
    <w:p>
      <w:pPr>
        <w:pStyle w:val="Heading2"/>
      </w:pPr>
      <w:r>
        <w:t>4.2. İstihdam Yapısı ve Verimlilik</w:t>
      </w:r>
    </w:p>
    <w:p>
      <w:r>
        <w:rPr>
          <w:b w:val="0"/>
          <w:i w:val="0"/>
        </w:rPr>
        <w:t>SGK 4/1-a kapsamında toplam 16,571,670 zorunlu sigortalı bulunmaktadır. İmalat sanayi %25.1 ile en büyük istihdam payına sahipken, onu sırasıyla toptan ve perakende ticaret ile inşaat izlemektedir. Bu üç sektör toplam istihdamın yaklaşık üçte ikisini oluşturmaktadır.</w:t>
      </w:r>
    </w:p>
    <w:p>
      <w:r>
        <w:rPr>
          <w:b w:val="0"/>
          <w:i w:val="0"/>
        </w:rPr>
        <w:t>Kişi başı katma değer açısından en verimli sektörler gayrimenkul, ulaştırma ve tarım iken; kişi başı işgücü maliyeti en yüksek sektörler kamu yönetimi, eğitim ve sağlık olarak öne çıkmaktadır. Bu durum, emek yoğun kamu hizmet sektörlerinde işgücü maliyetinin katma değere oranla yüksek olduğuna işaret etmektedir.</w:t>
      </w:r>
    </w:p>
    <w:p>
      <w:r>
        <w:rPr>
          <w:b w:val="0"/>
          <w:i w:val="0"/>
        </w:rPr>
        <w:t>OECD (2025) raporuna göre Türkiye'de çalışan başına potansiyel büyüme yavaşlamakta ve görece düşük kalmaktadır. Demografik temettünün sona ermesinin ardından büyümeyi desteklemek için özellikle hizmetler sektöründe verimlilik artışı, işgücünün nitelik geliştirilmesi, yenilikçiliğin güçlendirilmesi ve iş düzenlemelerinin kolaylaştırılması gerekmektedir.</w:t>
      </w:r>
    </w:p>
    <w:p>
      <w:pPr>
        <w:pStyle w:val="Heading2"/>
      </w:pPr>
      <w:r>
        <w:t>4.3. Kadran Analizi: Sektörel Sınıflandırma</w:t>
      </w:r>
    </w:p>
    <w:p>
      <w:r>
        <w:rPr>
          <w:b w:val="0"/>
          <w:i w:val="0"/>
        </w:rPr>
        <w:t>Sektörler, istihdam payı ve işgücü maliyet oranının medyan değerlerine göre dört kadrana ayrılmıştır. Bu sınıflandırma, teşvik politikalarının hedeflenmesi için analitik bir çerçeve sunmaktadır:</w:t>
      </w:r>
    </w:p>
    <w:p>
      <w:r>
        <w:rPr>
          <w:b/>
        </w:rPr>
        <w:t xml:space="preserve">Kadran 1 — Yüksek İstihdam + Yüksek Maliyet (Teşvik Önceliği): </w:t>
      </w:r>
      <w:r>
        <w:t>Bu gruptaki sektörler hem ekonominin istihdam lokomotifi hem de işgücü maliyeti baskısı altındaki sektörlerdir. İstihdam teşviki bu sektörlerde en yüksek marjinal etkiyi yaratabilir.</w:t>
      </w:r>
    </w:p>
    <w:p>
      <w:r>
        <w:rPr>
          <w:b/>
        </w:rPr>
        <w:t xml:space="preserve">Kadran 2 — Yüksek İstihdam + Düşük Maliyet (Sürdürülebilir Yapı): </w:t>
      </w:r>
      <w:r>
        <w:t>İstihdam kapasitesi yüksek olmasına rağmen işgücü maliyeti görece düşüktür. Mevcut yapının korunması ve rekabet gücünün desteklenmesi önceliklidir.</w:t>
      </w:r>
    </w:p>
    <w:p>
      <w:r>
        <w:rPr>
          <w:b/>
        </w:rPr>
        <w:t xml:space="preserve">Kadran 3 — Düşük İstihdam + Yüksek Maliyet (Yapısal Dönüşüm): </w:t>
      </w:r>
      <w:r>
        <w:t>İstihdam kapasitesi sınırlı ancak maliyet baskısı yüksektir. Verimlilik artışı, dijital dönüşüm ve nitelik dönüşümü öncelikli politika alanlarıdır.</w:t>
      </w:r>
    </w:p>
    <w:p>
      <w:r>
        <w:rPr>
          <w:b/>
        </w:rPr>
        <w:t xml:space="preserve">Kadran 4 — Düşük İstihdam + Düşük Maliyet (İzleme): </w:t>
      </w:r>
      <w:r>
        <w:t>Hem istihdam hem maliyet düşüktür. Büyüme potansiyeli izlenmeli, stratejik sektörlerde hedefli müdahaleler değerlendirilmelidir.</w:t>
      </w:r>
    </w:p>
    <w:p>
      <w:pPr>
        <w:ind w:firstLine="0"/>
      </w:pPr>
      <w:r>
        <w:rPr>
          <w:b/>
          <w:i w:val="0"/>
        </w:rPr>
        <w:t>Tablo 3. Kadran 1 Sektörleri: Teşvik Öncelikli Sektörler</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sz w:val="18"/>
              </w:rPr>
              <w:t>Sektör</w:t>
            </w:r>
          </w:p>
        </w:tc>
        <w:tc>
          <w:tcPr>
            <w:tcW w:type="dxa" w:w="1520"/>
          </w:tcPr>
          <w:p>
            <w:pPr>
              <w:jc w:val="center"/>
            </w:pPr>
            <w:r>
              <w:rPr>
                <w:b/>
                <w:sz w:val="18"/>
              </w:rPr>
              <w:t>İstihdam</w:t>
              <w:br/>
              <w:t>Payı(%)</w:t>
            </w:r>
          </w:p>
        </w:tc>
        <w:tc>
          <w:tcPr>
            <w:tcW w:type="dxa" w:w="1520"/>
          </w:tcPr>
          <w:p>
            <w:pPr>
              <w:jc w:val="center"/>
            </w:pPr>
            <w:r>
              <w:rPr>
                <w:b/>
                <w:sz w:val="18"/>
              </w:rPr>
              <w:t>Maliyet</w:t>
              <w:br/>
              <w:t>Oranı(%)</w:t>
            </w:r>
          </w:p>
        </w:tc>
        <w:tc>
          <w:tcPr>
            <w:tcW w:type="dxa" w:w="1520"/>
          </w:tcPr>
          <w:p>
            <w:pPr>
              <w:jc w:val="center"/>
            </w:pPr>
            <w:r>
              <w:rPr>
                <w:b/>
                <w:sz w:val="18"/>
              </w:rPr>
              <w:t>Etkinlik</w:t>
            </w:r>
          </w:p>
        </w:tc>
        <w:tc>
          <w:tcPr>
            <w:tcW w:type="dxa" w:w="1520"/>
          </w:tcPr>
          <w:p>
            <w:pPr>
              <w:jc w:val="center"/>
            </w:pPr>
            <w:r>
              <w:rPr>
                <w:b/>
                <w:sz w:val="18"/>
              </w:rPr>
              <w:t>KOBİ</w:t>
              <w:br/>
              <w:t>(%)</w:t>
            </w:r>
          </w:p>
        </w:tc>
        <w:tc>
          <w:tcPr>
            <w:tcW w:type="dxa" w:w="1520"/>
          </w:tcPr>
          <w:p>
            <w:pPr>
              <w:jc w:val="center"/>
            </w:pPr>
            <w:r>
              <w:rPr>
                <w:b/>
                <w:sz w:val="18"/>
              </w:rPr>
              <w:t>Günlük</w:t>
              <w:br/>
              <w:t>Kazanç(TL)</w:t>
            </w:r>
          </w:p>
        </w:tc>
      </w:tr>
      <w:tr>
        <w:tc>
          <w:tcPr>
            <w:tcW w:type="dxa" w:w="1520"/>
          </w:tcPr>
          <w:p>
            <w:pPr>
              <w:jc w:val="left"/>
            </w:pPr>
            <w:r>
              <w:rPr>
                <w:sz w:val="18"/>
              </w:rPr>
              <w:t>İmalat Sanayi</w:t>
            </w:r>
          </w:p>
        </w:tc>
        <w:tc>
          <w:tcPr>
            <w:tcW w:type="dxa" w:w="1520"/>
          </w:tcPr>
          <w:p>
            <w:pPr>
              <w:jc w:val="center"/>
            </w:pPr>
            <w:r>
              <w:rPr>
                <w:sz w:val="18"/>
              </w:rPr>
              <w:t>25.1</w:t>
            </w:r>
          </w:p>
        </w:tc>
        <w:tc>
          <w:tcPr>
            <w:tcW w:type="dxa" w:w="1520"/>
          </w:tcPr>
          <w:p>
            <w:pPr>
              <w:jc w:val="center"/>
            </w:pPr>
            <w:r>
              <w:rPr>
                <w:sz w:val="18"/>
              </w:rPr>
              <w:t>43.6</w:t>
            </w:r>
          </w:p>
        </w:tc>
        <w:tc>
          <w:tcPr>
            <w:tcW w:type="dxa" w:w="1520"/>
          </w:tcPr>
          <w:p>
            <w:pPr>
              <w:jc w:val="center"/>
            </w:pPr>
            <w:r>
              <w:rPr>
                <w:sz w:val="18"/>
              </w:rPr>
              <w:t>2.29</w:t>
            </w:r>
          </w:p>
        </w:tc>
        <w:tc>
          <w:tcPr>
            <w:tcW w:type="dxa" w:w="1520"/>
          </w:tcPr>
          <w:p>
            <w:pPr>
              <w:jc w:val="center"/>
            </w:pPr>
            <w:r>
              <w:rPr>
                <w:sz w:val="18"/>
              </w:rPr>
              <w:t>97.8</w:t>
            </w:r>
          </w:p>
        </w:tc>
        <w:tc>
          <w:tcPr>
            <w:tcW w:type="dxa" w:w="1520"/>
          </w:tcPr>
          <w:p>
            <w:pPr>
              <w:jc w:val="center"/>
            </w:pPr>
            <w:r>
              <w:rPr>
                <w:sz w:val="18"/>
              </w:rPr>
              <w:t>1,392</w:t>
            </w:r>
          </w:p>
        </w:tc>
      </w:tr>
      <w:tr>
        <w:tc>
          <w:tcPr>
            <w:tcW w:type="dxa" w:w="1520"/>
          </w:tcPr>
          <w:p>
            <w:pPr>
              <w:jc w:val="left"/>
            </w:pPr>
            <w:r>
              <w:rPr>
                <w:sz w:val="18"/>
              </w:rPr>
              <w:t>İnşaat</w:t>
            </w:r>
          </w:p>
        </w:tc>
        <w:tc>
          <w:tcPr>
            <w:tcW w:type="dxa" w:w="1520"/>
          </w:tcPr>
          <w:p>
            <w:pPr>
              <w:jc w:val="center"/>
            </w:pPr>
            <w:r>
              <w:rPr>
                <w:sz w:val="18"/>
              </w:rPr>
              <w:t>12.0</w:t>
            </w:r>
          </w:p>
        </w:tc>
        <w:tc>
          <w:tcPr>
            <w:tcW w:type="dxa" w:w="1520"/>
          </w:tcPr>
          <w:p>
            <w:pPr>
              <w:jc w:val="center"/>
            </w:pPr>
            <w:r>
              <w:rPr>
                <w:sz w:val="18"/>
              </w:rPr>
              <w:t>35.6</w:t>
            </w:r>
          </w:p>
        </w:tc>
        <w:tc>
          <w:tcPr>
            <w:tcW w:type="dxa" w:w="1520"/>
          </w:tcPr>
          <w:p>
            <w:pPr>
              <w:jc w:val="center"/>
            </w:pPr>
            <w:r>
              <w:rPr>
                <w:sz w:val="18"/>
              </w:rPr>
              <w:t>2.81</w:t>
            </w:r>
          </w:p>
        </w:tc>
        <w:tc>
          <w:tcPr>
            <w:tcW w:type="dxa" w:w="1520"/>
          </w:tcPr>
          <w:p>
            <w:pPr>
              <w:jc w:val="center"/>
            </w:pPr>
            <w:r>
              <w:rPr>
                <w:sz w:val="18"/>
              </w:rPr>
              <w:t>98.9</w:t>
            </w:r>
          </w:p>
        </w:tc>
        <w:tc>
          <w:tcPr>
            <w:tcW w:type="dxa" w:w="1520"/>
          </w:tcPr>
          <w:p>
            <w:pPr>
              <w:jc w:val="center"/>
            </w:pPr>
            <w:r>
              <w:rPr>
                <w:sz w:val="18"/>
              </w:rPr>
              <w:t>1,018</w:t>
            </w:r>
          </w:p>
        </w:tc>
      </w:tr>
      <w:tr>
        <w:tc>
          <w:tcPr>
            <w:tcW w:type="dxa" w:w="1520"/>
          </w:tcPr>
          <w:p>
            <w:pPr>
              <w:jc w:val="left"/>
            </w:pPr>
            <w:r>
              <w:rPr>
                <w:sz w:val="18"/>
              </w:rPr>
              <w:t>İdari ve Destek Hizmet Faaliyetleri</w:t>
            </w:r>
          </w:p>
        </w:tc>
        <w:tc>
          <w:tcPr>
            <w:tcW w:type="dxa" w:w="1520"/>
          </w:tcPr>
          <w:p>
            <w:pPr>
              <w:jc w:val="center"/>
            </w:pPr>
            <w:r>
              <w:rPr>
                <w:sz w:val="18"/>
              </w:rPr>
              <w:t>8.6</w:t>
            </w:r>
          </w:p>
        </w:tc>
        <w:tc>
          <w:tcPr>
            <w:tcW w:type="dxa" w:w="1520"/>
          </w:tcPr>
          <w:p>
            <w:pPr>
              <w:jc w:val="center"/>
            </w:pPr>
            <w:r>
              <w:rPr>
                <w:sz w:val="18"/>
              </w:rPr>
              <w:t>60.5</w:t>
            </w:r>
          </w:p>
        </w:tc>
        <w:tc>
          <w:tcPr>
            <w:tcW w:type="dxa" w:w="1520"/>
          </w:tcPr>
          <w:p>
            <w:pPr>
              <w:jc w:val="center"/>
            </w:pPr>
            <w:r>
              <w:rPr>
                <w:sz w:val="18"/>
              </w:rPr>
              <w:t>1.65</w:t>
            </w:r>
          </w:p>
        </w:tc>
        <w:tc>
          <w:tcPr>
            <w:tcW w:type="dxa" w:w="1520"/>
          </w:tcPr>
          <w:p>
            <w:pPr>
              <w:jc w:val="center"/>
            </w:pPr>
            <w:r>
              <w:rPr>
                <w:sz w:val="18"/>
              </w:rPr>
              <w:t>97.9</w:t>
            </w:r>
          </w:p>
        </w:tc>
        <w:tc>
          <w:tcPr>
            <w:tcW w:type="dxa" w:w="1520"/>
          </w:tcPr>
          <w:p>
            <w:pPr>
              <w:jc w:val="center"/>
            </w:pPr>
            <w:r>
              <w:rPr>
                <w:sz w:val="18"/>
              </w:rPr>
              <w:t>1,389</w:t>
            </w:r>
          </w:p>
        </w:tc>
      </w:tr>
      <w:tr>
        <w:tc>
          <w:tcPr>
            <w:tcW w:type="dxa" w:w="1520"/>
          </w:tcPr>
          <w:p>
            <w:pPr>
              <w:jc w:val="left"/>
            </w:pPr>
            <w:r>
              <w:rPr>
                <w:sz w:val="18"/>
              </w:rPr>
              <w:t>Konaklama ve Yiyecek Hizmeti</w:t>
            </w:r>
          </w:p>
        </w:tc>
        <w:tc>
          <w:tcPr>
            <w:tcW w:type="dxa" w:w="1520"/>
          </w:tcPr>
          <w:p>
            <w:pPr>
              <w:jc w:val="center"/>
            </w:pPr>
            <w:r>
              <w:rPr>
                <w:sz w:val="18"/>
              </w:rPr>
              <w:t>7.1</w:t>
            </w:r>
          </w:p>
        </w:tc>
        <w:tc>
          <w:tcPr>
            <w:tcW w:type="dxa" w:w="1520"/>
          </w:tcPr>
          <w:p>
            <w:pPr>
              <w:jc w:val="center"/>
            </w:pPr>
            <w:r>
              <w:rPr>
                <w:sz w:val="18"/>
              </w:rPr>
              <w:t>40.1</w:t>
            </w:r>
          </w:p>
        </w:tc>
        <w:tc>
          <w:tcPr>
            <w:tcW w:type="dxa" w:w="1520"/>
          </w:tcPr>
          <w:p>
            <w:pPr>
              <w:jc w:val="center"/>
            </w:pPr>
            <w:r>
              <w:rPr>
                <w:sz w:val="18"/>
              </w:rPr>
              <w:t>2.49</w:t>
            </w:r>
          </w:p>
        </w:tc>
        <w:tc>
          <w:tcPr>
            <w:tcW w:type="dxa" w:w="1520"/>
          </w:tcPr>
          <w:p>
            <w:pPr>
              <w:jc w:val="center"/>
            </w:pPr>
            <w:r>
              <w:rPr>
                <w:sz w:val="18"/>
              </w:rPr>
              <w:t>99.3</w:t>
            </w:r>
          </w:p>
        </w:tc>
        <w:tc>
          <w:tcPr>
            <w:tcW w:type="dxa" w:w="1520"/>
          </w:tcPr>
          <w:p>
            <w:pPr>
              <w:jc w:val="center"/>
            </w:pPr>
            <w:r>
              <w:rPr>
                <w:sz w:val="18"/>
              </w:rPr>
              <w:t>984</w:t>
            </w:r>
          </w:p>
        </w:tc>
      </w:tr>
      <w:tr>
        <w:tc>
          <w:tcPr>
            <w:tcW w:type="dxa" w:w="1520"/>
          </w:tcPr>
          <w:p>
            <w:pPr>
              <w:jc w:val="left"/>
            </w:pPr>
            <w:r>
              <w:rPr>
                <w:sz w:val="18"/>
              </w:rPr>
              <w:t>İnsan Sağlığı ve Sosyal Hizmet</w:t>
            </w:r>
          </w:p>
        </w:tc>
        <w:tc>
          <w:tcPr>
            <w:tcW w:type="dxa" w:w="1520"/>
          </w:tcPr>
          <w:p>
            <w:pPr>
              <w:jc w:val="center"/>
            </w:pPr>
            <w:r>
              <w:rPr>
                <w:sz w:val="18"/>
              </w:rPr>
              <w:t>5.9</w:t>
            </w:r>
          </w:p>
        </w:tc>
        <w:tc>
          <w:tcPr>
            <w:tcW w:type="dxa" w:w="1520"/>
          </w:tcPr>
          <w:p>
            <w:pPr>
              <w:jc w:val="center"/>
            </w:pPr>
            <w:r>
              <w:rPr>
                <w:sz w:val="18"/>
              </w:rPr>
              <w:t>72.0</w:t>
            </w:r>
          </w:p>
        </w:tc>
        <w:tc>
          <w:tcPr>
            <w:tcW w:type="dxa" w:w="1520"/>
          </w:tcPr>
          <w:p>
            <w:pPr>
              <w:jc w:val="center"/>
            </w:pPr>
            <w:r>
              <w:rPr>
                <w:sz w:val="18"/>
              </w:rPr>
              <w:t>1.39</w:t>
            </w:r>
          </w:p>
        </w:tc>
        <w:tc>
          <w:tcPr>
            <w:tcW w:type="dxa" w:w="1520"/>
          </w:tcPr>
          <w:p>
            <w:pPr>
              <w:jc w:val="center"/>
            </w:pPr>
            <w:r>
              <w:rPr>
                <w:sz w:val="18"/>
              </w:rPr>
              <w:t>97.2</w:t>
            </w:r>
          </w:p>
        </w:tc>
        <w:tc>
          <w:tcPr>
            <w:tcW w:type="dxa" w:w="1520"/>
          </w:tcPr>
          <w:p>
            <w:pPr>
              <w:jc w:val="center"/>
            </w:pPr>
            <w:r>
              <w:rPr>
                <w:sz w:val="18"/>
              </w:rPr>
              <w:t>1,350</w:t>
            </w:r>
          </w:p>
        </w:tc>
      </w:tr>
      <w:tr>
        <w:tc>
          <w:tcPr>
            <w:tcW w:type="dxa" w:w="1520"/>
          </w:tcPr>
          <w:p>
            <w:pPr>
              <w:jc w:val="left"/>
            </w:pPr>
            <w:r>
              <w:rPr>
                <w:sz w:val="18"/>
              </w:rPr>
              <w:t>Mesleki, Bilimsel ve Teknik Faal.</w:t>
            </w:r>
          </w:p>
        </w:tc>
        <w:tc>
          <w:tcPr>
            <w:tcW w:type="dxa" w:w="1520"/>
          </w:tcPr>
          <w:p>
            <w:pPr>
              <w:jc w:val="center"/>
            </w:pPr>
            <w:r>
              <w:rPr>
                <w:sz w:val="18"/>
              </w:rPr>
              <w:t>4.1</w:t>
            </w:r>
          </w:p>
        </w:tc>
        <w:tc>
          <w:tcPr>
            <w:tcW w:type="dxa" w:w="1520"/>
          </w:tcPr>
          <w:p>
            <w:pPr>
              <w:jc w:val="center"/>
            </w:pPr>
            <w:r>
              <w:rPr>
                <w:sz w:val="18"/>
              </w:rPr>
              <w:t>41.6</w:t>
            </w:r>
          </w:p>
        </w:tc>
        <w:tc>
          <w:tcPr>
            <w:tcW w:type="dxa" w:w="1520"/>
          </w:tcPr>
          <w:p>
            <w:pPr>
              <w:jc w:val="center"/>
            </w:pPr>
            <w:r>
              <w:rPr>
                <w:sz w:val="18"/>
              </w:rPr>
              <w:t>2.40</w:t>
            </w:r>
          </w:p>
        </w:tc>
        <w:tc>
          <w:tcPr>
            <w:tcW w:type="dxa" w:w="1520"/>
          </w:tcPr>
          <w:p>
            <w:pPr>
              <w:jc w:val="center"/>
            </w:pPr>
            <w:r>
              <w:rPr>
                <w:sz w:val="18"/>
              </w:rPr>
              <w:t>99.5</w:t>
            </w:r>
          </w:p>
        </w:tc>
        <w:tc>
          <w:tcPr>
            <w:tcW w:type="dxa" w:w="1520"/>
          </w:tcPr>
          <w:p>
            <w:pPr>
              <w:jc w:val="center"/>
            </w:pPr>
            <w:r>
              <w:rPr>
                <w:sz w:val="18"/>
              </w:rPr>
              <w:t>1,627</w:t>
            </w:r>
          </w:p>
        </w:tc>
      </w:tr>
      <w:tr>
        <w:tc>
          <w:tcPr>
            <w:tcW w:type="dxa" w:w="1520"/>
          </w:tcPr>
          <w:p>
            <w:pPr>
              <w:jc w:val="left"/>
            </w:pPr>
            <w:r>
              <w:rPr>
                <w:sz w:val="18"/>
              </w:rPr>
              <w:t>Eğitim</w:t>
            </w:r>
          </w:p>
        </w:tc>
        <w:tc>
          <w:tcPr>
            <w:tcW w:type="dxa" w:w="1520"/>
          </w:tcPr>
          <w:p>
            <w:pPr>
              <w:jc w:val="center"/>
            </w:pPr>
            <w:r>
              <w:rPr>
                <w:sz w:val="18"/>
              </w:rPr>
              <w:t>4.0</w:t>
            </w:r>
          </w:p>
        </w:tc>
        <w:tc>
          <w:tcPr>
            <w:tcW w:type="dxa" w:w="1520"/>
          </w:tcPr>
          <w:p>
            <w:pPr>
              <w:jc w:val="center"/>
            </w:pPr>
            <w:r>
              <w:rPr>
                <w:sz w:val="18"/>
              </w:rPr>
              <w:t>75.3</w:t>
            </w:r>
          </w:p>
        </w:tc>
        <w:tc>
          <w:tcPr>
            <w:tcW w:type="dxa" w:w="1520"/>
          </w:tcPr>
          <w:p>
            <w:pPr>
              <w:jc w:val="center"/>
            </w:pPr>
            <w:r>
              <w:rPr>
                <w:sz w:val="18"/>
              </w:rPr>
              <w:t>1.33</w:t>
            </w:r>
          </w:p>
        </w:tc>
        <w:tc>
          <w:tcPr>
            <w:tcW w:type="dxa" w:w="1520"/>
          </w:tcPr>
          <w:p>
            <w:pPr>
              <w:jc w:val="center"/>
            </w:pPr>
            <w:r>
              <w:rPr>
                <w:sz w:val="18"/>
              </w:rPr>
              <w:t>96.9</w:t>
            </w:r>
          </w:p>
        </w:tc>
        <w:tc>
          <w:tcPr>
            <w:tcW w:type="dxa" w:w="1520"/>
          </w:tcPr>
          <w:p>
            <w:pPr>
              <w:jc w:val="center"/>
            </w:pPr>
            <w:r>
              <w:rPr>
                <w:sz w:val="18"/>
              </w:rPr>
              <w:t>1,240</w:t>
            </w:r>
          </w:p>
        </w:tc>
      </w:tr>
      <w:tr>
        <w:tc>
          <w:tcPr>
            <w:tcW w:type="dxa" w:w="1520"/>
          </w:tcPr>
          <w:p>
            <w:pPr>
              <w:jc w:val="left"/>
            </w:pPr>
            <w:r>
              <w:rPr>
                <w:sz w:val="18"/>
              </w:rPr>
              <w:t>Kamu Yönetimi ve Savunma</w:t>
            </w:r>
          </w:p>
        </w:tc>
        <w:tc>
          <w:tcPr>
            <w:tcW w:type="dxa" w:w="1520"/>
          </w:tcPr>
          <w:p>
            <w:pPr>
              <w:jc w:val="center"/>
            </w:pPr>
            <w:r>
              <w:rPr>
                <w:sz w:val="18"/>
              </w:rPr>
              <w:t>1.7</w:t>
            </w:r>
          </w:p>
        </w:tc>
        <w:tc>
          <w:tcPr>
            <w:tcW w:type="dxa" w:w="1520"/>
          </w:tcPr>
          <w:p>
            <w:pPr>
              <w:jc w:val="center"/>
            </w:pPr>
            <w:r>
              <w:rPr>
                <w:sz w:val="18"/>
              </w:rPr>
              <w:t>81.0</w:t>
            </w:r>
          </w:p>
        </w:tc>
        <w:tc>
          <w:tcPr>
            <w:tcW w:type="dxa" w:w="1520"/>
          </w:tcPr>
          <w:p>
            <w:pPr>
              <w:jc w:val="center"/>
            </w:pPr>
            <w:r>
              <w:rPr>
                <w:sz w:val="18"/>
              </w:rPr>
              <w:t>1.23</w:t>
            </w:r>
          </w:p>
        </w:tc>
        <w:tc>
          <w:tcPr>
            <w:tcW w:type="dxa" w:w="1520"/>
          </w:tcPr>
          <w:p>
            <w:pPr>
              <w:jc w:val="center"/>
            </w:pPr>
            <w:r>
              <w:rPr>
                <w:sz w:val="18"/>
              </w:rPr>
              <w:t>91.1</w:t>
            </w:r>
          </w:p>
        </w:tc>
        <w:tc>
          <w:tcPr>
            <w:tcW w:type="dxa" w:w="1520"/>
          </w:tcPr>
          <w:p>
            <w:pPr>
              <w:jc w:val="center"/>
            </w:pPr>
            <w:r>
              <w:rPr>
                <w:sz w:val="18"/>
              </w:rPr>
              <w:t>1,407</w:t>
            </w:r>
          </w:p>
        </w:tc>
      </w:tr>
    </w:tbl>
    <w:p>
      <w:pPr>
        <w:ind w:firstLine="0"/>
      </w:pPr>
      <w:r>
        <w:rPr>
          <w:b w:val="0"/>
          <w:i/>
        </w:rPr>
        <w:t>Kaynak: TÜİK (2024), SGK (2024). Yazarın hesaplamaları.</w:t>
      </w:r>
    </w:p>
    <w:p>
      <w:r>
        <w:br w:type="page"/>
      </w:r>
    </w:p>
    <w:p>
      <w:pPr>
        <w:pStyle w:val="Heading1"/>
      </w:pPr>
      <w:r>
        <w:t>5. ULUSLARARASI KURUM DEĞERLENDİRMELERİ</w:t>
      </w:r>
    </w:p>
    <w:p>
      <w:pPr>
        <w:pStyle w:val="Heading2"/>
      </w:pPr>
      <w:r>
        <w:t>5.1. IMF Perspektifi</w:t>
      </w:r>
    </w:p>
    <w:p>
      <w:r>
        <w:rPr>
          <w:b w:val="0"/>
          <w:i w:val="0"/>
        </w:rPr>
        <w:t>IMF, Ekim 2025 Dünya Ekonomik Görünümü'nde yapay zeka yatırımlarının büyümeyi desteklediğini ancak verimlilik kazanımlarının gerçekleşmemesi halinde keskin piyasa düzeltmeleri riskine dikkat çekmektedir. Sanayi politikasının yeniden yükselişi, ülkelerin stratejik sektörleri desteklemek için aktif müdahale araçlarına başvurduğuna işaret etmektedir. Göç politikalarındaki sıkılaşma, özellikle beceri açığı bulunan sektörlerde firmaların yatırım ve işe alım kararlarını olumsuz etkileyebilir (IMF, 2025a; IMF, 2026).</w:t>
      </w:r>
    </w:p>
    <w:p>
      <w:pPr>
        <w:pStyle w:val="Heading2"/>
      </w:pPr>
      <w:r>
        <w:t>5.2. OECD Önerileri</w:t>
      </w:r>
    </w:p>
    <w:p>
      <w:r>
        <w:rPr>
          <w:b w:val="0"/>
          <w:i w:val="0"/>
        </w:rPr>
        <w:t>OECD'nin Nisan 2025 tarihli Türkiye Ekonomik İncelemesi, birçok sektörel öneri içermektedir. Buna göre Türkiye ekonomisi orta teknolojili sektörlerde uzmanlaşmış durumdadır ve yüksek becerili imalat ve hizmetlerde rekabet gücünü artırması gerekmektedir. Küresel değer zincirlerinde yukarı yönlü entegrasyon, inovasyonun yaygınlaştırılması ve işgücü niteliklerinin geliştirilmesini gerektirmektedir (OECD, 2025).</w:t>
      </w:r>
    </w:p>
    <w:p>
      <w:r>
        <w:rPr>
          <w:b w:val="0"/>
          <w:i w:val="0"/>
        </w:rPr>
        <w:t>OECD özellikle şu alanlara dikkat çekmektedir: (i) Kadın işgücü katılımının artırılması — OECD ortalamasının önemli ölçüde altında olan kadın işgücü katılımının yükseltilmesi için okul öncesi eğitim olanaklarının genişletilmesi, çocuk yardımlarının artırılması ve ebeveynler için efektif vergi oranlarının düşürülmesi; (ii) Hizmetler sektöründe düzenleyici reformlar — mesleki hizmet faaliyetleri OECD'nin en düzenlenmiş ülkeleri arasında yer almakta olup bu durum değer zinciri boyunca verimliliği olumsuz etkilemektedir; (iii) Kayıt dışılığın azaltılması — düşük gelirli çalışanlarda sosyal güvenlik primlerinin düşürülmesi işgücü piyasası katılımını artırabilir ve kayıt dışılığı azaltabilir (OECD, 2025).</w:t>
      </w:r>
    </w:p>
    <w:p>
      <w:pPr>
        <w:pStyle w:val="Heading2"/>
      </w:pPr>
      <w:r>
        <w:t>5.3. Dünya Bankası Değerlendirmesi</w:t>
      </w:r>
    </w:p>
    <w:p>
      <w:r>
        <w:rPr>
          <w:b w:val="0"/>
          <w:i w:val="0"/>
        </w:rPr>
        <w:t>Dünya Bankası'nın "İstihdam ile Refah" başlıklı Türkiye Ülke Ekonomik Memorandumu, Türkiye'nin gelir yakınsama hızının son 15 yılda küresel düzeyde en dikkat çekici örneklerden biri olduğunu belirtmektedir. Ancak yüksek enflasyon, düşük verimlilik artışı ve zayıflayan doğrudan yabancı yatırım gibi uzun süreli yapısal zorluklar potansiyel büyümeyi aşındırmaktadır (World Bank, 2025).</w:t>
      </w:r>
    </w:p>
    <w:p>
      <w:r>
        <w:rPr>
          <w:b w:val="0"/>
          <w:i w:val="0"/>
        </w:rPr>
        <w:t>Dünya Bankası, iklime duyarlı tarımın güçlendirilmesi, sanayinin yeşillendirilmesi ve ihracata yönelik imalatta —otomotiv, makine, metal ve elektronik— istihdam artışının desteklenmesi gerektiğini vurgulamaktadır. İşsizlik oranı %8 düzeyinde düşük görünmesine rağmen, geniş tanımlı eksik istihdam oranı (cesareti kırılmış ve eksik çalışanlar dahil) %29,6 ile oldukça yüksek seyretmektedir (World Bank, 2025).</w:t>
      </w:r>
    </w:p>
    <w:p>
      <w:pPr>
        <w:pStyle w:val="Heading2"/>
      </w:pPr>
      <w:r>
        <w:t>5.4. ILO ve UNIDO Bulguları</w:t>
      </w:r>
    </w:p>
    <w:p>
      <w:r>
        <w:rPr>
          <w:b w:val="0"/>
          <w:i w:val="0"/>
        </w:rPr>
        <w:t>ILO'nun 2025 raporuna göre imalat sektörü, bir dönem ekonomik büyüme ve verimli istihdamın itici gücü iken, uzun süreli bir durgunluk dönemine girmiştir. Bu durum hem ülkeler arasında hem de ülke içinde mekansal eşitsizlikleri derinleştirmektedir. Yapısal dönüşümün imalat ve yüksek katma değerli hizmetlere doğru yavaşlaması, reel harcanabilir gelirlerin enflasyon dönemindeki kayıplardan toparlanmasını engellemektedir (ILO, 2025).</w:t>
      </w:r>
    </w:p>
    <w:p>
      <w:r>
        <w:rPr>
          <w:b w:val="0"/>
          <w:i w:val="0"/>
        </w:rPr>
        <w:t>UNIDO'nun Sanayi İstatistikleri Yıllığı 2025'e göre küresel imalat 2024'te %2,9 büyümüştür. Asya ve Okyanusya'ya doğru yapısal kayma sürmekte, orta ve yüksek teknolojili sanayiler yükselmektedir. UNIDO'nun Sanayi Kalkınma Raporu 2024, her imalat istihdamının ortalama olarak ekonominin diğer sektörlerinde ikiden fazla iş yarattığını tespit etmiştir. Güçlü imalat kapasitesine ve çeşitlendirilmiş sanayi yapısına sahip ülkelerin COVID-19 pandemisinin hem ekonomik hem sağlık etkilerini akranlarından daha iyi atlattığı belirlenmiştir (UNIDO, 2024; UNIDO, 2025).</w:t>
      </w:r>
    </w:p>
    <w:p>
      <w:r>
        <w:br w:type="page"/>
      </w:r>
    </w:p>
    <w:p>
      <w:pPr>
        <w:pStyle w:val="Heading1"/>
      </w:pPr>
      <w:r>
        <w:t>6. STRATEJİK ÖNCELİKLİ SEKTÖRLER</w:t>
      </w:r>
    </w:p>
    <w:p>
      <w:pPr>
        <w:pStyle w:val="Heading2"/>
      </w:pPr>
      <w:r>
        <w:t>6.1. Desteklenmesi Gereken Sektörler ve Gerekçeleri</w:t>
      </w:r>
    </w:p>
    <w:p>
      <w:r>
        <w:rPr>
          <w:b w:val="0"/>
          <w:i w:val="0"/>
        </w:rPr>
        <w:t>Veri analizimiz, uluslararası kurum önerileri ve küresel eğilimler bir arada değerlendirildiğinde, Türkiye'de öncelikli olarak desteklenmesi gereken sektörler ve gerekçeleri aşağıda sunulmaktadır:</w:t>
      </w:r>
    </w:p>
    <w:p>
      <w:r>
        <w:rPr>
          <w:b/>
        </w:rPr>
        <w:t xml:space="preserve">1. İmalat Sanayi: </w:t>
      </w:r>
      <w:r>
        <w:t>Toplam istihdamın %25'ini oluşturan imalat sanayi, %43,6 işgücü maliyet oranı ile Kadran 1'de yer almaktadır. UNIDO'ya göre her imalat istihdamı ekonominin diğer sektörlerinde 2+ iş yaratmaktadır. AB CBAM'ın doğrudan etkileyeceği demir-çelik, çimento ve alüminyum gibi alt sektörlerde yeşil dönüşüm yatırımları kritiktir. Türkiye'nin Orta Vadeli Programı (2026-2028) kapsamında HIT-30 Yüksek Teknoloji Yatırım Programı bu sektörü doğrudan hedeflemektedir. Teşvik türü: SGK prim indirimi + yeşil dönüşüm yatırım desteği + Ar-Ge istihdamı teşviki.</w:t>
      </w:r>
    </w:p>
    <w:p>
      <w:r>
        <w:rPr>
          <w:b/>
        </w:rPr>
        <w:t xml:space="preserve">2. İnşaat: </w:t>
      </w:r>
      <w:r>
        <w:t>1,99 milyon sigortalı ile istihdamın %12'sini oluşturmaktadır. İşgücü maliyet oranı %35,6 ile yüksek, kayıt dışılık sektörün en önemli sorunudur. Kadın istihdam oranı yalnızca %8,3 ile son derece düşüktür. Deprem sonrası yeniden yapılanma süreci devam etmekte, yeşil bina standartları ve enerji verimliliği yatırımları önem kazanmaktadır. Teşvik türü: Kayıt dışından kayıt içine geçiş teşviki + kadın istihdamı ek primi + yeşil bina sertifikasyonu desteği.</w:t>
      </w:r>
    </w:p>
    <w:p>
      <w:r>
        <w:rPr>
          <w:b/>
        </w:rPr>
        <w:t xml:space="preserve">3. Konaklama ve Yiyecek Hizmeti: </w:t>
      </w:r>
      <w:r>
        <w:t>1,17 milyon sigortalı ile turizm ekosisteminin temelini oluşturmaktadır. %40,1 maliyet oranı ve %99,3 KOBİ yoğunluğu ile mikro işletme ağırlıklı bir yapıya sahiptir. Mevsimsellik ve kayıt dışılık temel sorunlardır. Türkiye'nin turizm gelirlerinin GSYH'deki payı göz önüne alındığında, bu sektörün desteklenmesi dış denge açısından da önemlidir. Teşvik türü: Sezon dışı istihdam desteği + KOBİ dijitalleşme teşviki + kayıt dışılık denetimi ile eşzamanlı prim indirimi.</w:t>
      </w:r>
    </w:p>
    <w:p>
      <w:r>
        <w:rPr>
          <w:b/>
        </w:rPr>
        <w:t xml:space="preserve">4. İnsan Sağlığı ve Sosyal Hizmet: </w:t>
      </w:r>
      <w:r>
        <w:t>984 bin sigortalı ile %72 işgücü maliyet oranına sahiptir. Nitelikli işgücü yoğun yapısı nedeniyle maliyet oranı yapısal olarak yüksektir. Yaşlanan nüfus ve kronik hastalıklar nedeniyle artan talep, bu sektördeki istihdamın sürdürülebilirliğini stratejik kılmaktadır. OECD, sağlık harcamalarının verimli kullanımı için dijital sağlık çözümlerini önermektedir. Teşvik türü: Nitelikli personel istihdamı desteği + dijital sağlık yatırımı teşviki + kırsal bölge sağlık istihdamı ek primi.</w:t>
      </w:r>
    </w:p>
    <w:p>
      <w:r>
        <w:rPr>
          <w:b/>
        </w:rPr>
        <w:t xml:space="preserve">5. Eğitim: </w:t>
      </w:r>
      <w:r>
        <w:t>654 bin sigortalı ile %75,3 maliyet oranına sahiptir. Beşeri sermaye birikiminin temel sektörü olarak uzun vadeli büyüme altyapısını oluşturmaktadır. OECD, Türkiye'nin GSYH'nin yalnızca %0,3'ünü okul öncesi eğitime ayırdığını (OECD ortalaması %0,8) ve bu alandaki yatırımın kişi başı geliri %6'ya kadar artırabileceğini hesaplamaktadır (OECD, 2025). Teşvik türü: Okul öncesi eğitim yatırım desteği + STEM eğitimci istihdamı teşviki.</w:t>
      </w:r>
    </w:p>
    <w:p>
      <w:r>
        <w:rPr>
          <w:b/>
        </w:rPr>
        <w:t xml:space="preserve">6. İdari ve Destek Hizmet Faaliyetleri: </w:t>
      </w:r>
      <w:r>
        <w:t>1,43 milyon sigortalı ile %60,5 maliyet oranına sahiptir. Güvenlik, temizlik, çağrı merkezi gibi emek yoğun faaliyetleri kapsamaktadır. Bu sektör, kadın istihdamı potansiyeli yüksek (%38,3 kadın oranı) ancak ücret düzeyi düşük bir yapıya sahiptir. Teşvik türü: Düşük ücretli istihdam SGK prim indirimi + nitelik geliştirme programları.</w:t>
      </w:r>
    </w:p>
    <w:p>
      <w:r>
        <w:rPr>
          <w:b/>
        </w:rPr>
        <w:t xml:space="preserve">7. Mesleki, Bilimsel ve Teknik Faaliyetler: </w:t>
      </w:r>
      <w:r>
        <w:t>678 bin sigortalı ile %41,6 maliyet oranı ve en yüksek kadın oranlarından birine (%45,6) sahiptir. Mühendislik, Ar-Ge, danışmanlık gibi yüksek katma değerli faaliyetleri kapsamaktadır. Türkiye'nin Ulusal Yapay Zeka Stratejisi bu sektördeki istihdamı 50.000 kişiye çıkarmayı hedeflemektedir. Teşvik türü: Ar-Ge istihdamı ek teşviki + start-up ekosistem desteği + yüksek teknoloji yatırım indirimi.</w:t>
      </w:r>
    </w:p>
    <w:p>
      <w:r>
        <w:rPr>
          <w:b/>
        </w:rPr>
        <w:t xml:space="preserve">8. Bilgi ve İletişim (Stratejik Büyüme Sektörü): </w:t>
      </w:r>
      <w:r>
        <w:t>Kadran 4'te yer almasına rağmen (%1,7 istihdam payı), dijital dönüşümün temel sektörü olarak stratejik öneme sahiptir. Ortalama günlük kazanç 2.371 TL ile en yüksek ücret düzeyine sahip sektörlerden biridir. Türkiye'nin 5G altyapısı, yazılım ihracatı ve yapay zeka hedefleri doğrultusunda bu sektörün desteklenmesi uzun vadeli dönüştürücü etkiye sahiptir. Teşvik türü: Yazılım istihdamı SGK muafiyeti + teknokent yatırım desteği + dijital beceri geliştirme programları.</w:t>
      </w:r>
    </w:p>
    <w:p>
      <w:pPr>
        <w:pStyle w:val="Heading2"/>
      </w:pPr>
      <w:r>
        <w:t>6.2. Sektörel Risk ve Fırsat Matrisi</w:t>
      </w:r>
    </w:p>
    <w:p>
      <w:pPr>
        <w:ind w:firstLine="0"/>
      </w:pPr>
      <w:r>
        <w:rPr>
          <w:b/>
          <w:i w:val="0"/>
        </w:rPr>
        <w:t>Tablo 4. Desteklenmesi Gereken Sektörlerde Risk ve Fırsat Değerlendirmesi</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8"/>
              </w:rPr>
              <w:t>Sektör</w:t>
            </w:r>
          </w:p>
        </w:tc>
        <w:tc>
          <w:tcPr>
            <w:tcW w:type="dxa" w:w="2280"/>
          </w:tcPr>
          <w:p>
            <w:r>
              <w:rPr>
                <w:b/>
                <w:sz w:val="18"/>
              </w:rPr>
              <w:t>Fırsat</w:t>
            </w:r>
          </w:p>
        </w:tc>
        <w:tc>
          <w:tcPr>
            <w:tcW w:type="dxa" w:w="2280"/>
          </w:tcPr>
          <w:p>
            <w:r>
              <w:rPr>
                <w:b/>
                <w:sz w:val="18"/>
              </w:rPr>
              <w:t>Risk</w:t>
            </w:r>
          </w:p>
        </w:tc>
        <w:tc>
          <w:tcPr>
            <w:tcW w:type="dxa" w:w="2280"/>
          </w:tcPr>
          <w:p>
            <w:r>
              <w:rPr>
                <w:b/>
                <w:sz w:val="18"/>
              </w:rPr>
              <w:t>Küresel Trend</w:t>
            </w:r>
          </w:p>
        </w:tc>
      </w:tr>
      <w:tr>
        <w:tc>
          <w:tcPr>
            <w:tcW w:type="dxa" w:w="2280"/>
          </w:tcPr>
          <w:p>
            <w:r>
              <w:rPr>
                <w:sz w:val="18"/>
              </w:rPr>
              <w:t>İmalat Sanayi</w:t>
            </w:r>
          </w:p>
        </w:tc>
        <w:tc>
          <w:tcPr>
            <w:tcW w:type="dxa" w:w="2280"/>
          </w:tcPr>
          <w:p>
            <w:r>
              <w:rPr>
                <w:sz w:val="18"/>
              </w:rPr>
              <w:t>CBAM uyumu ile AB pazarı</w:t>
              <w:br/>
              <w:t>avantajı; UNIDO çarpan etkisi</w:t>
            </w:r>
          </w:p>
        </w:tc>
        <w:tc>
          <w:tcPr>
            <w:tcW w:type="dxa" w:w="2280"/>
          </w:tcPr>
          <w:p>
            <w:r>
              <w:rPr>
                <w:sz w:val="18"/>
              </w:rPr>
              <w:t>Karbon maliyeti artışı;</w:t>
              <w:br/>
              <w:t>rekabet baskısı</w:t>
            </w:r>
          </w:p>
        </w:tc>
        <w:tc>
          <w:tcPr>
            <w:tcW w:type="dxa" w:w="2280"/>
          </w:tcPr>
          <w:p>
            <w:r>
              <w:rPr>
                <w:sz w:val="18"/>
              </w:rPr>
              <w:t>Yeşil dönüşüm;</w:t>
              <w:br/>
              <w:t>orta-yüksek teknoloji</w:t>
            </w:r>
          </w:p>
        </w:tc>
      </w:tr>
      <w:tr>
        <w:tc>
          <w:tcPr>
            <w:tcW w:type="dxa" w:w="2280"/>
          </w:tcPr>
          <w:p>
            <w:r>
              <w:rPr>
                <w:sz w:val="18"/>
              </w:rPr>
              <w:t>İnşaat</w:t>
            </w:r>
          </w:p>
        </w:tc>
        <w:tc>
          <w:tcPr>
            <w:tcW w:type="dxa" w:w="2280"/>
          </w:tcPr>
          <w:p>
            <w:r>
              <w:rPr>
                <w:sz w:val="18"/>
              </w:rPr>
              <w:t>Deprem yeniden yapılanma;</w:t>
              <w:br/>
              <w:t>yeşil bina potansiyeli</w:t>
            </w:r>
          </w:p>
        </w:tc>
        <w:tc>
          <w:tcPr>
            <w:tcW w:type="dxa" w:w="2280"/>
          </w:tcPr>
          <w:p>
            <w:r>
              <w:rPr>
                <w:sz w:val="18"/>
              </w:rPr>
              <w:t>Kayıt dışılık;</w:t>
              <w:br/>
              <w:t>mevsimsellik</w:t>
            </w:r>
          </w:p>
        </w:tc>
        <w:tc>
          <w:tcPr>
            <w:tcW w:type="dxa" w:w="2280"/>
          </w:tcPr>
          <w:p>
            <w:r>
              <w:rPr>
                <w:sz w:val="18"/>
              </w:rPr>
              <w:t>Sürdürülebilir</w:t>
              <w:br/>
              <w:t>yapı standartları</w:t>
            </w:r>
          </w:p>
        </w:tc>
      </w:tr>
      <w:tr>
        <w:tc>
          <w:tcPr>
            <w:tcW w:type="dxa" w:w="2280"/>
          </w:tcPr>
          <w:p>
            <w:r>
              <w:rPr>
                <w:sz w:val="18"/>
              </w:rPr>
              <w:t>Konaklama</w:t>
            </w:r>
          </w:p>
        </w:tc>
        <w:tc>
          <w:tcPr>
            <w:tcW w:type="dxa" w:w="2280"/>
          </w:tcPr>
          <w:p>
            <w:r>
              <w:rPr>
                <w:sz w:val="18"/>
              </w:rPr>
              <w:t>Turizm geliri;</w:t>
              <w:br/>
              <w:t>dış denge katkısı</w:t>
            </w:r>
          </w:p>
        </w:tc>
        <w:tc>
          <w:tcPr>
            <w:tcW w:type="dxa" w:w="2280"/>
          </w:tcPr>
          <w:p>
            <w:r>
              <w:rPr>
                <w:sz w:val="18"/>
              </w:rPr>
              <w:t>Mevsimsellik;</w:t>
              <w:br/>
              <w:t>düşük ücret</w:t>
            </w:r>
          </w:p>
        </w:tc>
        <w:tc>
          <w:tcPr>
            <w:tcW w:type="dxa" w:w="2280"/>
          </w:tcPr>
          <w:p>
            <w:r>
              <w:rPr>
                <w:sz w:val="18"/>
              </w:rPr>
              <w:t>Dijital turizm;</w:t>
              <w:br/>
              <w:t>sürdürülebilir turizm</w:t>
            </w:r>
          </w:p>
        </w:tc>
      </w:tr>
      <w:tr>
        <w:tc>
          <w:tcPr>
            <w:tcW w:type="dxa" w:w="2280"/>
          </w:tcPr>
          <w:p>
            <w:r>
              <w:rPr>
                <w:sz w:val="18"/>
              </w:rPr>
              <w:t>Sağlık</w:t>
            </w:r>
          </w:p>
        </w:tc>
        <w:tc>
          <w:tcPr>
            <w:tcW w:type="dxa" w:w="2280"/>
          </w:tcPr>
          <w:p>
            <w:r>
              <w:rPr>
                <w:sz w:val="18"/>
              </w:rPr>
              <w:t>Yaşlanan nüfus;</w:t>
              <w:br/>
              <w:t>artan talep</w:t>
            </w:r>
          </w:p>
        </w:tc>
        <w:tc>
          <w:tcPr>
            <w:tcW w:type="dxa" w:w="2280"/>
          </w:tcPr>
          <w:p>
            <w:r>
              <w:rPr>
                <w:sz w:val="18"/>
              </w:rPr>
              <w:t>Nitelikli personel göçü;</w:t>
              <w:br/>
              <w:t>yüksek maliyet</w:t>
            </w:r>
          </w:p>
        </w:tc>
        <w:tc>
          <w:tcPr>
            <w:tcW w:type="dxa" w:w="2280"/>
          </w:tcPr>
          <w:p>
            <w:r>
              <w:rPr>
                <w:sz w:val="18"/>
              </w:rPr>
              <w:t>Dijital sağlık;</w:t>
              <w:br/>
              <w:t>tele-tıp</w:t>
            </w:r>
          </w:p>
        </w:tc>
      </w:tr>
      <w:tr>
        <w:tc>
          <w:tcPr>
            <w:tcW w:type="dxa" w:w="2280"/>
          </w:tcPr>
          <w:p>
            <w:r>
              <w:rPr>
                <w:sz w:val="18"/>
              </w:rPr>
              <w:t>Eğitim</w:t>
            </w:r>
          </w:p>
        </w:tc>
        <w:tc>
          <w:tcPr>
            <w:tcW w:type="dxa" w:w="2280"/>
          </w:tcPr>
          <w:p>
            <w:r>
              <w:rPr>
                <w:sz w:val="18"/>
              </w:rPr>
              <w:t>Beşeri sermaye;</w:t>
              <w:br/>
              <w:t>OECD önerisi</w:t>
            </w:r>
          </w:p>
        </w:tc>
        <w:tc>
          <w:tcPr>
            <w:tcW w:type="dxa" w:w="2280"/>
          </w:tcPr>
          <w:p>
            <w:r>
              <w:rPr>
                <w:sz w:val="18"/>
              </w:rPr>
              <w:t>Bütçe kısıtı;</w:t>
              <w:br/>
              <w:t>nitelik sorunu</w:t>
            </w:r>
          </w:p>
        </w:tc>
        <w:tc>
          <w:tcPr>
            <w:tcW w:type="dxa" w:w="2280"/>
          </w:tcPr>
          <w:p>
            <w:r>
              <w:rPr>
                <w:sz w:val="18"/>
              </w:rPr>
              <w:t>STEM eğitimi;</w:t>
              <w:br/>
              <w:t>hayat boyu öğrenme</w:t>
            </w:r>
          </w:p>
        </w:tc>
      </w:tr>
      <w:tr>
        <w:tc>
          <w:tcPr>
            <w:tcW w:type="dxa" w:w="2280"/>
          </w:tcPr>
          <w:p>
            <w:r>
              <w:rPr>
                <w:sz w:val="18"/>
              </w:rPr>
              <w:t>Bilgi ve İletişim</w:t>
            </w:r>
          </w:p>
        </w:tc>
        <w:tc>
          <w:tcPr>
            <w:tcW w:type="dxa" w:w="2280"/>
          </w:tcPr>
          <w:p>
            <w:r>
              <w:rPr>
                <w:sz w:val="18"/>
              </w:rPr>
              <w:t>AI stratejisi;</w:t>
              <w:br/>
              <w:t>yazılım ihracatı</w:t>
            </w:r>
          </w:p>
        </w:tc>
        <w:tc>
          <w:tcPr>
            <w:tcW w:type="dxa" w:w="2280"/>
          </w:tcPr>
          <w:p>
            <w:r>
              <w:rPr>
                <w:sz w:val="18"/>
              </w:rPr>
              <w:t>Beyin göçü;</w:t>
              <w:br/>
              <w:t>beceri açığı</w:t>
            </w:r>
          </w:p>
        </w:tc>
        <w:tc>
          <w:tcPr>
            <w:tcW w:type="dxa" w:w="2280"/>
          </w:tcPr>
          <w:p>
            <w:r>
              <w:rPr>
                <w:sz w:val="18"/>
              </w:rPr>
              <w:t>AI patlaması;</w:t>
              <w:br/>
              <w:t>5G altyapı</w:t>
            </w:r>
          </w:p>
        </w:tc>
      </w:tr>
    </w:tbl>
    <w:p>
      <w:pPr>
        <w:ind w:firstLine="0"/>
      </w:pPr>
      <w:r>
        <w:rPr>
          <w:b w:val="0"/>
          <w:i/>
        </w:rPr>
        <w:t>Kaynak: Yazarın IMF (2025a; 2026), OECD (2025), World Bank (2025), ILO (2025), UNIDO (2024; 2025) verilerine dayalı değerlendirmesi.</w:t>
      </w:r>
    </w:p>
    <w:p>
      <w:r>
        <w:br w:type="page"/>
      </w:r>
    </w:p>
    <w:p>
      <w:pPr>
        <w:pStyle w:val="Heading1"/>
      </w:pPr>
      <w:r>
        <w:t>7. İSTİHDAM TEŞVİKİ POLİTİKA ÖNERİLERİ</w:t>
      </w:r>
    </w:p>
    <w:p>
      <w:pPr>
        <w:pStyle w:val="Heading2"/>
      </w:pPr>
      <w:r>
        <w:t>7.1. Uluslararası Deneyimler ve Vergi Takozu Karşılaştırması</w:t>
      </w:r>
    </w:p>
    <w:p>
      <w:r>
        <w:rPr>
          <w:b w:val="0"/>
          <w:i w:val="0"/>
        </w:rPr>
        <w:t>İstihdam teşviki tasarımında uluslararası deneyimler ve Türkiye'nin vergi takozu konumu belirleyici bir çerçeve sunmaktadır. OECD Taxing Wages 2025 raporuna göre, Türkiye'de tek çalışanlı ve ortalama ücretli bir birey için vergi takozu %39,0 olup OECD ortalaması olan %34,9'un 4,1 puan üzerindedir. İki çocuklu evli aileler için bu fark daha da dramatiktir: Türkiye %39,0 ile OECD ortalaması %25,7'nin 13,3 puan üzerindedir. Türkiye, Avrupa'da aileleri bekarlardan farklı vergilendirmeyen tek ülke konumundadır (OECD, 2025d).</w:t>
      </w:r>
    </w:p>
    <w:p>
      <w:pPr>
        <w:ind w:firstLine="0"/>
      </w:pPr>
      <w:r>
        <w:rPr>
          <w:b/>
          <w:i w:val="0"/>
        </w:rPr>
        <w:t>Tablo 6. OECD Vergi Takozu Karşılaştırması (2024)</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Pr>
          <w:p>
            <w:r>
              <w:rPr>
                <w:b/>
                <w:sz w:val="18"/>
              </w:rPr>
              <w:t>Gösterge</w:t>
            </w:r>
          </w:p>
        </w:tc>
        <w:tc>
          <w:tcPr>
            <w:tcW w:type="dxa" w:w="3041"/>
          </w:tcPr>
          <w:p>
            <w:r>
              <w:rPr>
                <w:b/>
                <w:sz w:val="18"/>
              </w:rPr>
              <w:t>Türkiye</w:t>
            </w:r>
          </w:p>
        </w:tc>
        <w:tc>
          <w:tcPr>
            <w:tcW w:type="dxa" w:w="3041"/>
          </w:tcPr>
          <w:p>
            <w:r>
              <w:rPr>
                <w:b/>
                <w:sz w:val="18"/>
              </w:rPr>
              <w:t>OECD Ortalaması</w:t>
            </w:r>
          </w:p>
        </w:tc>
      </w:tr>
      <w:tr>
        <w:tc>
          <w:tcPr>
            <w:tcW w:type="dxa" w:w="3041"/>
          </w:tcPr>
          <w:p>
            <w:r>
              <w:rPr>
                <w:sz w:val="18"/>
              </w:rPr>
              <w:t>Vergi takozu (bekar, ort. ücret)</w:t>
            </w:r>
          </w:p>
        </w:tc>
        <w:tc>
          <w:tcPr>
            <w:tcW w:type="dxa" w:w="3041"/>
          </w:tcPr>
          <w:p>
            <w:r>
              <w:rPr>
                <w:sz w:val="18"/>
              </w:rPr>
              <w:t>%39,0</w:t>
            </w:r>
          </w:p>
        </w:tc>
        <w:tc>
          <w:tcPr>
            <w:tcW w:type="dxa" w:w="3041"/>
          </w:tcPr>
          <w:p>
            <w:r>
              <w:rPr>
                <w:sz w:val="18"/>
              </w:rPr>
              <w:t>%34,9</w:t>
            </w:r>
          </w:p>
        </w:tc>
      </w:tr>
      <w:tr>
        <w:tc>
          <w:tcPr>
            <w:tcW w:type="dxa" w:w="3041"/>
          </w:tcPr>
          <w:p>
            <w:r>
              <w:rPr>
                <w:sz w:val="18"/>
              </w:rPr>
              <w:t>Vergi takozu (evli, 2 çocuk)</w:t>
            </w:r>
          </w:p>
        </w:tc>
        <w:tc>
          <w:tcPr>
            <w:tcW w:type="dxa" w:w="3041"/>
          </w:tcPr>
          <w:p>
            <w:r>
              <w:rPr>
                <w:sz w:val="18"/>
              </w:rPr>
              <w:t>%39,0</w:t>
            </w:r>
          </w:p>
        </w:tc>
        <w:tc>
          <w:tcPr>
            <w:tcW w:type="dxa" w:w="3041"/>
          </w:tcPr>
          <w:p>
            <w:r>
              <w:rPr>
                <w:sz w:val="18"/>
              </w:rPr>
              <w:t>%25,7</w:t>
            </w:r>
          </w:p>
        </w:tc>
      </w:tr>
      <w:tr>
        <w:tc>
          <w:tcPr>
            <w:tcW w:type="dxa" w:w="3041"/>
          </w:tcPr>
          <w:p>
            <w:r>
              <w:rPr>
                <w:sz w:val="18"/>
              </w:rPr>
              <w:t>İşveren SGK (fiili, teşvik sonrası)</w:t>
            </w:r>
          </w:p>
        </w:tc>
        <w:tc>
          <w:tcPr>
            <w:tcW w:type="dxa" w:w="3041"/>
          </w:tcPr>
          <w:p>
            <w:r>
              <w:rPr>
                <w:sz w:val="18"/>
              </w:rPr>
              <w:t>%17,5</w:t>
            </w:r>
          </w:p>
        </w:tc>
        <w:tc>
          <w:tcPr>
            <w:tcW w:type="dxa" w:w="3041"/>
          </w:tcPr>
          <w:p>
            <w:r>
              <w:rPr>
                <w:sz w:val="18"/>
              </w:rPr>
              <w:t>—</w:t>
            </w:r>
          </w:p>
        </w:tc>
      </w:tr>
      <w:tr>
        <w:tc>
          <w:tcPr>
            <w:tcW w:type="dxa" w:w="3041"/>
          </w:tcPr>
          <w:p>
            <w:r>
              <w:rPr>
                <w:sz w:val="18"/>
              </w:rPr>
              <w:t>İşveren SGK (yasal)</w:t>
            </w:r>
          </w:p>
        </w:tc>
        <w:tc>
          <w:tcPr>
            <w:tcW w:type="dxa" w:w="3041"/>
          </w:tcPr>
          <w:p>
            <w:r>
              <w:rPr>
                <w:sz w:val="18"/>
              </w:rPr>
              <w:t>%22,75</w:t>
            </w:r>
          </w:p>
        </w:tc>
        <w:tc>
          <w:tcPr>
            <w:tcW w:type="dxa" w:w="3041"/>
          </w:tcPr>
          <w:p>
            <w:r>
              <w:rPr>
                <w:sz w:val="18"/>
              </w:rPr>
              <w:t>—</w:t>
            </w:r>
          </w:p>
        </w:tc>
      </w:tr>
      <w:tr>
        <w:tc>
          <w:tcPr>
            <w:tcW w:type="dxa" w:w="3041"/>
          </w:tcPr>
          <w:p>
            <w:r>
              <w:rPr>
                <w:sz w:val="18"/>
              </w:rPr>
              <w:t>En yüksek: Belçika</w:t>
            </w:r>
          </w:p>
        </w:tc>
        <w:tc>
          <w:tcPr>
            <w:tcW w:type="dxa" w:w="3041"/>
          </w:tcPr>
          <w:p>
            <w:r>
              <w:rPr>
                <w:sz w:val="18"/>
              </w:rPr>
              <w:t>%52,6</w:t>
            </w:r>
          </w:p>
        </w:tc>
        <w:tc>
          <w:tcPr>
            <w:tcW w:type="dxa" w:w="3041"/>
          </w:tcPr>
          <w:p>
            <w:r>
              <w:rPr>
                <w:sz w:val="18"/>
              </w:rPr>
              <w:t>—</w:t>
            </w:r>
          </w:p>
        </w:tc>
      </w:tr>
    </w:tbl>
    <w:p>
      <w:pPr>
        <w:ind w:firstLine="0"/>
      </w:pPr>
      <w:r>
        <w:rPr>
          <w:b w:val="0"/>
          <w:i/>
        </w:rPr>
        <w:t>Kaynak: OECD Taxing Wages 2025; Türkiye Country Note.</w:t>
      </w:r>
    </w:p>
    <w:p>
      <w:r>
        <w:rPr>
          <w:b w:val="0"/>
          <w:i w:val="0"/>
        </w:rPr>
        <w:t>Uluslararası istihdam teşviki deneyimleri önemli dersler sunmaktadır:</w:t>
      </w:r>
    </w:p>
    <w:p>
      <w:r>
        <w:rPr>
          <w:b/>
        </w:rPr>
        <w:t xml:space="preserve">Almanya — Kurzarbeit: </w:t>
      </w:r>
      <w:r>
        <w:t>Kısa çalışma programı, 2008-09 küresel krizinde yaklaşık 500.000, COVID-19 döneminde 6 milyon işçiyi kapsayarak istihdamı korumuştur. Almanya'da istihdam, GSYİH'deki %7'lik düşüşe rağmen yalnızca %1 gerilemiştir (Tax Foundation, 2025).</w:t>
      </w:r>
    </w:p>
    <w:p>
      <w:r>
        <w:rPr>
          <w:b/>
        </w:rPr>
        <w:t xml:space="preserve">Fransa — Réduction Générale: </w:t>
      </w:r>
      <w:r>
        <w:t>Yapısal işveren sosyal katkı payı indirimi, 2024-25'te asgari ücretin 1,6 katına kadar maaşlarda maksimum %32 oranında uygulanmıştır. 2026'da 3x asgari ücrete genişletilerek RGDU sistemine dönüştürülmüştür. Ancak CICE vergi kredisinin ihracat üzerinde istatistiksel olarak anlamlı bir etkisi bulunamamıştır (URSSAF, 2025; France Stratégie, 2020).</w:t>
      </w:r>
    </w:p>
    <w:p>
      <w:r>
        <w:rPr>
          <w:b/>
        </w:rPr>
        <w:t xml:space="preserve">Güney Kore — KOBİ İstihdam Teşvikleri: </w:t>
      </w:r>
      <w:r>
        <w:t>Her ek KOBİ çalışanı için 7-7,7 milyon KRW vergi indirimi, genç KOBİ çalışanlarına 5 yıl boyunca %90 gelir vergisi muafiyeti uygulanmaktadır. Ancak 2024 araştırması, yüksek nitelikli gençlerde mütevazı teşviklerin yüksek rezervasyon ücreti nedeniyle etkisiz kaldığını göstermiştir (MOEL, 2024).</w:t>
      </w:r>
    </w:p>
    <w:p>
      <w:r>
        <w:rPr>
          <w:b/>
        </w:rPr>
        <w:t xml:space="preserve">İngiltere — Employment Allowance: </w:t>
      </w:r>
      <w:r>
        <w:t>Sabit işveren NIC indirimi 2025'te 10.500 GBP'ye yükseltilmiştir. İşveren NIC oranı %13,8'den %15'e artırılırken, 100.000 GBP uygunluk tavanı kaldırılarak tüm işletmelere erişim sağlanmıştır (GOV.UK, 2025).</w:t>
      </w:r>
    </w:p>
    <w:p>
      <w:r>
        <w:rPr>
          <w:b w:val="0"/>
          <w:i w:val="0"/>
        </w:rPr>
        <w:t>Ölü ağırlık kaybı (deadweight loss) tahminleri ülkeden ülkeye önemli farklılıklar göstermektedir. Türkiye için %27-46, Belçika için %53, Fransa için %84 oranında ölü ağırlık kaybı hesaplanmıştır. Makroekonomik çalışmalar sistematik olarak anket çalışmalarından daha yüksek ölü ağırlık kaybı tahmin etmektedir. Teşviklerin yalnızca işsiz bireylere yönlendirilmesi (işten işe geçişlerin hariç tutulması), Almanya deneyiminde maliyeti %20-30 düşürmüştür (Hartmann ve diğerleri, 2013; IZA, 2023).</w:t>
      </w:r>
    </w:p>
    <w:p>
      <w:r>
        <w:rPr>
          <w:b w:val="0"/>
          <w:i w:val="0"/>
        </w:rPr>
        <w:t>Meksika'da uygulanan deneysel geçici ücret teşvikleri, formel istihdamı 4,2 yüzde puanı (%14,5) ve daimi sözleşmeleri %25 oranında artırmıştır. Bu bulgu, kayıt dışılığın yüksek olduğu Türkiye için kayıt dışından kayıt içine geçiş odaklı teşvik tasarımının etkinliğine güçlü bir kanıt sunmaktadır (VoxDev, 2024; OECD, 2024b).</w:t>
      </w:r>
    </w:p>
    <w:p>
      <w:pPr>
        <w:pStyle w:val="Heading2"/>
      </w:pPr>
      <w:r>
        <w:t>7.2. Teşvik Tasarım Parametreleri</w:t>
      </w:r>
    </w:p>
    <w:p>
      <w:r>
        <w:rPr>
          <w:b w:val="0"/>
          <w:i w:val="0"/>
        </w:rPr>
        <w:t>Uluslararası deneyimler ve Türkiye'nin yapısal özellikleri dikkate alındığında, istihdam teşviki tasarımında aşağıdaki parametrelerin gözetilmesi önerilmektedir:</w:t>
      </w:r>
    </w:p>
    <w:p>
      <w:r>
        <w:rPr>
          <w:b/>
        </w:rPr>
        <w:t xml:space="preserve">SGK Prim İndirimi Kademelendirmesi: </w:t>
      </w:r>
      <w:r>
        <w:t>Kadran 1 sektörleri için işveren SGK prim payında %10-15 oranında indirim önerilmektedir. Net istihdam artışı şartı konulmalı ve baz yıl istihdamının altına düşmeme koşulu aranmalıdır. OECD'nin düşük gelirli çalışanlarda sosyal güvenlik primlerinin düşürülmesi önerisi (OECD, 2025) bu kapsamda değerlendirilmelidir.</w:t>
      </w:r>
    </w:p>
    <w:p>
      <w:r>
        <w:rPr>
          <w:b/>
        </w:rPr>
        <w:t xml:space="preserve">İşyeri Büyüklüğüne Göre Farklılaştırma: </w:t>
      </w:r>
      <w:r>
        <w:t>Mikro işletmeler (&lt;10 çalışan) tam oran, küçük işletmeler (10-49) %75, orta işletmeler (50-249) %50 ve büyük işletmeler (250+) yalnızca net artış koşuluyla teşvikten yararlanmalıdır. Verilerimize göre K1 sektörlerinde KOBİ oranı %95'in üzerindedir.</w:t>
      </w:r>
    </w:p>
    <w:p>
      <w:r>
        <w:rPr>
          <w:b/>
        </w:rPr>
        <w:t xml:space="preserve">Bölgesel Farklılaştırma: </w:t>
      </w:r>
      <w:r>
        <w:t>Yatırım teşvik bölgelerine göre ek puan uygulanmalıdır. Dünya Bankası'nın deprem bölgelerinde ekonomik toparlanma vurgusu (World Bank, 2025) doğrultusunda, deprem bölgelerinde ek teşvik katsayısı uygulanmalıdır.</w:t>
      </w:r>
    </w:p>
    <w:p>
      <w:r>
        <w:rPr>
          <w:b/>
        </w:rPr>
        <w:t xml:space="preserve">Cinsiyet Eşitliği Boyutu: </w:t>
      </w:r>
      <w:r>
        <w:t>OECD'nin vurguladığı kadın işgücü katılımı açığını kapatmak için kadın oranı %30'un altındaki sektörlerde (İnşaat %8,3, Ulaştırma, Madencilik) kadın istihdamına ek %5 puan teşvik uygulanmalıdır. Okul öncesi eğitim yatırımları ile desteklenmelidir (OECD, 2025).</w:t>
      </w:r>
    </w:p>
    <w:p>
      <w:r>
        <w:rPr>
          <w:b/>
        </w:rPr>
        <w:t xml:space="preserve">Nitelik Düzeyine Göre Ayrım: </w:t>
      </w:r>
      <w:r>
        <w:t>Düşük nitelikli istihdam için kayıt dışılık azaltma odaklı tam teşvik; orta nitelikli istihdam için standart teşvik; yüksek nitelikli istihdam (mühendis, Ar-Ge uzmanı) için Türkiye Ulusal AI Stratejisi hedefleri doğrultusunda ek Ar-Ge istihdamı teşviki uygulanmalıdır.</w:t>
      </w:r>
    </w:p>
    <w:p>
      <w:r>
        <w:rPr>
          <w:b/>
        </w:rPr>
        <w:t xml:space="preserve">Teşvik Süresi ve Kademeli Çıkış: </w:t>
      </w:r>
      <w:r>
        <w:t>1-3. yıl tam oran, 4. yıl %75'e, 5. yıl %50'ye düşürülmelidir. 6. yılda etki değerlendirmesine göre uzatma veya sonlandırma kararı verilmelidir.</w:t>
      </w:r>
    </w:p>
    <w:p>
      <w:pPr>
        <w:pStyle w:val="Heading2"/>
      </w:pPr>
      <w:r>
        <w:t>7.3. Sektör Bazlı Teşvik Modelleri</w:t>
      </w:r>
    </w:p>
    <w:p>
      <w:pPr>
        <w:ind w:firstLine="0"/>
      </w:pPr>
      <w:r>
        <w:rPr>
          <w:b/>
          <w:i w:val="0"/>
        </w:rPr>
        <w:t>Tablo 7. Sektör Bazlı Teşvik Model Önerileri</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8"/>
              </w:rPr>
              <w:t>Sektör</w:t>
            </w:r>
          </w:p>
        </w:tc>
        <w:tc>
          <w:tcPr>
            <w:tcW w:type="dxa" w:w="2280"/>
          </w:tcPr>
          <w:p>
            <w:r>
              <w:rPr>
                <w:b/>
                <w:sz w:val="18"/>
              </w:rPr>
              <w:t>Teşvik Modeli</w:t>
            </w:r>
          </w:p>
        </w:tc>
        <w:tc>
          <w:tcPr>
            <w:tcW w:type="dxa" w:w="2280"/>
          </w:tcPr>
          <w:p>
            <w:r>
              <w:rPr>
                <w:b/>
                <w:sz w:val="18"/>
              </w:rPr>
              <w:t>Hedef</w:t>
            </w:r>
          </w:p>
        </w:tc>
        <w:tc>
          <w:tcPr>
            <w:tcW w:type="dxa" w:w="2280"/>
          </w:tcPr>
          <w:p>
            <w:r>
              <w:rPr>
                <w:b/>
                <w:sz w:val="18"/>
              </w:rPr>
              <w:t>İzleme Göstergesi</w:t>
            </w:r>
          </w:p>
        </w:tc>
      </w:tr>
      <w:tr>
        <w:tc>
          <w:tcPr>
            <w:tcW w:type="dxa" w:w="2280"/>
          </w:tcPr>
          <w:p>
            <w:r>
              <w:rPr>
                <w:sz w:val="18"/>
              </w:rPr>
              <w:t>İmalat Sanayi</w:t>
            </w:r>
          </w:p>
        </w:tc>
        <w:tc>
          <w:tcPr>
            <w:tcW w:type="dxa" w:w="2280"/>
          </w:tcPr>
          <w:p>
            <w:r>
              <w:rPr>
                <w:sz w:val="18"/>
              </w:rPr>
              <w:t>SGK %12 + yeşil yatırım</w:t>
              <w:br/>
              <w:t>desteği + Ar-Ge teşviki</w:t>
            </w:r>
          </w:p>
        </w:tc>
        <w:tc>
          <w:tcPr>
            <w:tcW w:type="dxa" w:w="2280"/>
          </w:tcPr>
          <w:p>
            <w:r>
              <w:rPr>
                <w:sz w:val="18"/>
              </w:rPr>
              <w:t>Net 200K yeni istihdam</w:t>
              <w:br/>
              <w:t>CBAM uyumu</w:t>
            </w:r>
          </w:p>
        </w:tc>
        <w:tc>
          <w:tcPr>
            <w:tcW w:type="dxa" w:w="2280"/>
          </w:tcPr>
          <w:p>
            <w:r>
              <w:rPr>
                <w:sz w:val="18"/>
              </w:rPr>
              <w:t>Karbon yoğunluğu</w:t>
              <w:br/>
              <w:t>İhracat payı</w:t>
            </w:r>
          </w:p>
        </w:tc>
      </w:tr>
      <w:tr>
        <w:tc>
          <w:tcPr>
            <w:tcW w:type="dxa" w:w="2280"/>
          </w:tcPr>
          <w:p>
            <w:r>
              <w:rPr>
                <w:sz w:val="18"/>
              </w:rPr>
              <w:t>İnşaat</w:t>
            </w:r>
          </w:p>
        </w:tc>
        <w:tc>
          <w:tcPr>
            <w:tcW w:type="dxa" w:w="2280"/>
          </w:tcPr>
          <w:p>
            <w:r>
              <w:rPr>
                <w:sz w:val="18"/>
              </w:rPr>
              <w:t>Kayıt içi geçiş primi</w:t>
              <w:br/>
              <w:t>+ kadın ek teşvik %5</w:t>
            </w:r>
          </w:p>
        </w:tc>
        <w:tc>
          <w:tcPr>
            <w:tcW w:type="dxa" w:w="2280"/>
          </w:tcPr>
          <w:p>
            <w:r>
              <w:rPr>
                <w:sz w:val="18"/>
              </w:rPr>
              <w:t>Kayıt dışılık %10↓</w:t>
              <w:br/>
              <w:t>Kadın oranı %15'e</w:t>
            </w:r>
          </w:p>
        </w:tc>
        <w:tc>
          <w:tcPr>
            <w:tcW w:type="dxa" w:w="2280"/>
          </w:tcPr>
          <w:p>
            <w:r>
              <w:rPr>
                <w:sz w:val="18"/>
              </w:rPr>
              <w:t>SGK bildirge artışı</w:t>
              <w:br/>
              <w:t>Kadın sigortalı sayısı</w:t>
            </w:r>
          </w:p>
        </w:tc>
      </w:tr>
      <w:tr>
        <w:tc>
          <w:tcPr>
            <w:tcW w:type="dxa" w:w="2280"/>
          </w:tcPr>
          <w:p>
            <w:r>
              <w:rPr>
                <w:sz w:val="18"/>
              </w:rPr>
              <w:t>Konaklama</w:t>
            </w:r>
          </w:p>
        </w:tc>
        <w:tc>
          <w:tcPr>
            <w:tcW w:type="dxa" w:w="2280"/>
          </w:tcPr>
          <w:p>
            <w:r>
              <w:rPr>
                <w:sz w:val="18"/>
              </w:rPr>
              <w:t>Sezon dışı prim indirimi</w:t>
              <w:br/>
              <w:t>+ dijital KOBİ desteği</w:t>
            </w:r>
          </w:p>
        </w:tc>
        <w:tc>
          <w:tcPr>
            <w:tcW w:type="dxa" w:w="2280"/>
          </w:tcPr>
          <w:p>
            <w:r>
              <w:rPr>
                <w:sz w:val="18"/>
              </w:rPr>
              <w:t>12 ay istihdam sürekliliği</w:t>
              <w:br/>
              <w:t>Dijitalleşme %50</w:t>
            </w:r>
          </w:p>
        </w:tc>
        <w:tc>
          <w:tcPr>
            <w:tcW w:type="dxa" w:w="2280"/>
          </w:tcPr>
          <w:p>
            <w:r>
              <w:rPr>
                <w:sz w:val="18"/>
              </w:rPr>
              <w:t>Mevsimsel istihdam farkı</w:t>
              <w:br/>
              <w:t>E-fatura kullanımı</w:t>
            </w:r>
          </w:p>
        </w:tc>
      </w:tr>
      <w:tr>
        <w:tc>
          <w:tcPr>
            <w:tcW w:type="dxa" w:w="2280"/>
          </w:tcPr>
          <w:p>
            <w:r>
              <w:rPr>
                <w:sz w:val="18"/>
              </w:rPr>
              <w:t>Sağlık</w:t>
            </w:r>
          </w:p>
        </w:tc>
        <w:tc>
          <w:tcPr>
            <w:tcW w:type="dxa" w:w="2280"/>
          </w:tcPr>
          <w:p>
            <w:r>
              <w:rPr>
                <w:sz w:val="18"/>
              </w:rPr>
              <w:t>Nitelikli personel primi</w:t>
              <w:br/>
              <w:t>+ kırsal ek teşvik</w:t>
            </w:r>
          </w:p>
        </w:tc>
        <w:tc>
          <w:tcPr>
            <w:tcW w:type="dxa" w:w="2280"/>
          </w:tcPr>
          <w:p>
            <w:r>
              <w:rPr>
                <w:sz w:val="18"/>
              </w:rPr>
              <w:t>Beyin göçünü yavaşlatma</w:t>
              <w:br/>
              <w:t>Kırsal erişim</w:t>
            </w:r>
          </w:p>
        </w:tc>
        <w:tc>
          <w:tcPr>
            <w:tcW w:type="dxa" w:w="2280"/>
          </w:tcPr>
          <w:p>
            <w:r>
              <w:rPr>
                <w:sz w:val="18"/>
              </w:rPr>
              <w:t>Hekim sayısı/100K</w:t>
              <w:br/>
              <w:t>Hemşire tutma oranı</w:t>
            </w:r>
          </w:p>
        </w:tc>
      </w:tr>
      <w:tr>
        <w:tc>
          <w:tcPr>
            <w:tcW w:type="dxa" w:w="2280"/>
          </w:tcPr>
          <w:p>
            <w:r>
              <w:rPr>
                <w:sz w:val="18"/>
              </w:rPr>
              <w:t>Eğitim</w:t>
            </w:r>
          </w:p>
        </w:tc>
        <w:tc>
          <w:tcPr>
            <w:tcW w:type="dxa" w:w="2280"/>
          </w:tcPr>
          <w:p>
            <w:r>
              <w:rPr>
                <w:sz w:val="18"/>
              </w:rPr>
              <w:t>Okul öncesi yatırım</w:t>
              <w:br/>
              <w:t>+ STEM eğitimci teşviki</w:t>
            </w:r>
          </w:p>
        </w:tc>
        <w:tc>
          <w:tcPr>
            <w:tcW w:type="dxa" w:w="2280"/>
          </w:tcPr>
          <w:p>
            <w:r>
              <w:rPr>
                <w:sz w:val="18"/>
              </w:rPr>
              <w:t>Okul öncesi okullaşma</w:t>
              <w:br/>
              <w:t>%80'e çıkarma</w:t>
            </w:r>
          </w:p>
        </w:tc>
        <w:tc>
          <w:tcPr>
            <w:tcW w:type="dxa" w:w="2280"/>
          </w:tcPr>
          <w:p>
            <w:r>
              <w:rPr>
                <w:sz w:val="18"/>
              </w:rPr>
              <w:t>ECEC harcama/GSYH</w:t>
              <w:br/>
              <w:t>STEM mezun sayısı</w:t>
            </w:r>
          </w:p>
        </w:tc>
      </w:tr>
      <w:tr>
        <w:tc>
          <w:tcPr>
            <w:tcW w:type="dxa" w:w="2280"/>
          </w:tcPr>
          <w:p>
            <w:r>
              <w:rPr>
                <w:sz w:val="18"/>
              </w:rPr>
              <w:t>Bilgi İletişim</w:t>
            </w:r>
          </w:p>
        </w:tc>
        <w:tc>
          <w:tcPr>
            <w:tcW w:type="dxa" w:w="2280"/>
          </w:tcPr>
          <w:p>
            <w:r>
              <w:rPr>
                <w:sz w:val="18"/>
              </w:rPr>
              <w:t>Yazılımcı SGK muafiyeti</w:t>
              <w:br/>
              <w:t>+ teknokent genişleme</w:t>
            </w:r>
          </w:p>
        </w:tc>
        <w:tc>
          <w:tcPr>
            <w:tcW w:type="dxa" w:w="2280"/>
          </w:tcPr>
          <w:p>
            <w:r>
              <w:rPr>
                <w:sz w:val="18"/>
              </w:rPr>
              <w:t>50K AI istihdamı</w:t>
              <w:br/>
              <w:t>Yazılım ihracatı 2x</w:t>
            </w:r>
          </w:p>
        </w:tc>
        <w:tc>
          <w:tcPr>
            <w:tcW w:type="dxa" w:w="2280"/>
          </w:tcPr>
          <w:p>
            <w:r>
              <w:rPr>
                <w:sz w:val="18"/>
              </w:rPr>
              <w:t>Ar-Ge harcama/GSYH</w:t>
              <w:br/>
              <w:t>Patent başvurusu</w:t>
            </w:r>
          </w:p>
        </w:tc>
      </w:tr>
    </w:tbl>
    <w:p>
      <w:pPr>
        <w:pStyle w:val="Heading2"/>
      </w:pPr>
      <w:r>
        <w:t>7.4. AB Yeşil Mutabakat ve CBAM Uyumu</w:t>
      </w:r>
    </w:p>
    <w:p>
      <w:r>
        <w:rPr>
          <w:b w:val="0"/>
          <w:i w:val="0"/>
        </w:rPr>
        <w:t>AB Karbon Sınır Düzenleme Mekanizması (CBAM) 1 Ocak 2026'da kesin uygulama aşamasına geçmiştir. Çimento, demir-çelik, alüminyum, gübre, elektrik ve hidrojeni kapsayan mekanizma, ithalat edilen malların karbon yoğunluğuna dayalı sertifika alınmasını zorunlu kılmaktadır (European Commission, 2025).</w:t>
      </w:r>
    </w:p>
    <w:p>
      <w:r>
        <w:rPr>
          <w:b w:val="0"/>
          <w:i w:val="0"/>
        </w:rPr>
        <w:t>Avrupa Komisyonu analizine göre Türkiye, Çin'den sonra CBAM'dan en çok etkilenecek ikinci ülkedir; AB'ye yılda yaklaşık 8 milyar Euro değerinde karbon yoğun ürün ihraç etmektedir. Hindistan, Rusya ve Türkiye'nin ihracat rekabetçiliğinde en keskin düşüşleri yaşaması beklenmektedir (WEF, 2025; IISD, 2025).</w:t>
      </w:r>
    </w:p>
    <w:p>
      <w:r>
        <w:rPr>
          <w:b w:val="0"/>
          <w:i w:val="0"/>
        </w:rPr>
        <w:t>Türkiye'nin politika yanıtı olarak kendi Emisyon Ticaret Sistemi'nin (ETS) pilot aşaması 2026'da başlaması planlanmaktadır. Ancak CBAM sertifika maliyetlerinin sanayi firmalarına bindireceği ek yükün istihdam üzerindeki etkisi dikkatlice yönetilmelidir. Bu bağlamda, yeşil dönüşüm yatırımı yapan firmalara ek istihdam teşviki verilmesi önerilmektedir.</w:t>
      </w:r>
    </w:p>
    <w:p>
      <w:pPr>
        <w:pStyle w:val="Heading2"/>
      </w:pPr>
      <w:r>
        <w:t>7.5. Dijital Dönüşüm ve Yapay Zeka</w:t>
      </w:r>
    </w:p>
    <w:p>
      <w:r>
        <w:rPr>
          <w:b w:val="0"/>
          <w:i w:val="0"/>
        </w:rPr>
        <w:t>Türkiye'nin Ulusal Yapay Zeka Stratejisi (2021-2025, 2024 güncellemesi) yapay zekanın GSYH'ye katkısını %5'e çıkarmayı ve AI alanında 50.000 istihdam yaratmayı hedeflemektedir. Sanayi ve Teknoloji Bakanlığı'nın Dijital ve Yeşil Dönüşüm Destek Programları, sanayi tesislerinin sürdürülebilirlik odaklı uygulamalarını desteklemektedir.</w:t>
      </w:r>
    </w:p>
    <w:p>
      <w:r>
        <w:rPr>
          <w:b w:val="0"/>
          <w:i w:val="0"/>
        </w:rPr>
        <w:t>Orta Vadeli Program (2026-2028), sektörel önceliklendirmeye dayalı hedefli sanayi politikalarının uygulanacağını, yüksek katma değerli üretim ve teknoloji odaklı dönüşüm yoluyla rekabet gücünün artırılacağını belirtmektedir. HIT-30 Yüksek Teknoloji Yatırım Programı, öncelikli teknoloji alanlarında büyük ölçekli yatırımları proje bazlı mekanizmalarla destekleyecektir.</w:t>
      </w:r>
    </w:p>
    <w:p>
      <w:r>
        <w:rPr>
          <w:b w:val="0"/>
          <w:i w:val="0"/>
        </w:rPr>
        <w:t>IMF'nin yapay zeka patlamasının 1990'ların dot-com patlamasına benzediği uyarısı dikkate alınarak, AI yatırımlarında verimlilik odaklı bir yaklaşım benimsenmelidir. Teknoloji benimseme hızı sektörler arasında eşitsiz olduğundan, dijital beceri geliştirme programlarının sektörel ihtiyaçlara göre farklılaştırılması gerekmektedir (IMF, 2025a).</w:t>
      </w:r>
    </w:p>
    <w:p>
      <w:r>
        <w:br w:type="page"/>
      </w:r>
    </w:p>
    <w:p>
      <w:pPr>
        <w:pStyle w:val="Heading1"/>
      </w:pPr>
      <w:r>
        <w:t>8. SONUÇ VE DEĞERLENDİRME</w:t>
      </w:r>
    </w:p>
    <w:p>
      <w:r>
        <w:rPr>
          <w:b w:val="0"/>
          <w:i w:val="0"/>
        </w:rPr>
        <w:t>Bu rapor, Türkiye'nin sektörel işgücü yapısını küresel ekonomik gelişmeler ve uluslararası kurum önerileri perspektifinden analiz etmiştir. Temel bulgular şu şekilde özetlenebilir:</w:t>
      </w:r>
    </w:p>
    <w:p>
      <w:pPr>
        <w:pStyle w:val="ListBullet"/>
        <w:ind w:firstLine="0"/>
      </w:pPr>
      <w:r>
        <w:t>Türkiye ekonomisinde 8 sektör (İmalat, İnşaat, İdari Destek, Konaklama, Sağlık, Mesleki Faaliyetler, Eğitim, Kamu Yönetimi) hem yüksek istihdam kapasitesine sahip hem de yüksek işgücü maliyeti taşımaktadır. Bu sektörler toplam istihdamın yaklaşık %75'ini oluşturmakta ve teşvik politikalarının birincil hedef grubudur.</w:t>
      </w:r>
    </w:p>
    <w:p>
      <w:pPr>
        <w:pStyle w:val="ListBullet"/>
        <w:ind w:firstLine="0"/>
      </w:pPr>
      <w:r>
        <w:t>AB CBAM'ın 2026'da yürürlüğe girmesi, Türkiye imalat sanayinin yeşil dönüşümünü acil bir öncelik haline getirmiştir. Yılda 8 milyar Euro'luk ihracatın korunması için karbon yoğunluğunun düşürülmesi, bu süreçte istihdamın desteklenmesi kritiktir.</w:t>
      </w:r>
    </w:p>
    <w:p>
      <w:pPr>
        <w:pStyle w:val="ListBullet"/>
        <w:ind w:firstLine="0"/>
      </w:pPr>
      <w:r>
        <w:t>OECD'nin kadın işgücü katılımı, hizmetler sektörü düzenlemeleri ve kayıt dışılık konularındaki önerileri, teşvik politikalarının tasarımında gözetilmelidir. Okul öncesi eğitime GSYH'nin %0,8'inin ayrılması kişi başı geliri %6 artırabilir.</w:t>
      </w:r>
    </w:p>
    <w:p>
      <w:pPr>
        <w:pStyle w:val="ListBullet"/>
        <w:ind w:firstLine="0"/>
      </w:pPr>
      <w:r>
        <w:t>Dijital dönüşüm ve yapay zeka alanında Bilgi ve İletişim sektörünün stratejik olarak desteklenmesi, Türkiye'nin küresel değer zincirlerinde yukarı doğru hareketini hızlandıracaktır.</w:t>
      </w:r>
    </w:p>
    <w:p>
      <w:pPr>
        <w:pStyle w:val="ListBullet"/>
        <w:ind w:firstLine="0"/>
      </w:pPr>
      <w:r>
        <w:t>Teşvik politikalarında ölü ağırlık kaybı, ikame etkisi ve mali sürdürülebilirlik riskleri dikkatlice yönetilmeli; net istihdam artışı koşulu, kademeli çıkış mekanizması ve yıllık maliyet-fayda analizi zorunlu tutulmalıdır.</w:t>
      </w:r>
    </w:p>
    <w:p>
      <w:r>
        <w:rPr>
          <w:b w:val="0"/>
          <w:i w:val="0"/>
        </w:rPr>
        <w:t>Sonuç olarak, Türkiye'nin istihdam teşviki politikaları tek boyutlu değil, sektörel, bölgesel, cinsiyet ve nitelik düzeyine göre farklılaştırılmış; küresel megatrendlerle (yeşil dönüşüm, dijitalleşme, AI) uyumlu ve uluslararası kurum önerileriyle tutarlı bir şekilde tasarlanmalıdır.</w:t>
      </w:r>
    </w:p>
    <w:p>
      <w:r>
        <w:br w:type="page"/>
      </w:r>
    </w:p>
    <w:p>
      <w:pPr>
        <w:pStyle w:val="Heading1"/>
      </w:pPr>
      <w:r>
        <w:t>KAYNAKÇA</w:t>
      </w:r>
    </w:p>
    <w:p>
      <w:pPr>
        <w:spacing w:after="120"/>
        <w:ind w:firstLine="0" w:left="709"/>
      </w:pPr>
      <w:r>
        <w:rPr>
          <w:sz w:val="22"/>
        </w:rPr>
        <w:t>European Commission (2025). Carbon Border Adjustment Mechanism (CBAM). https://taxation-customs.ec.europa.eu/carbon-border-adjustment-mechanism_en</w:t>
      </w:r>
    </w:p>
    <w:p>
      <w:pPr>
        <w:spacing w:after="120"/>
        <w:ind w:firstLine="0" w:left="709"/>
      </w:pPr>
      <w:r>
        <w:rPr>
          <w:sz w:val="22"/>
        </w:rPr>
        <w:t>France Stratégie (2020). Les Effets du CICE sur l'Emploi, l'Investissement et la Compétitivité des Entreprises. Comité de Suivi du CICE.</w:t>
      </w:r>
    </w:p>
    <w:p>
      <w:pPr>
        <w:spacing w:after="120"/>
        <w:ind w:firstLine="0" w:left="709"/>
      </w:pPr>
      <w:r>
        <w:rPr>
          <w:sz w:val="22"/>
        </w:rPr>
        <w:t>GOV.UK (2025). Changes to the Class 1 National Insurance Contributions Secondary Threshold. https://www.gov.uk/government/publications/changes-to-the-class-1-national-insurance-contributions-secondary-threshold</w:t>
      </w:r>
    </w:p>
    <w:p>
      <w:pPr>
        <w:spacing w:after="120"/>
        <w:ind w:firstLine="0" w:left="709"/>
      </w:pPr>
      <w:r>
        <w:rPr>
          <w:sz w:val="22"/>
        </w:rPr>
        <w:t>Hartmann, M., Kluve, J. ve Schmitz, S. (2013). Identifying Workers at Risk of Deadweight Loss and Substitution Effects. IAB Discussion Paper No. 05/2013. Institute for Employment Research. https://doku.iab.de/discussionpapers/2013/dp0513.pdf</w:t>
      </w:r>
    </w:p>
    <w:p>
      <w:pPr>
        <w:spacing w:after="120"/>
        <w:ind w:firstLine="0" w:left="709"/>
      </w:pPr>
      <w:r>
        <w:rPr>
          <w:sz w:val="22"/>
        </w:rPr>
        <w:t>ICAP (2025). Türkiye Adopts Landmark Climate Law, Paving the Way for National ETS. International Carbon Action Partnership. https://icapcarbonaction.com/en/news/turkiye-adopts-landmark-climate-law-paving-way-national-ets</w:t>
      </w:r>
    </w:p>
    <w:p>
      <w:pPr>
        <w:spacing w:after="120"/>
        <w:ind w:firstLine="0" w:left="709"/>
      </w:pPr>
      <w:r>
        <w:rPr>
          <w:sz w:val="22"/>
        </w:rPr>
        <w:t>IISD (2025). EU Carbon Border Adjustment Mechanism Is Set to Get Bigger: Implications for Trade and Industrial Value Chains. International Institute for Sustainable Development. https://www.iisd.org/articles/explainer/eu-carbon-border-adjustment-mechanism-bigger-trade-implications</w:t>
      </w:r>
    </w:p>
    <w:p>
      <w:pPr>
        <w:spacing w:after="120"/>
        <w:ind w:firstLine="0" w:left="709"/>
      </w:pPr>
      <w:r>
        <w:rPr>
          <w:sz w:val="22"/>
        </w:rPr>
        <w:t>ILO (2025). World Employment and Social Outlook: Trends 2025. International Labour Organization. https://www.ilo.org/publications/flagship-reports/world-employment-and-social-outlook-trends-2025</w:t>
      </w:r>
    </w:p>
    <w:p>
      <w:pPr>
        <w:spacing w:after="120"/>
        <w:ind w:firstLine="0" w:left="709"/>
      </w:pPr>
      <w:r>
        <w:rPr>
          <w:sz w:val="22"/>
        </w:rPr>
        <w:t>IZA (2023). Can Hiring Subsidies Benefit the Unemployed? IZA World of Labor. https://wol.iza.org/articles/can-hiring-subsidies-benefit-unemployed/long</w:t>
      </w:r>
    </w:p>
    <w:p>
      <w:pPr>
        <w:spacing w:after="120"/>
        <w:ind w:firstLine="0" w:left="709"/>
      </w:pPr>
      <w:r>
        <w:rPr>
          <w:sz w:val="22"/>
        </w:rPr>
        <w:t>IMF (2025a). World Economic Outlook, October 2025: Global Economy in Flux, Prospects Remain Dim. International Monetary Fund. https://www.imf.org/en/publications/weo/issues/2025/10/14/world-economic-outlook-october-2025</w:t>
      </w:r>
    </w:p>
    <w:p>
      <w:pPr>
        <w:spacing w:after="120"/>
        <w:ind w:firstLine="0" w:left="709"/>
      </w:pPr>
      <w:r>
        <w:rPr>
          <w:sz w:val="22"/>
        </w:rPr>
        <w:t>IMF (2025b). World Economic Outlook Update, July 2025: Global Economy: Tenuous Resilience amid Persistent Uncertainty. International Monetary Fund. https://www.imf.org/en/publications/weo/issues/2025/07/29/world-economic-outlook-update-july-2025</w:t>
      </w:r>
    </w:p>
    <w:p>
      <w:pPr>
        <w:spacing w:after="120"/>
        <w:ind w:firstLine="0" w:left="709"/>
      </w:pPr>
      <w:r>
        <w:rPr>
          <w:sz w:val="22"/>
        </w:rPr>
        <w:t>IMF (2026). World Economic Outlook Update, January 2026: Global Economy: Steady amid Divergent Forces. International Monetary Fund. https://www.imf.org/en/publications/weo/issues/2026/01/19/world-economic-outlook-update-january-2026</w:t>
      </w:r>
    </w:p>
    <w:p>
      <w:pPr>
        <w:spacing w:after="120"/>
        <w:ind w:firstLine="0" w:left="709"/>
      </w:pPr>
      <w:r>
        <w:rPr>
          <w:sz w:val="22"/>
        </w:rPr>
        <w:t>MOEL (2024). Employment Policy Overview. Republic of Korea Ministry of Employment and Labor. https://www.moel.go.kr/english/policy/employment.do</w:t>
      </w:r>
    </w:p>
    <w:p>
      <w:pPr>
        <w:spacing w:after="120"/>
        <w:ind w:firstLine="0" w:left="709"/>
      </w:pPr>
      <w:r>
        <w:rPr>
          <w:sz w:val="22"/>
        </w:rPr>
        <w:t>OECD (2024b). Breaking the Vicious Circles of Informal Employment and Low-Paying Work. OECD Publishing. https://www.oecd.org/content/dam/oecd/en/publications/reports/2024/01/breaking-the-vicious-circles-of-informal-employment-and-low-paying-work_040b6f24/f95c5a74-en.pdf</w:t>
      </w:r>
    </w:p>
    <w:p>
      <w:pPr>
        <w:spacing w:after="120"/>
        <w:ind w:firstLine="0" w:left="709"/>
      </w:pPr>
      <w:r>
        <w:rPr>
          <w:sz w:val="22"/>
        </w:rPr>
        <w:t>OECD (2025). OECD Economic Surveys: Türkiye 2025. Organisation for Economic Co-operation and Development. https://www.oecd.org/en/publications/oecd-economic-surveys-turkiye-2025_d01c660f-en.html</w:t>
      </w:r>
    </w:p>
    <w:p>
      <w:pPr>
        <w:spacing w:after="120"/>
        <w:ind w:firstLine="0" w:left="709"/>
      </w:pPr>
      <w:r>
        <w:rPr>
          <w:sz w:val="22"/>
        </w:rPr>
        <w:t>OECD (2025b). OECD Compendium of Productivity Indicators 2025. Organisation for Economic Co-operation and Development. https://www.oecd.org/en/publications/oecd-compendium-of-productivity-indicators-2025_b024d9e1-en.html</w:t>
      </w:r>
    </w:p>
    <w:p>
      <w:pPr>
        <w:spacing w:after="120"/>
        <w:ind w:firstLine="0" w:left="709"/>
      </w:pPr>
      <w:r>
        <w:rPr>
          <w:sz w:val="22"/>
        </w:rPr>
        <w:t>OECD (2025c). Türkiye: OECD Economic Outlook, Volume 2025 Issue 2. https://www.oecd.org/en/publications/2025/12/oecd-economic-outlook-volume-2025-issue-2_413f7d0a/full-report/turkiye_59622ed2.html</w:t>
      </w:r>
    </w:p>
    <w:p>
      <w:pPr>
        <w:spacing w:after="120"/>
        <w:ind w:firstLine="0" w:left="709"/>
      </w:pPr>
      <w:r>
        <w:rPr>
          <w:sz w:val="22"/>
        </w:rPr>
        <w:t>OECD (2025d). Taxing Wages 2025: Tax Burden on Labour Income in OECD Countries. Organisation for Economic Co-operation and Development. https://www.oecd.org/en/publications/2025/04/taxing-wages-2025_20d1a01d.html</w:t>
      </w:r>
    </w:p>
    <w:p>
      <w:pPr>
        <w:spacing w:after="120"/>
        <w:ind w:firstLine="0" w:left="709"/>
      </w:pPr>
      <w:r>
        <w:rPr>
          <w:sz w:val="22"/>
        </w:rPr>
        <w:t>Tax Foundation (2025). Kurzarbeit: Germany's Short-Work Subsidy Scheme. https://taxfoundation.org/blog/kurzarbeit-germany-short-work-subsidy-scheme/</w:t>
      </w:r>
    </w:p>
    <w:p>
      <w:pPr>
        <w:spacing w:after="120"/>
        <w:ind w:firstLine="0" w:left="709"/>
      </w:pPr>
      <w:r>
        <w:rPr>
          <w:sz w:val="22"/>
        </w:rPr>
        <w:t>URSSAF (2025). Réduction Générale des Cotisations Patronales. https://www.urssaf.fr/accueil/employeur/beneficier-exonerations/reduction-generale-cotisation.html</w:t>
      </w:r>
    </w:p>
    <w:p>
      <w:pPr>
        <w:spacing w:after="120"/>
        <w:ind w:firstLine="0" w:left="709"/>
      </w:pPr>
      <w:r>
        <w:rPr>
          <w:sz w:val="22"/>
        </w:rPr>
        <w:t>SGK (2024). Yıllık Bölüm 1: Sigortalı ve İş Yeri İstatistikleri, 2024. Sosyal Güvenlik Kurumu.</w:t>
      </w:r>
    </w:p>
    <w:p>
      <w:pPr>
        <w:spacing w:after="120"/>
        <w:ind w:firstLine="0" w:left="709"/>
      </w:pPr>
      <w:r>
        <w:rPr>
          <w:sz w:val="22"/>
        </w:rPr>
        <w:t>T.C. Cumhurbaşkanlığı Strateji ve Bütçe Başkanlığı (2025). Orta Vadeli Program (2026-2028). Resmî Gazete.</w:t>
      </w:r>
    </w:p>
    <w:p>
      <w:pPr>
        <w:spacing w:after="120"/>
        <w:ind w:firstLine="0" w:left="709"/>
      </w:pPr>
      <w:r>
        <w:rPr>
          <w:sz w:val="22"/>
        </w:rPr>
        <w:t>T.C. Cumhurbaşkanlığı (2024). Ulusal Yapay Zeka Stratejisi 2021-2025 (2024 Güncelleme). https://regulations.ai/regulations/turkey-ai-strategy-2021-2025</w:t>
      </w:r>
    </w:p>
    <w:p>
      <w:pPr>
        <w:spacing w:after="120"/>
        <w:ind w:firstLine="0" w:left="709"/>
      </w:pPr>
      <w:r>
        <w:rPr>
          <w:sz w:val="22"/>
        </w:rPr>
        <w:t>TÜİK (2024). İktisadi Faaliyet Kollarına Göre Gelir Yöntemiyle Gayrisafi Yurtiçi Hasıla (Cari Fiyatlarla), Tablo I.2.14. Türkiye İstatistik Kurumu.</w:t>
      </w:r>
    </w:p>
    <w:p>
      <w:pPr>
        <w:spacing w:after="120"/>
        <w:ind w:firstLine="0" w:left="709"/>
      </w:pPr>
      <w:r>
        <w:rPr>
          <w:sz w:val="22"/>
        </w:rPr>
        <w:t>UNIDO (2024). Industrial Development Report 2024. United Nations Industrial Development Organization. https://www.unido.org/sites/default/files/unido-publications/2023-11/IDR24-OVERVIEW_1.pdf</w:t>
      </w:r>
    </w:p>
    <w:p>
      <w:pPr>
        <w:spacing w:after="120"/>
        <w:ind w:firstLine="0" w:left="709"/>
      </w:pPr>
      <w:r>
        <w:rPr>
          <w:sz w:val="22"/>
        </w:rPr>
        <w:t>UNIDO (2025). International Yearbook of Industrial Statistics 2025. United Nations Industrial Development Organization. https://www.unido.org/sites/default/files/unido-publications/2025-11/UNIDO%20Industrial%20StatisticsYearbook%202025.pdf</w:t>
      </w:r>
    </w:p>
    <w:p>
      <w:pPr>
        <w:spacing w:after="120"/>
        <w:ind w:firstLine="0" w:left="709"/>
      </w:pPr>
      <w:r>
        <w:rPr>
          <w:sz w:val="22"/>
        </w:rPr>
        <w:t>VoxDev (2024). Can Temporary Wage Incentives Increase Formal Employment? Experimental Evidence from Mexico. https://voxdev.org/topic/labour-markets/can-temporary-wage-incentives-increase-formal-employment-experimental-evidence</w:t>
      </w:r>
    </w:p>
    <w:p>
      <w:pPr>
        <w:spacing w:after="120"/>
        <w:ind w:firstLine="0" w:left="709"/>
      </w:pPr>
      <w:r>
        <w:rPr>
          <w:sz w:val="22"/>
        </w:rPr>
        <w:t>WEF (2025). The Impact of the EU's CBAM on Business and the Carbon-Pricing Landscape. World Economic Forum. https://www.weforum.org/stories/2025/12/eu-cbam-impact-business-carbon-pricing-landscape/</w:t>
      </w:r>
    </w:p>
    <w:p>
      <w:pPr>
        <w:spacing w:after="120"/>
        <w:ind w:firstLine="0" w:left="709"/>
      </w:pPr>
      <w:r>
        <w:rPr>
          <w:sz w:val="22"/>
        </w:rPr>
        <w:t>World Bank (2025). Türkiye Country Economic Memorandum: Jobs for Prosperity. https://documents.worldbank.org/en/publication/documents-reports/documentdetail/099091725075068918</w:t>
      </w:r>
    </w:p>
    <w:p>
      <w:pPr>
        <w:spacing w:after="120"/>
        <w:ind w:firstLine="0" w:left="709"/>
      </w:pPr>
      <w:r>
        <w:rPr>
          <w:sz w:val="22"/>
        </w:rPr>
        <w:t>World Bank (2025b). Türkiye Macro Poverty Outlook. https://thedocs.worldbank.org/en/doc/d5f32ef28464d01f195827b7e020a3e8-0500022021/related/mpo-tur.pdf</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09"/>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