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sz w:val="32"/>
        </w:rPr>
        <w:t>KÜRESEL EKONOMİK GELİŞMELER VE ULUSLARARASI KURUMLARIN</w:t>
        <w:br/>
        <w:t>SEKTÖREL TAHMİNLERİ IŞIĞINDA TÜRKİYE'DE</w:t>
        <w:br/>
        <w:t>DESTEKLENMESI GEREKEN SEKTÖRLER VE</w:t>
        <w:br/>
        <w:t>İSTİHDAM TEŞVİKİ POLİTİKA ÖNERİLERİ</w:t>
      </w:r>
    </w:p>
    <w:p/>
    <w:p>
      <w:pPr>
        <w:ind w:firstLine="0"/>
        <w:jc w:val="center"/>
      </w:pPr>
      <w:r>
        <w:rPr>
          <w:i/>
          <w:sz w:val="28"/>
        </w:rPr>
        <w:t>Sektörel Analiz Raporu</w:t>
      </w:r>
    </w:p>
    <w:p/>
    <w:p>
      <w:pPr>
        <w:ind w:firstLine="0"/>
        <w:jc w:val="center"/>
      </w:pPr>
      <w:r>
        <w:rPr>
          <w:sz w:val="22"/>
        </w:rPr>
        <w:t>Veri Kaynakları: TÜİK GSYH Gelir Yöntemi (2009-2024),</w:t>
        <w:br/>
        <w:t>SGK Yıllık İstatistikleri (2024),</w:t>
        <w:br/>
        <w:t>IMF, OECD, Dünya Bankası, ILO, UNIDO Raporları</w:t>
      </w:r>
    </w:p>
    <w:p/>
    <w:p>
      <w:pPr>
        <w:ind w:firstLine="0"/>
        <w:jc w:val="center"/>
      </w:pPr>
      <w:r>
        <w:rPr>
          <w:sz w:val="22"/>
        </w:rPr>
        <w:t>04 Nisan 2026  |  Sürüm 2.4</w:t>
      </w:r>
    </w:p>
    <w:p>
      <w:r>
        <w:br w:type="page"/>
      </w:r>
    </w:p>
    <w:p>
      <w:pPr>
        <w:pStyle w:val="Heading1"/>
      </w:pPr>
      <w:r>
        <w:t>İÇİNDEKİLER</w:t>
      </w:r>
    </w:p>
    <w:p>
      <w:pPr>
        <w:spacing w:after="40"/>
        <w:ind w:firstLine="0"/>
      </w:pPr>
      <w:r>
        <w:t>1. Yönetici Özeti</w:t>
      </w:r>
    </w:p>
    <w:p>
      <w:pPr>
        <w:spacing w:after="40"/>
        <w:ind w:firstLine="0"/>
      </w:pPr>
      <w:r>
        <w:t>2. Giriş ve Amaç</w:t>
      </w:r>
    </w:p>
    <w:p>
      <w:pPr>
        <w:spacing w:after="40"/>
        <w:ind w:firstLine="0"/>
      </w:pPr>
      <w:r>
        <w:t>3. Küresel Ekonomik Görünüm ve Sektörel Trendler</w:t>
      </w:r>
    </w:p>
    <w:p>
      <w:pPr>
        <w:spacing w:after="40"/>
        <w:ind w:firstLine="0"/>
      </w:pPr>
      <w:r>
        <w:t xml:space="preserve">   3.1. Makroekonomik Çerçeve</w:t>
      </w:r>
    </w:p>
    <w:p>
      <w:pPr>
        <w:spacing w:after="40"/>
        <w:ind w:firstLine="0"/>
      </w:pPr>
      <w:r>
        <w:t xml:space="preserve">   3.2. Sektörel Dönüşüm Dinamikleri</w:t>
      </w:r>
    </w:p>
    <w:p>
      <w:pPr>
        <w:spacing w:after="40"/>
        <w:ind w:firstLine="0"/>
      </w:pPr>
      <w:r>
        <w:t xml:space="preserve">   3.3. İşgücü Piyasası Küresel Eğilimler</w:t>
      </w:r>
    </w:p>
    <w:p>
      <w:pPr>
        <w:spacing w:after="40"/>
        <w:ind w:firstLine="0"/>
      </w:pPr>
      <w:r>
        <w:t>4. Türkiye Ekonomisi: Sektörel Yapı Analizi</w:t>
      </w:r>
    </w:p>
    <w:p>
      <w:pPr>
        <w:spacing w:after="40"/>
        <w:ind w:firstLine="0"/>
      </w:pPr>
      <w:r>
        <w:t xml:space="preserve">   4.1. Gayrisafi Katma Değer ve İşgücü Maliyeti</w:t>
      </w:r>
    </w:p>
    <w:p>
      <w:pPr>
        <w:spacing w:after="40"/>
        <w:ind w:firstLine="0"/>
      </w:pPr>
      <w:r>
        <w:t xml:space="preserve">   4.2. İstihdam Yapısı ve Verimlilik</w:t>
      </w:r>
    </w:p>
    <w:p>
      <w:pPr>
        <w:spacing w:after="40"/>
        <w:ind w:firstLine="0"/>
      </w:pPr>
      <w:r>
        <w:t xml:space="preserve">   4.3. Kadran Analizi: Sektörel Sınıflandırma</w:t>
      </w:r>
    </w:p>
    <w:p>
      <w:pPr>
        <w:spacing w:after="40"/>
        <w:ind w:firstLine="0"/>
      </w:pPr>
      <w:r>
        <w:t>5. Uluslararası Kurum Değerlendirmeleri</w:t>
      </w:r>
    </w:p>
    <w:p>
      <w:pPr>
        <w:spacing w:after="40"/>
        <w:ind w:firstLine="0"/>
      </w:pPr>
      <w:r>
        <w:t xml:space="preserve">   5.1. IMF Perspektifi</w:t>
      </w:r>
    </w:p>
    <w:p>
      <w:pPr>
        <w:spacing w:after="40"/>
        <w:ind w:firstLine="0"/>
      </w:pPr>
      <w:r>
        <w:t xml:space="preserve">   5.2. OECD Önerileri</w:t>
      </w:r>
    </w:p>
    <w:p>
      <w:pPr>
        <w:spacing w:after="40"/>
        <w:ind w:firstLine="0"/>
      </w:pPr>
      <w:r>
        <w:t xml:space="preserve">   5.3. Dünya Bankası Değerlendirmesi</w:t>
      </w:r>
    </w:p>
    <w:p>
      <w:pPr>
        <w:spacing w:after="40"/>
        <w:ind w:firstLine="0"/>
      </w:pPr>
      <w:r>
        <w:t xml:space="preserve">   5.4. ILO ve UNIDO Bulgular</w:t>
      </w:r>
    </w:p>
    <w:p>
      <w:pPr>
        <w:spacing w:after="40"/>
        <w:ind w:firstLine="0"/>
      </w:pPr>
      <w:r>
        <w:t>6. Stratejik Öncelikli Sektörler</w:t>
      </w:r>
    </w:p>
    <w:p>
      <w:pPr>
        <w:spacing w:after="40"/>
        <w:ind w:firstLine="0"/>
      </w:pPr>
      <w:r>
        <w:t xml:space="preserve">   6.1. Desteklenmesi Gereken Sektörler ve Gerekçeleri</w:t>
      </w:r>
    </w:p>
    <w:p>
      <w:pPr>
        <w:spacing w:after="40"/>
        <w:ind w:firstLine="0"/>
      </w:pPr>
      <w:r>
        <w:t xml:space="preserve">   6.2. Sektörel Risk ve Fırsat Matrisi</w:t>
      </w:r>
    </w:p>
    <w:p>
      <w:pPr>
        <w:spacing w:after="40"/>
        <w:ind w:firstLine="0"/>
      </w:pPr>
      <w:r>
        <w:t>7. İstihdam Teşviki Politika Önerileri</w:t>
      </w:r>
    </w:p>
    <w:p>
      <w:pPr>
        <w:spacing w:after="40"/>
        <w:ind w:firstLine="0"/>
      </w:pPr>
      <w:r>
        <w:t xml:space="preserve">   7.1. Uluslararası Deneyimler ve Vergi Takozu Karşılaştırması</w:t>
      </w:r>
    </w:p>
    <w:p>
      <w:pPr>
        <w:spacing w:after="40"/>
        <w:ind w:firstLine="0"/>
      </w:pPr>
      <w:r>
        <w:t xml:space="preserve">   7.2. Teşvik Tasarım Parametreleri</w:t>
      </w:r>
    </w:p>
    <w:p>
      <w:pPr>
        <w:spacing w:after="40"/>
        <w:ind w:firstLine="0"/>
      </w:pPr>
      <w:r>
        <w:t xml:space="preserve">   7.3. Sektör Bazlı Teşvik Modelleri</w:t>
      </w:r>
    </w:p>
    <w:p>
      <w:pPr>
        <w:spacing w:after="40"/>
        <w:ind w:firstLine="0"/>
      </w:pPr>
      <w:r>
        <w:t xml:space="preserve">   7.4. AB Yeşil Mutabakat ve CBAM Uyumu</w:t>
      </w:r>
    </w:p>
    <w:p>
      <w:pPr>
        <w:spacing w:after="40"/>
        <w:ind w:firstLine="0"/>
      </w:pPr>
      <w:r>
        <w:t xml:space="preserve">   7.5. Dijital Dönüşüm ve Yapay Zeka</w:t>
      </w:r>
    </w:p>
    <w:p>
      <w:pPr>
        <w:spacing w:after="40"/>
        <w:ind w:firstLine="0"/>
      </w:pPr>
      <w:r>
        <w:t xml:space="preserve">   7.6. Beceri Açığı ve Aktif İşgücü Programlarının Rolü</w:t>
      </w:r>
    </w:p>
    <w:p>
      <w:pPr>
        <w:spacing w:after="40"/>
        <w:ind w:firstLine="0"/>
      </w:pPr>
      <w:r>
        <w:t>8. Sonuç ve Değerlendirme</w:t>
      </w:r>
    </w:p>
    <w:p>
      <w:pPr>
        <w:spacing w:after="40"/>
        <w:ind w:firstLine="0"/>
      </w:pPr>
      <w:r>
        <w:t>Kaynakça</w:t>
      </w:r>
    </w:p>
    <w:p>
      <w:r>
        <w:br w:type="page"/>
      </w:r>
    </w:p>
    <w:p>
      <w:pPr>
        <w:pStyle w:val="Heading1"/>
      </w:pPr>
      <w:r>
        <w:t>1. YÖNETİCİ ÖZETİ</w:t>
      </w:r>
    </w:p>
    <w:p>
      <w:r>
        <w:rPr>
          <w:b w:val="0"/>
          <w:i w:val="0"/>
        </w:rPr>
        <w:t>Bu rapor, Türkiye ekonomisindeki 20 ana sektörün işgücü maliyeti yapısını, istihdam kapasitesini ve verimlilik göstergelerini uluslararası karşılaştırmalı bir perspektiften analiz etmektedir. 2024 yılı itibarıyla 4/1-a kapsamında toplam 16,571,670 zorunlu sigortalı, 39,613.6 milyar TL gayrisafi katma değer üretmektedir. Ekonomi genelinde işgücü maliyet oranı %37.0 düzeyindedir.</w:t>
      </w:r>
    </w:p>
    <w:p>
      <w:r>
        <w:rPr>
          <w:b w:val="0"/>
          <w:i w:val="0"/>
        </w:rPr>
        <w:t>IMF'nin Ocak 2026 Dünya Ekonomik Görünümü güncellemesine göre küresel büyüme 2026'da %3,3 olarak öngörülmektedir (IMF, 2026). OECD, Türkiye'nin 2026'da %3,9 büyüyeceğini tahmin etmekte; ancak verimlilik artışının hızlandırılması, kadın işgücü katılımının yükseltilmesi ve hizmetler sektöründe düzenleyici reformlara ihtiyaç duyulduğunu vurgulamaktadır (OECD, 2025). Dünya Bankası ise Türkiye'nin 2027'de %4,4'e ulaşabileceğini ancak bunun yapısal reformlara bağlı olduğunu belirtmektedir (World Bank, 2025).</w:t>
      </w:r>
    </w:p>
    <w:p>
      <w:r>
        <w:rPr>
          <w:b w:val="0"/>
          <w:i w:val="0"/>
        </w:rPr>
        <w:t>Kadran analizine göre 8 sektör hem yüksek istihdam kapasitesine sahip hem de yüksek işgücü maliyeti taşımaktadır. Bu sektörler —İmalat Sanayi, İnşaat, İdari ve Destek Hizmetleri, Konaklama ve Yiyecek, Sağlık, Mesleki Faaliyetler ve Eğitim— toplam istihdamın yaklaşık %70'ini oluşturmakta ve istihdam teşviki politikalarının öncelikli hedef grubunu oluşturmaktadır. Kamu Yönetimi ve Savunma sektörü istatistiksel olarak Kadran 1'de yer almakla birlikte, bu sektörün gayrisafi katma değeri ulusal hesaplarda piyasa çıktısı yerine girdi maliyeti (ağırlıklı olarak ücretler) esas alınarak ölçüldüğünden maliyet etkinliği oranı yapısal olarak ~1'e yakın çıkmaktadır. Piyasa mekanizması işlemediğinden bu sektör kadran bazlı teşvik politikası kapsamı dışında tutulmaktadır.</w:t>
      </w:r>
    </w:p>
    <w:p>
      <w:r>
        <w:rPr>
          <w:b w:val="0"/>
          <w:i w:val="0"/>
        </w:rPr>
        <w:t>Rapor, AB Karbon Sınır Düzenleme Mekanizması (CBAM), yeşil dönüşüm, dijital dönüşüm ve yapay zeka gibi küresel megatrendleri Türkiye'nin sektörel yapısıyla ilişkilendirerek, desteklenmesi gereken sektörleri ve teşvik politikası parametrelerini ortaya koymaktadır.</w:t>
      </w:r>
    </w:p>
    <w:p>
      <w:r>
        <w:rPr>
          <w:b w:val="0"/>
          <w:i w:val="0"/>
        </w:rPr>
        <w:t>Analitik çerçeve olarak benimsenen kadran yöntemi, 20 sektörü iki eksen üzerinde —istihdam payı ve işgücü maliyet oranı— medyan değerlere göre dört gruba ayırmaktadır. Teşvik önceliği olan K1 sektörleri, hem yüksek istihdam kapasitesi hem de yüksek işgücü maliyet baskısı taşıdığından marjinal politika müdahalesinin en yüksek etkiyi yaratacağı gruptur. Bu sınıflandırma, kaynakların doğru sektörlere yönlendirilmesi ve teşvik tasarımının rasyonelleştirilmesi bakımından önemli bir analitik katkı sunmaktadır.</w:t>
      </w:r>
    </w:p>
    <w:p>
      <w:r>
        <w:rPr>
          <w:b w:val="0"/>
          <w:i w:val="0"/>
        </w:rPr>
        <w:t>İmalat sektörünün desteklenmesi, salt bu sektörün ötesine geçen çarpan etkileri nedeniyle stratejik öneme sahiptir. UNIDO Sanayi Kalkınma Raporu 2024, her imalat istihdamının ekonominin diğer sektörlerinde ortalama 2,5 ilave iş yarattığını kanıtlamaktadır (UNIDO, 2024). Berkeley Üniversitesi ekonomisti Enrico Moretti (2010), yüksek teknoloji imalatında bu çarpanın 4,9'a ulaştığını hesaplamıştır. Bu bulgu, imalat istihdamına yönelik her teşvik TL'sinin ekonomi genelinde çok katmanlı bir istihdam ve gelir etkisi yaratacağını ortaya koymakta; söz konusu sektörü istihdam politikasının odak noktası haline getirmektedir.</w:t>
      </w:r>
    </w:p>
    <w:p>
      <w:r>
        <w:rPr>
          <w:b w:val="0"/>
          <w:i w:val="0"/>
        </w:rPr>
        <w:t>Ancak istihdam teşvikleri tek başına yeterli değildir. Dünya Ekonomik Forumu'nun (WEF) Mesleklerin Geleceği 2025 Raporu, 2030'a kadar mevcut iş becerilerinin %39'unun geçerliliğini yitireceğini ve işverenlerin %41'inin yapay zeka otomasyonu nedeniyle işgücü azaltımını planladığını ortaya koymaktadır (WEF, 2025). Bu tablo, istihdam teşviklerinin aktif işgücü programları —mesleki yeniden eğitim, İŞKUR sektörel kursları, işbaşı eğitimi, dijital beceri geliştirme— ile eş zamanlı ve entegre biçimde tasarlanmasını zorunlu kılmaktadır. Card, Kluve ve Weber'in (2018) 200'den fazla ALMP programını kapsayan meta-analizi, mesleki eğitim programlarının orta vadede anlamlı istihdam ve kazanç artışları sağladığını, iş arama yardımının kısa vadede etkili olduğunu ve bu iki aracın finansal teşviklerle entegre edildiğinde sinerjik etki yarattığını belgelemektedir (Card, Kluve ve Weber, 2018).</w:t>
      </w:r>
    </w:p>
    <w:p>
      <w:r>
        <w:br w:type="page"/>
      </w:r>
    </w:p>
    <w:p>
      <w:pPr>
        <w:pStyle w:val="Heading1"/>
      </w:pPr>
      <w:r>
        <w:t>2. GİRİŞ VE AMAÇ</w:t>
      </w:r>
    </w:p>
    <w:p>
      <w:r>
        <w:rPr>
          <w:b w:val="0"/>
          <w:i w:val="0"/>
        </w:rPr>
        <w:t>Küresel ekonomi, COVID-19 sonrası toparlanma sürecinden çıkarak yeni bir döneme girmektedir. Jeopolitik gerilimler, ticaret savaşları, iklim değişikliği ve teknolojik dönüşüm, ülkelerin sektörel stratejilerini yeniden şekillendirmesini zorunlu kılmaktadır. Bu süreçte istihdam politikalarının sektörel bazda tasarlanması, hem sosyal hem ekonomik açıdan kritik bir öneme sahiptir.</w:t>
      </w:r>
    </w:p>
    <w:p>
      <w:r>
        <w:rPr>
          <w:b w:val="0"/>
          <w:i w:val="0"/>
        </w:rPr>
        <w:t>Türkiye, OECD'nin en hızlı büyüyen ekonomilerinden biri olmakla birlikte, verimlilik artışının yavaşlaması, kayıt dışılığın yüksekliği, kadın işgücü katılımının düşüklüğü ve beceri uyumsuzlukları gibi yapısal sorunlarla karşı karşıyadır (OECD, 2025). İmalat sanayinin orta teknolojiye yoğunlaşmış yapısı, küresel değer zincirlerinde yukarı doğru entegrasyonu sınırlandırmaktadır.</w:t>
      </w:r>
    </w:p>
    <w:p>
      <w:r>
        <w:rPr>
          <w:b w:val="0"/>
          <w:i w:val="0"/>
        </w:rPr>
        <w:t>Bu raporun amacı; (i) TÜİK ve SGK verilerine dayalı olarak sektörlerin ürettiği katma değer ile işgücü maliyetini karşılaştırmak, (ii) istihdam kapasitesi yüksek ancak işgücü maliyeti de yüksek olan sektörleri tespit etmek, (iii) uluslararası kurumların sektörel tahminleri ve küresel eğilimler ışığında desteklenmesi gereken sektörleri belirlemek ve (iv) bir istihdam teşviki hayata geçirilecekse dikkat edilmesi gereken parametreleri ortaya koymaktır.</w:t>
      </w:r>
    </w:p>
    <w:p>
      <w:r>
        <w:rPr>
          <w:b w:val="0"/>
          <w:i w:val="0"/>
        </w:rPr>
        <w:t>Rapor, IMF Dünya Ekonomik Görünümü (Ekim 2025, Ocak 2026), OECD Türkiye Ekonomik İncelemesi (2025), Dünya Bankası Ülke Ekonomik Memorandumu, ILO Dünya İstihdam ve Sosyal Görünüm raporu (2025), UNIDO Sanayi İstatistikleri Yıllığı (2025) ile TÜİK ve SGK 2024 yılı verilerini bir arada değerlendirmektedir.</w:t>
      </w:r>
    </w:p>
    <w:p>
      <w:r>
        <w:br w:type="page"/>
      </w:r>
    </w:p>
    <w:p>
      <w:pPr>
        <w:pStyle w:val="Heading1"/>
      </w:pPr>
      <w:r>
        <w:t>3. KÜRESEL EKONOMİK GÖRÜNÜM VE SEKTÖREL TRENDLER</w:t>
      </w:r>
    </w:p>
    <w:p>
      <w:pPr>
        <w:pStyle w:val="Heading2"/>
      </w:pPr>
      <w:r>
        <w:t>3.1. Makroekonomik Çerçeve</w:t>
      </w:r>
    </w:p>
    <w:p>
      <w:r>
        <w:rPr>
          <w:b w:val="0"/>
          <w:i w:val="0"/>
        </w:rPr>
        <w:t>IMF'nin Ocak 2026 güncellemesine göre küresel büyüme 2026'da %3,3, 2027'de %3,2 olarak öngörülmektedir. Teknoloji yatırımları, mali ve parasal destekler, esnek finansal koşullar ve özel sektör adaptasyonu, ticaret politikası değişikliklerini dengelemektedir. Küresel enflasyonun düşmesi beklenmekte, ancak ABD enflasyonunun hedefe daha yavaş dönmesi öngörülmektedir (IMF, 2026).</w:t>
      </w:r>
    </w:p>
    <w:p>
      <w:pPr>
        <w:ind w:firstLine="0"/>
      </w:pPr>
      <w:r>
        <w:rPr>
          <w:b/>
          <w:i w:val="0"/>
        </w:rPr>
        <w:t>Tablo 1. IMF Küresel Büyüme Tahminleri (%)</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t>Bölge/Ülke</w:t>
            </w:r>
          </w:p>
        </w:tc>
        <w:tc>
          <w:tcPr>
            <w:tcW w:type="dxa" w:w="2280"/>
          </w:tcPr>
          <w:p>
            <w:r>
              <w:t>2024</w:t>
            </w:r>
          </w:p>
        </w:tc>
        <w:tc>
          <w:tcPr>
            <w:tcW w:type="dxa" w:w="2280"/>
          </w:tcPr>
          <w:p>
            <w:r>
              <w:t>2025</w:t>
            </w:r>
          </w:p>
        </w:tc>
        <w:tc>
          <w:tcPr>
            <w:tcW w:type="dxa" w:w="2280"/>
          </w:tcPr>
          <w:p>
            <w:r>
              <w:t>2026</w:t>
            </w:r>
          </w:p>
        </w:tc>
      </w:tr>
      <w:tr>
        <w:tc>
          <w:tcPr>
            <w:tcW w:type="dxa" w:w="2280"/>
          </w:tcPr>
          <w:p>
            <w:r>
              <w:t>Küresel</w:t>
            </w:r>
          </w:p>
        </w:tc>
        <w:tc>
          <w:tcPr>
            <w:tcW w:type="dxa" w:w="2280"/>
          </w:tcPr>
          <w:p>
            <w:r>
              <w:t>3,3</w:t>
            </w:r>
          </w:p>
        </w:tc>
        <w:tc>
          <w:tcPr>
            <w:tcW w:type="dxa" w:w="2280"/>
          </w:tcPr>
          <w:p>
            <w:r>
              <w:t>3,2</w:t>
            </w:r>
          </w:p>
        </w:tc>
        <w:tc>
          <w:tcPr>
            <w:tcW w:type="dxa" w:w="2280"/>
          </w:tcPr>
          <w:p>
            <w:r>
              <w:t>3,3</w:t>
            </w:r>
          </w:p>
        </w:tc>
      </w:tr>
      <w:tr>
        <w:tc>
          <w:tcPr>
            <w:tcW w:type="dxa" w:w="2280"/>
          </w:tcPr>
          <w:p>
            <w:r>
              <w:t>Gelişmiş Ekonomiler</w:t>
            </w:r>
          </w:p>
        </w:tc>
        <w:tc>
          <w:tcPr>
            <w:tcW w:type="dxa" w:w="2280"/>
          </w:tcPr>
          <w:p>
            <w:r>
              <w:t>—</w:t>
            </w:r>
          </w:p>
        </w:tc>
        <w:tc>
          <w:tcPr>
            <w:tcW w:type="dxa" w:w="2280"/>
          </w:tcPr>
          <w:p>
            <w:r>
              <w:t>1,6</w:t>
            </w:r>
          </w:p>
        </w:tc>
        <w:tc>
          <w:tcPr>
            <w:tcW w:type="dxa" w:w="2280"/>
          </w:tcPr>
          <w:p>
            <w:r>
              <w:t>1,6</w:t>
            </w:r>
          </w:p>
        </w:tc>
      </w:tr>
      <w:tr>
        <w:tc>
          <w:tcPr>
            <w:tcW w:type="dxa" w:w="2280"/>
          </w:tcPr>
          <w:p>
            <w:r>
              <w:t>ABD</w:t>
            </w:r>
          </w:p>
        </w:tc>
        <w:tc>
          <w:tcPr>
            <w:tcW w:type="dxa" w:w="2280"/>
          </w:tcPr>
          <w:p>
            <w:r>
              <w:t>2,8</w:t>
            </w:r>
          </w:p>
        </w:tc>
        <w:tc>
          <w:tcPr>
            <w:tcW w:type="dxa" w:w="2280"/>
          </w:tcPr>
          <w:p>
            <w:r>
              <w:t>2,0</w:t>
            </w:r>
          </w:p>
        </w:tc>
        <w:tc>
          <w:tcPr>
            <w:tcW w:type="dxa" w:w="2280"/>
          </w:tcPr>
          <w:p>
            <w:r>
              <w:t>2,1</w:t>
            </w:r>
          </w:p>
        </w:tc>
      </w:tr>
      <w:tr>
        <w:tc>
          <w:tcPr>
            <w:tcW w:type="dxa" w:w="2280"/>
          </w:tcPr>
          <w:p>
            <w:r>
              <w:t>Euro Bölgesi</w:t>
            </w:r>
          </w:p>
        </w:tc>
        <w:tc>
          <w:tcPr>
            <w:tcW w:type="dxa" w:w="2280"/>
          </w:tcPr>
          <w:p>
            <w:r>
              <w:t>—</w:t>
            </w:r>
          </w:p>
        </w:tc>
        <w:tc>
          <w:tcPr>
            <w:tcW w:type="dxa" w:w="2280"/>
          </w:tcPr>
          <w:p>
            <w:r>
              <w:t>1,2</w:t>
            </w:r>
          </w:p>
        </w:tc>
        <w:tc>
          <w:tcPr>
            <w:tcW w:type="dxa" w:w="2280"/>
          </w:tcPr>
          <w:p>
            <w:r>
              <w:t>1,1</w:t>
            </w:r>
          </w:p>
        </w:tc>
      </w:tr>
      <w:tr>
        <w:tc>
          <w:tcPr>
            <w:tcW w:type="dxa" w:w="2280"/>
          </w:tcPr>
          <w:p>
            <w:r>
              <w:t>Gelişmekte Olan</w:t>
            </w:r>
          </w:p>
        </w:tc>
        <w:tc>
          <w:tcPr>
            <w:tcW w:type="dxa" w:w="2280"/>
          </w:tcPr>
          <w:p>
            <w:r>
              <w:t>4,3</w:t>
            </w:r>
          </w:p>
        </w:tc>
        <w:tc>
          <w:tcPr>
            <w:tcW w:type="dxa" w:w="2280"/>
          </w:tcPr>
          <w:p>
            <w:r>
              <w:t>4,2</w:t>
            </w:r>
          </w:p>
        </w:tc>
        <w:tc>
          <w:tcPr>
            <w:tcW w:type="dxa" w:w="2280"/>
          </w:tcPr>
          <w:p>
            <w:r>
              <w:t>4,0</w:t>
            </w:r>
          </w:p>
        </w:tc>
      </w:tr>
      <w:tr>
        <w:tc>
          <w:tcPr>
            <w:tcW w:type="dxa" w:w="2280"/>
          </w:tcPr>
          <w:p>
            <w:r>
              <w:t>Çin</w:t>
            </w:r>
          </w:p>
        </w:tc>
        <w:tc>
          <w:tcPr>
            <w:tcW w:type="dxa" w:w="2280"/>
          </w:tcPr>
          <w:p>
            <w:r>
              <w:t>—</w:t>
            </w:r>
          </w:p>
        </w:tc>
        <w:tc>
          <w:tcPr>
            <w:tcW w:type="dxa" w:w="2280"/>
          </w:tcPr>
          <w:p>
            <w:r>
              <w:t>4,8</w:t>
            </w:r>
          </w:p>
        </w:tc>
        <w:tc>
          <w:tcPr>
            <w:tcW w:type="dxa" w:w="2280"/>
          </w:tcPr>
          <w:p>
            <w:r>
              <w:t>4,2</w:t>
            </w:r>
          </w:p>
        </w:tc>
      </w:tr>
    </w:tbl>
    <w:p>
      <w:pPr>
        <w:ind w:firstLine="0"/>
      </w:pPr>
      <w:r>
        <w:rPr>
          <w:b w:val="0"/>
          <w:i/>
        </w:rPr>
        <w:t>Kaynak: IMF World Economic Outlook, Ocak 2026; Ekim 2025.</w:t>
      </w:r>
    </w:p>
    <w:p>
      <w:pPr>
        <w:ind w:firstLine="0"/>
      </w:pPr>
      <w:r>
        <w:rPr>
          <w:b w:val="0"/>
          <w:i/>
        </w:rPr>
        <w:t>Not: IMF sınıflandırmasında 'Gelişmiş Ekonomiler' kategorisi; ABD, Almanya, Fransa, İngiltere, Japonya, Kanada, İtalya, Avustralya, Güney Kore, İspanya, Hollanda, Belçika, İsviçre, İsveç, Norveç, Danimarka, Avusturya, Finlandiya, Yeni Zelanda, İrlanda ve diğer yüksek gelirli OECD üyelerini kapsamaktadır. Türkiye IMF sınıflandırmasında 'Gelişmekte Olan Piyasalar ve Gelişmekte Olan Ekonomiler' grubunda yer almaktadır.</w:t>
      </w:r>
    </w:p>
    <w:p>
      <w:r>
        <w:rPr>
          <w:b w:val="0"/>
          <w:i w:val="0"/>
        </w:rPr>
        <w:t>Ekim 2025 WEO'sunda "Değişim İçinde Küresel Ekonomi, Görünüm Karanlık" başlığıyla yayımlanan rapor, büyüme tahminlerini 2025 için %3,2, 2026 için %3,1 olarak belirlemiştir. Ocak 2026 güncellemesiyle 2026 tahmini %3,3'e yukarı yönlü revize edilmiştir. Riskler aşağı yönlü olmaya devam etmekte; uzayan belirsizlik, artan korumacılık ve işgücü arz şokları büyümeyi aşağı çekebilir (IMF, 2025a).</w:t>
      </w:r>
    </w:p>
    <w:p>
      <w:pPr>
        <w:pStyle w:val="Heading2"/>
      </w:pPr>
      <w:r>
        <w:t>3.2. Sektörel Dönüşüm Dinamikleri</w:t>
      </w:r>
    </w:p>
    <w:p>
      <w:r>
        <w:rPr>
          <w:b w:val="0"/>
          <w:i w:val="0"/>
        </w:rPr>
        <w:t>Küresel düzeyde beş temel sektörel dönüşüm dinamiği ön plana çıkmaktadır:</w:t>
      </w:r>
    </w:p>
    <w:p>
      <w:r>
        <w:rPr>
          <w:b/>
        </w:rPr>
        <w:t xml:space="preserve">Yapay Zeka ve Teknoloji Yatırımları: </w:t>
      </w:r>
      <w:r>
        <w:t>IMF, mevcut yapay zeka patlamasını 1990'ların dot-com patlamasına benzetmektedir. Özellikle Kuzey Amerika ve Asya'da yoğunlaşan AI odaklı yatırımlar büyümeyi ve hisse senedi piyasalarını desteklemektedir. Ancak verimlilik kazanımları gerçekleşmezse, keskin piyasa düzeltmeleri ve hanehalkı servetinde azalma riski bulunmaktadır (IMF, 2025a).</w:t>
      </w:r>
    </w:p>
    <w:p>
      <w:r>
        <w:rPr>
          <w:b/>
        </w:rPr>
        <w:t xml:space="preserve">Yeşil Dönüşüm ve CBAM: </w:t>
      </w:r>
      <w:r>
        <w:t>AB Karbon Sınır Düzenleme Mekanizması (CBAM) 1 Ocak 2026'da yürürlüğe girmiştir. Çimento, demir-çelik, alüminyum, gübre, elektrik ve hidrojen ithalatına uygulanan mekanizma, Türkiye'yi en çok etkilenen ülkeler arasına koymaktadır. AB'ye yılda yaklaşık 8 milyar Euro değerinde karbon yoğun ürün ihraç eden Türkiye, Çin'den sonra ikinci sırada yer almaktadır (European Commission, 2025; WEF, 2025).</w:t>
      </w:r>
    </w:p>
    <w:p>
      <w:r>
        <w:rPr>
          <w:b/>
        </w:rPr>
        <w:t xml:space="preserve">Ticaret ve İmalat Yapısı: </w:t>
      </w:r>
      <w:r>
        <w:t>Çin'in ileri imalat, temiz enerji ve ihracat çeşitlendirmesine yönelmesi, emtia ve sermaye malı talebini dönüştürmekte; teknoloji ve elektrikli araçlarda rekabeti yoğunlaştırmaktadır. UNIDO verilerine göre küresel imalat 2024'te %2,9 büyümüş, orta-yüksek teknolojili sanayiler yükselmeye devam etmektedir (UNIDO, 2025).</w:t>
      </w:r>
    </w:p>
    <w:p>
      <w:r>
        <w:rPr>
          <w:b/>
        </w:rPr>
        <w:t xml:space="preserve">Sanayi Politikası Yeniden Yükselişi: </w:t>
      </w:r>
      <w:r>
        <w:t>Ülkeler giderek daha fazla stratejik sektörleri ve firmaları desteklemek için sanayi politikası araçlarına başvurmaktadır. Motivasyonlar arasında verimliliği artırma, ithalata bağımlılığı azaltma ve dayanıklılığı güçlendirme yer almaktadır (IMF, 2025a).</w:t>
      </w:r>
    </w:p>
    <w:p>
      <w:r>
        <w:rPr>
          <w:b/>
        </w:rPr>
        <w:t xml:space="preserve">İşgücü Piyasası Dönüşümü: </w:t>
      </w:r>
      <w:r>
        <w:t>ILO'ya göre küresel istihdam büyümesi 2025'te yalnızca %1,5 olarak tahmin edilmektedir. İmalat istihdamında uzun süreli bir durgunluk yaşanmakta, yapısal dönüşüm yüksek katma değerli hizmetlere doğru yavaşlamaktadır. Beceri uyumsuzlukları verimlilik kazanımlarını kısıtlamaktadır (ILO, 2025).</w:t>
      </w:r>
    </w:p>
    <w:p>
      <w:pPr>
        <w:pStyle w:val="Heading2"/>
      </w:pPr>
      <w:r>
        <w:t>3.3. İşgücü Piyasası Küresel Eğilimler</w:t>
      </w:r>
    </w:p>
    <w:p>
      <w:r>
        <w:rPr>
          <w:b w:val="0"/>
          <w:i w:val="0"/>
        </w:rPr>
        <w:t>ILO'nun Dünya İstihdam ve Sosyal Görünüm 2025 raporuna göre, 2024'te küresel istihdam işgücü ile orantılı büyümüş ve işsizlik oranı %5 düzeyinde sabit kalmıştır. Ancak genç işsizliği %12,6 ile yüksek seyretmekte, kayıt dışı çalışma ve çalışan yoksulluğu pandemi öncesi seviyelerine dönmüştür. Düşük gelirli ülkeler en büyük zorluklarla karşı karşıyadır (ILO, 2025).</w:t>
      </w:r>
    </w:p>
    <w:p>
      <w:r>
        <w:rPr>
          <w:b w:val="0"/>
          <w:i w:val="0"/>
        </w:rPr>
        <w:t>OECD ülkelerinde işgücü verimliliği büyümesi 2024'te ortalama %0,4 ile zayıf kalmıştır. Son on yılda verimlilik artışı yavaşlamış, yüksek ve düşük gelirli ülkeler arasındaki uçurum genişlemiştir. Otomasyon ve dijitalleşme belirli sektörlerde verimliliği artırırken, benimseme endüstriler ve bölgeler arasında eşitsiz kalmaktadır (OECD, 2025b).</w:t>
      </w:r>
    </w:p>
    <w:p>
      <w:r>
        <w:br w:type="page"/>
      </w:r>
    </w:p>
    <w:p>
      <w:pPr>
        <w:pStyle w:val="Heading1"/>
      </w:pPr>
      <w:r>
        <w:t>4. TÜRKİYE EKONOMİSİ: SEKTÖREL YAPI ANALİZİ</w:t>
      </w:r>
    </w:p>
    <w:p>
      <w:pPr>
        <w:pStyle w:val="Heading2"/>
      </w:pPr>
      <w:r>
        <w:t>4.1. Gayrisafi Katma Değer ve İşgücü Maliyeti</w:t>
      </w:r>
    </w:p>
    <w:p>
      <w:r>
        <w:rPr>
          <w:b w:val="0"/>
          <w:i w:val="0"/>
        </w:rPr>
        <w:t>TÜİK verilerine göre 2024 yılında gelir yöntemiyle hesaplanan gayrisafi katma değer (cari fiyatlarla) 39,613.6 milyar TL, işgücüne yapılan ödemeler ise 14,670.7 milyar TL olarak gerçekleşmiştir. İşgücü maliyet oranı (işgücü ödemeleri/GKD) ekonomi genelinde %37.0'dir.</w:t>
      </w:r>
    </w:p>
    <w:p>
      <w:pPr>
        <w:ind w:firstLine="0"/>
      </w:pPr>
      <w:r>
        <w:rPr>
          <w:b/>
          <w:i w:val="0"/>
        </w:rPr>
        <w:t>Tablo 2. Sektörel Gayrisafi Katma Değer ve İşgücü Maliyeti (2024)</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b/>
                <w:sz w:val="18"/>
              </w:rPr>
              <w:t>Sektör</w:t>
            </w:r>
          </w:p>
        </w:tc>
        <w:tc>
          <w:tcPr>
            <w:tcW w:type="dxa" w:w="1520"/>
          </w:tcPr>
          <w:p>
            <w:pPr>
              <w:jc w:val="center"/>
            </w:pPr>
            <w:r>
              <w:rPr>
                <w:b/>
                <w:sz w:val="18"/>
              </w:rPr>
              <w:t>GKD</w:t>
              <w:br/>
              <w:t>(Myr TL)</w:t>
            </w:r>
          </w:p>
        </w:tc>
        <w:tc>
          <w:tcPr>
            <w:tcW w:type="dxa" w:w="1520"/>
          </w:tcPr>
          <w:p>
            <w:pPr>
              <w:jc w:val="center"/>
            </w:pPr>
            <w:r>
              <w:rPr>
                <w:b/>
                <w:sz w:val="18"/>
              </w:rPr>
              <w:t>İşgücü</w:t>
              <w:br/>
              <w:t>(Myr TL)</w:t>
            </w:r>
          </w:p>
        </w:tc>
        <w:tc>
          <w:tcPr>
            <w:tcW w:type="dxa" w:w="1520"/>
          </w:tcPr>
          <w:p>
            <w:pPr>
              <w:jc w:val="center"/>
            </w:pPr>
            <w:r>
              <w:rPr>
                <w:b/>
                <w:sz w:val="18"/>
              </w:rPr>
              <w:t>Maliyet</w:t>
              <w:br/>
              <w:t>Oranı(%)</w:t>
            </w:r>
          </w:p>
        </w:tc>
        <w:tc>
          <w:tcPr>
            <w:tcW w:type="dxa" w:w="1520"/>
          </w:tcPr>
          <w:p>
            <w:pPr>
              <w:jc w:val="center"/>
            </w:pPr>
            <w:r>
              <w:rPr>
                <w:b/>
                <w:sz w:val="18"/>
              </w:rPr>
              <w:t>İstihdam</w:t>
            </w:r>
          </w:p>
        </w:tc>
        <w:tc>
          <w:tcPr>
            <w:tcW w:type="dxa" w:w="1520"/>
          </w:tcPr>
          <w:p>
            <w:pPr>
              <w:jc w:val="center"/>
            </w:pPr>
            <w:r>
              <w:rPr>
                <w:b/>
                <w:sz w:val="18"/>
              </w:rPr>
              <w:t>Kadran</w:t>
            </w:r>
          </w:p>
        </w:tc>
      </w:tr>
      <w:tr>
        <w:tc>
          <w:tcPr>
            <w:tcW w:type="dxa" w:w="1520"/>
          </w:tcPr>
          <w:p>
            <w:pPr>
              <w:jc w:val="left"/>
            </w:pPr>
            <w:r>
              <w:rPr>
                <w:sz w:val="18"/>
              </w:rPr>
              <w:t>İmalat Sanayi</w:t>
            </w:r>
          </w:p>
        </w:tc>
        <w:tc>
          <w:tcPr>
            <w:tcW w:type="dxa" w:w="1520"/>
          </w:tcPr>
          <w:p>
            <w:pPr>
              <w:jc w:val="center"/>
            </w:pPr>
            <w:r>
              <w:rPr>
                <w:sz w:val="18"/>
              </w:rPr>
              <w:t>7,509.6</w:t>
            </w:r>
          </w:p>
        </w:tc>
        <w:tc>
          <w:tcPr>
            <w:tcW w:type="dxa" w:w="1520"/>
          </w:tcPr>
          <w:p>
            <w:pPr>
              <w:jc w:val="center"/>
            </w:pPr>
            <w:r>
              <w:rPr>
                <w:sz w:val="18"/>
              </w:rPr>
              <w:t>3,275.9</w:t>
            </w:r>
          </w:p>
        </w:tc>
        <w:tc>
          <w:tcPr>
            <w:tcW w:type="dxa" w:w="1520"/>
          </w:tcPr>
          <w:p>
            <w:pPr>
              <w:jc w:val="center"/>
            </w:pPr>
            <w:r>
              <w:rPr>
                <w:sz w:val="18"/>
              </w:rPr>
              <w:t>43.6</w:t>
            </w:r>
          </w:p>
        </w:tc>
        <w:tc>
          <w:tcPr>
            <w:tcW w:type="dxa" w:w="1520"/>
          </w:tcPr>
          <w:p>
            <w:pPr>
              <w:jc w:val="center"/>
            </w:pPr>
            <w:r>
              <w:rPr>
                <w:sz w:val="18"/>
              </w:rPr>
              <w:t>4,153,573</w:t>
            </w:r>
          </w:p>
        </w:tc>
        <w:tc>
          <w:tcPr>
            <w:tcW w:type="dxa" w:w="1520"/>
          </w:tcPr>
          <w:p>
            <w:pPr>
              <w:jc w:val="center"/>
            </w:pPr>
            <w:r>
              <w:rPr>
                <w:sz w:val="18"/>
              </w:rPr>
              <w:t>K1</w:t>
            </w:r>
          </w:p>
        </w:tc>
      </w:tr>
      <w:tr>
        <w:tc>
          <w:tcPr>
            <w:tcW w:type="dxa" w:w="1520"/>
          </w:tcPr>
          <w:p>
            <w:pPr>
              <w:jc w:val="left"/>
            </w:pPr>
            <w:r>
              <w:rPr>
                <w:sz w:val="18"/>
              </w:rPr>
              <w:t>Toptan ve Perakende Ticaret</w:t>
            </w:r>
          </w:p>
        </w:tc>
        <w:tc>
          <w:tcPr>
            <w:tcW w:type="dxa" w:w="1520"/>
          </w:tcPr>
          <w:p>
            <w:pPr>
              <w:jc w:val="center"/>
            </w:pPr>
            <w:r>
              <w:rPr>
                <w:sz w:val="18"/>
              </w:rPr>
              <w:t>5,785.6</w:t>
            </w:r>
          </w:p>
        </w:tc>
        <w:tc>
          <w:tcPr>
            <w:tcW w:type="dxa" w:w="1520"/>
          </w:tcPr>
          <w:p>
            <w:pPr>
              <w:jc w:val="center"/>
            </w:pPr>
            <w:r>
              <w:rPr>
                <w:sz w:val="18"/>
              </w:rPr>
              <w:t>1,967.7</w:t>
            </w:r>
          </w:p>
        </w:tc>
        <w:tc>
          <w:tcPr>
            <w:tcW w:type="dxa" w:w="1520"/>
          </w:tcPr>
          <w:p>
            <w:pPr>
              <w:jc w:val="center"/>
            </w:pPr>
            <w:r>
              <w:rPr>
                <w:sz w:val="18"/>
              </w:rPr>
              <w:t>34.0</w:t>
            </w:r>
          </w:p>
        </w:tc>
        <w:tc>
          <w:tcPr>
            <w:tcW w:type="dxa" w:w="1520"/>
          </w:tcPr>
          <w:p>
            <w:pPr>
              <w:jc w:val="center"/>
            </w:pPr>
            <w:r>
              <w:rPr>
                <w:sz w:val="18"/>
              </w:rPr>
              <w:t>2,582,321</w:t>
            </w:r>
          </w:p>
        </w:tc>
        <w:tc>
          <w:tcPr>
            <w:tcW w:type="dxa" w:w="1520"/>
          </w:tcPr>
          <w:p>
            <w:pPr>
              <w:jc w:val="center"/>
            </w:pPr>
            <w:r>
              <w:rPr>
                <w:sz w:val="18"/>
              </w:rPr>
              <w:t>K2</w:t>
            </w:r>
          </w:p>
        </w:tc>
      </w:tr>
      <w:tr>
        <w:tc>
          <w:tcPr>
            <w:tcW w:type="dxa" w:w="1520"/>
          </w:tcPr>
          <w:p>
            <w:pPr>
              <w:jc w:val="left"/>
            </w:pPr>
            <w:r>
              <w:rPr>
                <w:sz w:val="18"/>
              </w:rPr>
              <w:t>İnşaat</w:t>
            </w:r>
          </w:p>
        </w:tc>
        <w:tc>
          <w:tcPr>
            <w:tcW w:type="dxa" w:w="1520"/>
          </w:tcPr>
          <w:p>
            <w:pPr>
              <w:jc w:val="center"/>
            </w:pPr>
            <w:r>
              <w:rPr>
                <w:sz w:val="18"/>
              </w:rPr>
              <w:t>2,595.7</w:t>
            </w:r>
          </w:p>
        </w:tc>
        <w:tc>
          <w:tcPr>
            <w:tcW w:type="dxa" w:w="1520"/>
          </w:tcPr>
          <w:p>
            <w:pPr>
              <w:jc w:val="center"/>
            </w:pPr>
            <w:r>
              <w:rPr>
                <w:sz w:val="18"/>
              </w:rPr>
              <w:t>924.8</w:t>
            </w:r>
          </w:p>
        </w:tc>
        <w:tc>
          <w:tcPr>
            <w:tcW w:type="dxa" w:w="1520"/>
          </w:tcPr>
          <w:p>
            <w:pPr>
              <w:jc w:val="center"/>
            </w:pPr>
            <w:r>
              <w:rPr>
                <w:sz w:val="18"/>
              </w:rPr>
              <w:t>35.6</w:t>
            </w:r>
          </w:p>
        </w:tc>
        <w:tc>
          <w:tcPr>
            <w:tcW w:type="dxa" w:w="1520"/>
          </w:tcPr>
          <w:p>
            <w:pPr>
              <w:jc w:val="center"/>
            </w:pPr>
            <w:r>
              <w:rPr>
                <w:sz w:val="18"/>
              </w:rPr>
              <w:t>1,991,728</w:t>
            </w:r>
          </w:p>
        </w:tc>
        <w:tc>
          <w:tcPr>
            <w:tcW w:type="dxa" w:w="1520"/>
          </w:tcPr>
          <w:p>
            <w:pPr>
              <w:jc w:val="center"/>
            </w:pPr>
            <w:r>
              <w:rPr>
                <w:sz w:val="18"/>
              </w:rPr>
              <w:t>K1</w:t>
            </w:r>
          </w:p>
        </w:tc>
      </w:tr>
      <w:tr>
        <w:tc>
          <w:tcPr>
            <w:tcW w:type="dxa" w:w="1520"/>
          </w:tcPr>
          <w:p>
            <w:pPr>
              <w:jc w:val="left"/>
            </w:pPr>
            <w:r>
              <w:rPr>
                <w:sz w:val="18"/>
              </w:rPr>
              <w:t>İdari ve Destek Hizmet Faaliyetleri</w:t>
            </w:r>
          </w:p>
        </w:tc>
        <w:tc>
          <w:tcPr>
            <w:tcW w:type="dxa" w:w="1520"/>
          </w:tcPr>
          <w:p>
            <w:pPr>
              <w:jc w:val="center"/>
            </w:pPr>
            <w:r>
              <w:rPr>
                <w:sz w:val="18"/>
              </w:rPr>
              <w:t>1,444.3</w:t>
            </w:r>
          </w:p>
        </w:tc>
        <w:tc>
          <w:tcPr>
            <w:tcW w:type="dxa" w:w="1520"/>
          </w:tcPr>
          <w:p>
            <w:pPr>
              <w:jc w:val="center"/>
            </w:pPr>
            <w:r>
              <w:rPr>
                <w:sz w:val="18"/>
              </w:rPr>
              <w:t>874.0</w:t>
            </w:r>
          </w:p>
        </w:tc>
        <w:tc>
          <w:tcPr>
            <w:tcW w:type="dxa" w:w="1520"/>
          </w:tcPr>
          <w:p>
            <w:pPr>
              <w:jc w:val="center"/>
            </w:pPr>
            <w:r>
              <w:rPr>
                <w:sz w:val="18"/>
              </w:rPr>
              <w:t>60.5</w:t>
            </w:r>
          </w:p>
        </w:tc>
        <w:tc>
          <w:tcPr>
            <w:tcW w:type="dxa" w:w="1520"/>
          </w:tcPr>
          <w:p>
            <w:pPr>
              <w:jc w:val="center"/>
            </w:pPr>
            <w:r>
              <w:rPr>
                <w:sz w:val="18"/>
              </w:rPr>
              <w:t>1,427,242</w:t>
            </w:r>
          </w:p>
        </w:tc>
        <w:tc>
          <w:tcPr>
            <w:tcW w:type="dxa" w:w="1520"/>
          </w:tcPr>
          <w:p>
            <w:pPr>
              <w:jc w:val="center"/>
            </w:pPr>
            <w:r>
              <w:rPr>
                <w:sz w:val="18"/>
              </w:rPr>
              <w:t>K1</w:t>
            </w:r>
          </w:p>
        </w:tc>
      </w:tr>
      <w:tr>
        <w:tc>
          <w:tcPr>
            <w:tcW w:type="dxa" w:w="1520"/>
          </w:tcPr>
          <w:p>
            <w:pPr>
              <w:jc w:val="left"/>
            </w:pPr>
            <w:r>
              <w:rPr>
                <w:sz w:val="18"/>
              </w:rPr>
              <w:t>Konaklama ve Yiyecek Hizmeti</w:t>
            </w:r>
          </w:p>
        </w:tc>
        <w:tc>
          <w:tcPr>
            <w:tcW w:type="dxa" w:w="1520"/>
          </w:tcPr>
          <w:p>
            <w:pPr>
              <w:jc w:val="center"/>
            </w:pPr>
            <w:r>
              <w:rPr>
                <w:sz w:val="18"/>
              </w:rPr>
              <w:t>1,653.6</w:t>
            </w:r>
          </w:p>
        </w:tc>
        <w:tc>
          <w:tcPr>
            <w:tcW w:type="dxa" w:w="1520"/>
          </w:tcPr>
          <w:p>
            <w:pPr>
              <w:jc w:val="center"/>
            </w:pPr>
            <w:r>
              <w:rPr>
                <w:sz w:val="18"/>
              </w:rPr>
              <w:t>663.0</w:t>
            </w:r>
          </w:p>
        </w:tc>
        <w:tc>
          <w:tcPr>
            <w:tcW w:type="dxa" w:w="1520"/>
          </w:tcPr>
          <w:p>
            <w:pPr>
              <w:jc w:val="center"/>
            </w:pPr>
            <w:r>
              <w:rPr>
                <w:sz w:val="18"/>
              </w:rPr>
              <w:t>40.1</w:t>
            </w:r>
          </w:p>
        </w:tc>
        <w:tc>
          <w:tcPr>
            <w:tcW w:type="dxa" w:w="1520"/>
          </w:tcPr>
          <w:p>
            <w:pPr>
              <w:jc w:val="center"/>
            </w:pPr>
            <w:r>
              <w:rPr>
                <w:sz w:val="18"/>
              </w:rPr>
              <w:t>1,171,046</w:t>
            </w:r>
          </w:p>
        </w:tc>
        <w:tc>
          <w:tcPr>
            <w:tcW w:type="dxa" w:w="1520"/>
          </w:tcPr>
          <w:p>
            <w:pPr>
              <w:jc w:val="center"/>
            </w:pPr>
            <w:r>
              <w:rPr>
                <w:sz w:val="18"/>
              </w:rPr>
              <w:t>K1</w:t>
            </w:r>
          </w:p>
        </w:tc>
      </w:tr>
      <w:tr>
        <w:tc>
          <w:tcPr>
            <w:tcW w:type="dxa" w:w="1520"/>
          </w:tcPr>
          <w:p>
            <w:pPr>
              <w:jc w:val="left"/>
            </w:pPr>
            <w:r>
              <w:rPr>
                <w:sz w:val="18"/>
              </w:rPr>
              <w:t>Ulaştırma, Depolama</w:t>
            </w:r>
          </w:p>
        </w:tc>
        <w:tc>
          <w:tcPr>
            <w:tcW w:type="dxa" w:w="1520"/>
          </w:tcPr>
          <w:p>
            <w:pPr>
              <w:jc w:val="center"/>
            </w:pPr>
            <w:r>
              <w:rPr>
                <w:sz w:val="18"/>
              </w:rPr>
              <w:t>3,656.6</w:t>
            </w:r>
          </w:p>
        </w:tc>
        <w:tc>
          <w:tcPr>
            <w:tcW w:type="dxa" w:w="1520"/>
          </w:tcPr>
          <w:p>
            <w:pPr>
              <w:jc w:val="center"/>
            </w:pPr>
            <w:r>
              <w:rPr>
                <w:sz w:val="18"/>
              </w:rPr>
              <w:t>752.0</w:t>
            </w:r>
          </w:p>
        </w:tc>
        <w:tc>
          <w:tcPr>
            <w:tcW w:type="dxa" w:w="1520"/>
          </w:tcPr>
          <w:p>
            <w:pPr>
              <w:jc w:val="center"/>
            </w:pPr>
            <w:r>
              <w:rPr>
                <w:sz w:val="18"/>
              </w:rPr>
              <w:t>20.6</w:t>
            </w:r>
          </w:p>
        </w:tc>
        <w:tc>
          <w:tcPr>
            <w:tcW w:type="dxa" w:w="1520"/>
          </w:tcPr>
          <w:p>
            <w:pPr>
              <w:jc w:val="center"/>
            </w:pPr>
            <w:r>
              <w:rPr>
                <w:sz w:val="18"/>
              </w:rPr>
              <w:t>1,094,810</w:t>
            </w:r>
          </w:p>
        </w:tc>
        <w:tc>
          <w:tcPr>
            <w:tcW w:type="dxa" w:w="1520"/>
          </w:tcPr>
          <w:p>
            <w:pPr>
              <w:jc w:val="center"/>
            </w:pPr>
            <w:r>
              <w:rPr>
                <w:sz w:val="18"/>
              </w:rPr>
              <w:t>K2</w:t>
            </w:r>
          </w:p>
        </w:tc>
      </w:tr>
      <w:tr>
        <w:tc>
          <w:tcPr>
            <w:tcW w:type="dxa" w:w="1520"/>
          </w:tcPr>
          <w:p>
            <w:pPr>
              <w:jc w:val="left"/>
            </w:pPr>
            <w:r>
              <w:rPr>
                <w:sz w:val="18"/>
              </w:rPr>
              <w:t>İnsan Sağlığı ve Sosyal Hizmet</w:t>
            </w:r>
          </w:p>
        </w:tc>
        <w:tc>
          <w:tcPr>
            <w:tcW w:type="dxa" w:w="1520"/>
          </w:tcPr>
          <w:p>
            <w:pPr>
              <w:jc w:val="center"/>
            </w:pPr>
            <w:r>
              <w:rPr>
                <w:sz w:val="18"/>
              </w:rPr>
              <w:t>1,431.2</w:t>
            </w:r>
          </w:p>
        </w:tc>
        <w:tc>
          <w:tcPr>
            <w:tcW w:type="dxa" w:w="1520"/>
          </w:tcPr>
          <w:p>
            <w:pPr>
              <w:jc w:val="center"/>
            </w:pPr>
            <w:r>
              <w:rPr>
                <w:sz w:val="18"/>
              </w:rPr>
              <w:t>1,029.8</w:t>
            </w:r>
          </w:p>
        </w:tc>
        <w:tc>
          <w:tcPr>
            <w:tcW w:type="dxa" w:w="1520"/>
          </w:tcPr>
          <w:p>
            <w:pPr>
              <w:jc w:val="center"/>
            </w:pPr>
            <w:r>
              <w:rPr>
                <w:sz w:val="18"/>
              </w:rPr>
              <w:t>72.0</w:t>
            </w:r>
          </w:p>
        </w:tc>
        <w:tc>
          <w:tcPr>
            <w:tcW w:type="dxa" w:w="1520"/>
          </w:tcPr>
          <w:p>
            <w:pPr>
              <w:jc w:val="center"/>
            </w:pPr>
            <w:r>
              <w:rPr>
                <w:sz w:val="18"/>
              </w:rPr>
              <w:t>984,306</w:t>
            </w:r>
          </w:p>
        </w:tc>
        <w:tc>
          <w:tcPr>
            <w:tcW w:type="dxa" w:w="1520"/>
          </w:tcPr>
          <w:p>
            <w:pPr>
              <w:jc w:val="center"/>
            </w:pPr>
            <w:r>
              <w:rPr>
                <w:sz w:val="18"/>
              </w:rPr>
              <w:t>K1</w:t>
            </w:r>
          </w:p>
        </w:tc>
      </w:tr>
      <w:tr>
        <w:tc>
          <w:tcPr>
            <w:tcW w:type="dxa" w:w="1520"/>
          </w:tcPr>
          <w:p>
            <w:pPr>
              <w:jc w:val="left"/>
            </w:pPr>
            <w:r>
              <w:rPr>
                <w:sz w:val="18"/>
              </w:rPr>
              <w:t>Mesleki, Bilimsel ve Teknik Faal.</w:t>
            </w:r>
          </w:p>
        </w:tc>
        <w:tc>
          <w:tcPr>
            <w:tcW w:type="dxa" w:w="1520"/>
          </w:tcPr>
          <w:p>
            <w:pPr>
              <w:jc w:val="center"/>
            </w:pPr>
            <w:r>
              <w:rPr>
                <w:sz w:val="18"/>
              </w:rPr>
              <w:t>951.3</w:t>
            </w:r>
          </w:p>
        </w:tc>
        <w:tc>
          <w:tcPr>
            <w:tcW w:type="dxa" w:w="1520"/>
          </w:tcPr>
          <w:p>
            <w:pPr>
              <w:jc w:val="center"/>
            </w:pPr>
            <w:r>
              <w:rPr>
                <w:sz w:val="18"/>
              </w:rPr>
              <w:t>396.0</w:t>
            </w:r>
          </w:p>
        </w:tc>
        <w:tc>
          <w:tcPr>
            <w:tcW w:type="dxa" w:w="1520"/>
          </w:tcPr>
          <w:p>
            <w:pPr>
              <w:jc w:val="center"/>
            </w:pPr>
            <w:r>
              <w:rPr>
                <w:sz w:val="18"/>
              </w:rPr>
              <w:t>41.6</w:t>
            </w:r>
          </w:p>
        </w:tc>
        <w:tc>
          <w:tcPr>
            <w:tcW w:type="dxa" w:w="1520"/>
          </w:tcPr>
          <w:p>
            <w:pPr>
              <w:jc w:val="center"/>
            </w:pPr>
            <w:r>
              <w:rPr>
                <w:sz w:val="18"/>
              </w:rPr>
              <w:t>677,893</w:t>
            </w:r>
          </w:p>
        </w:tc>
        <w:tc>
          <w:tcPr>
            <w:tcW w:type="dxa" w:w="1520"/>
          </w:tcPr>
          <w:p>
            <w:pPr>
              <w:jc w:val="center"/>
            </w:pPr>
            <w:r>
              <w:rPr>
                <w:sz w:val="18"/>
              </w:rPr>
              <w:t>K1</w:t>
            </w:r>
          </w:p>
        </w:tc>
      </w:tr>
      <w:tr>
        <w:tc>
          <w:tcPr>
            <w:tcW w:type="dxa" w:w="1520"/>
          </w:tcPr>
          <w:p>
            <w:pPr>
              <w:jc w:val="left"/>
            </w:pPr>
            <w:r>
              <w:rPr>
                <w:sz w:val="18"/>
              </w:rPr>
              <w:t>Eğitim</w:t>
            </w:r>
          </w:p>
        </w:tc>
        <w:tc>
          <w:tcPr>
            <w:tcW w:type="dxa" w:w="1520"/>
          </w:tcPr>
          <w:p>
            <w:pPr>
              <w:jc w:val="center"/>
            </w:pPr>
            <w:r>
              <w:rPr>
                <w:sz w:val="18"/>
              </w:rPr>
              <w:t>1,655.0</w:t>
            </w:r>
          </w:p>
        </w:tc>
        <w:tc>
          <w:tcPr>
            <w:tcW w:type="dxa" w:w="1520"/>
          </w:tcPr>
          <w:p>
            <w:pPr>
              <w:jc w:val="center"/>
            </w:pPr>
            <w:r>
              <w:rPr>
                <w:sz w:val="18"/>
              </w:rPr>
              <w:t>1,246.7</w:t>
            </w:r>
          </w:p>
        </w:tc>
        <w:tc>
          <w:tcPr>
            <w:tcW w:type="dxa" w:w="1520"/>
          </w:tcPr>
          <w:p>
            <w:pPr>
              <w:jc w:val="center"/>
            </w:pPr>
            <w:r>
              <w:rPr>
                <w:sz w:val="18"/>
              </w:rPr>
              <w:t>75.3</w:t>
            </w:r>
          </w:p>
        </w:tc>
        <w:tc>
          <w:tcPr>
            <w:tcW w:type="dxa" w:w="1520"/>
          </w:tcPr>
          <w:p>
            <w:pPr>
              <w:jc w:val="center"/>
            </w:pPr>
            <w:r>
              <w:rPr>
                <w:sz w:val="18"/>
              </w:rPr>
              <w:t>654,354</w:t>
            </w:r>
          </w:p>
        </w:tc>
        <w:tc>
          <w:tcPr>
            <w:tcW w:type="dxa" w:w="1520"/>
          </w:tcPr>
          <w:p>
            <w:pPr>
              <w:jc w:val="center"/>
            </w:pPr>
            <w:r>
              <w:rPr>
                <w:sz w:val="18"/>
              </w:rPr>
              <w:t>K1</w:t>
            </w:r>
          </w:p>
        </w:tc>
      </w:tr>
      <w:tr>
        <w:tc>
          <w:tcPr>
            <w:tcW w:type="dxa" w:w="1520"/>
          </w:tcPr>
          <w:p>
            <w:pPr>
              <w:jc w:val="left"/>
            </w:pPr>
            <w:r>
              <w:rPr>
                <w:sz w:val="18"/>
              </w:rPr>
              <w:t>Kamu Yönetimi ve Savunma</w:t>
            </w:r>
          </w:p>
        </w:tc>
        <w:tc>
          <w:tcPr>
            <w:tcW w:type="dxa" w:w="1520"/>
          </w:tcPr>
          <w:p>
            <w:pPr>
              <w:jc w:val="center"/>
            </w:pPr>
            <w:r>
              <w:rPr>
                <w:sz w:val="18"/>
              </w:rPr>
              <w:t>2,089.6</w:t>
            </w:r>
          </w:p>
        </w:tc>
        <w:tc>
          <w:tcPr>
            <w:tcW w:type="dxa" w:w="1520"/>
          </w:tcPr>
          <w:p>
            <w:pPr>
              <w:jc w:val="center"/>
            </w:pPr>
            <w:r>
              <w:rPr>
                <w:sz w:val="18"/>
              </w:rPr>
              <w:t>1,693.2</w:t>
            </w:r>
          </w:p>
        </w:tc>
        <w:tc>
          <w:tcPr>
            <w:tcW w:type="dxa" w:w="1520"/>
          </w:tcPr>
          <w:p>
            <w:pPr>
              <w:jc w:val="center"/>
            </w:pPr>
            <w:r>
              <w:rPr>
                <w:sz w:val="18"/>
              </w:rPr>
              <w:t>81.0</w:t>
            </w:r>
          </w:p>
        </w:tc>
        <w:tc>
          <w:tcPr>
            <w:tcW w:type="dxa" w:w="1520"/>
          </w:tcPr>
          <w:p>
            <w:pPr>
              <w:jc w:val="center"/>
            </w:pPr>
            <w:r>
              <w:rPr>
                <w:sz w:val="18"/>
              </w:rPr>
              <w:t>287,877</w:t>
            </w:r>
          </w:p>
        </w:tc>
        <w:tc>
          <w:tcPr>
            <w:tcW w:type="dxa" w:w="1520"/>
          </w:tcPr>
          <w:p>
            <w:pPr>
              <w:jc w:val="center"/>
            </w:pPr>
            <w:r>
              <w:rPr>
                <w:sz w:val="18"/>
              </w:rPr>
              <w:t>K1</w:t>
            </w:r>
          </w:p>
        </w:tc>
      </w:tr>
      <w:tr>
        <w:tc>
          <w:tcPr>
            <w:tcW w:type="dxa" w:w="1520"/>
          </w:tcPr>
          <w:p>
            <w:pPr>
              <w:jc w:val="left"/>
            </w:pPr>
            <w:r>
              <w:rPr>
                <w:sz w:val="18"/>
              </w:rPr>
              <w:t>Bilgi ve İletişim</w:t>
            </w:r>
          </w:p>
        </w:tc>
        <w:tc>
          <w:tcPr>
            <w:tcW w:type="dxa" w:w="1520"/>
          </w:tcPr>
          <w:p>
            <w:pPr>
              <w:jc w:val="center"/>
            </w:pPr>
            <w:r>
              <w:rPr>
                <w:sz w:val="18"/>
              </w:rPr>
              <w:t>1,111.3</w:t>
            </w:r>
          </w:p>
        </w:tc>
        <w:tc>
          <w:tcPr>
            <w:tcW w:type="dxa" w:w="1520"/>
          </w:tcPr>
          <w:p>
            <w:pPr>
              <w:jc w:val="center"/>
            </w:pPr>
            <w:r>
              <w:rPr>
                <w:sz w:val="18"/>
              </w:rPr>
              <w:t>391.2</w:t>
            </w:r>
          </w:p>
        </w:tc>
        <w:tc>
          <w:tcPr>
            <w:tcW w:type="dxa" w:w="1520"/>
          </w:tcPr>
          <w:p>
            <w:pPr>
              <w:jc w:val="center"/>
            </w:pPr>
            <w:r>
              <w:rPr>
                <w:sz w:val="18"/>
              </w:rPr>
              <w:t>35.2</w:t>
            </w:r>
          </w:p>
        </w:tc>
        <w:tc>
          <w:tcPr>
            <w:tcW w:type="dxa" w:w="1520"/>
          </w:tcPr>
          <w:p>
            <w:pPr>
              <w:jc w:val="center"/>
            </w:pPr>
            <w:r>
              <w:rPr>
                <w:sz w:val="18"/>
              </w:rPr>
              <w:t>285,500</w:t>
            </w:r>
          </w:p>
        </w:tc>
        <w:tc>
          <w:tcPr>
            <w:tcW w:type="dxa" w:w="1520"/>
          </w:tcPr>
          <w:p>
            <w:pPr>
              <w:jc w:val="center"/>
            </w:pPr>
            <w:r>
              <w:rPr>
                <w:sz w:val="18"/>
              </w:rPr>
              <w:t>K4</w:t>
            </w:r>
          </w:p>
        </w:tc>
      </w:tr>
      <w:tr>
        <w:tc>
          <w:tcPr>
            <w:tcW w:type="dxa" w:w="1520"/>
          </w:tcPr>
          <w:p>
            <w:pPr>
              <w:jc w:val="left"/>
            </w:pPr>
            <w:r>
              <w:rPr>
                <w:sz w:val="18"/>
              </w:rPr>
              <w:t>Diğer Hizmet Faaliyetleri</w:t>
            </w:r>
          </w:p>
        </w:tc>
        <w:tc>
          <w:tcPr>
            <w:tcW w:type="dxa" w:w="1520"/>
          </w:tcPr>
          <w:p>
            <w:pPr>
              <w:jc w:val="center"/>
            </w:pPr>
            <w:r>
              <w:rPr>
                <w:sz w:val="18"/>
              </w:rPr>
              <w:t>343.3</w:t>
            </w:r>
          </w:p>
        </w:tc>
        <w:tc>
          <w:tcPr>
            <w:tcW w:type="dxa" w:w="1520"/>
          </w:tcPr>
          <w:p>
            <w:pPr>
              <w:jc w:val="center"/>
            </w:pPr>
            <w:r>
              <w:rPr>
                <w:sz w:val="18"/>
              </w:rPr>
              <w:t>209.9</w:t>
            </w:r>
          </w:p>
        </w:tc>
        <w:tc>
          <w:tcPr>
            <w:tcW w:type="dxa" w:w="1520"/>
          </w:tcPr>
          <w:p>
            <w:pPr>
              <w:jc w:val="center"/>
            </w:pPr>
            <w:r>
              <w:rPr>
                <w:sz w:val="18"/>
              </w:rPr>
              <w:t>61.1</w:t>
            </w:r>
          </w:p>
        </w:tc>
        <w:tc>
          <w:tcPr>
            <w:tcW w:type="dxa" w:w="1520"/>
          </w:tcPr>
          <w:p>
            <w:pPr>
              <w:jc w:val="center"/>
            </w:pPr>
            <w:r>
              <w:rPr>
                <w:sz w:val="18"/>
              </w:rPr>
              <w:t>236,307</w:t>
            </w:r>
          </w:p>
        </w:tc>
        <w:tc>
          <w:tcPr>
            <w:tcW w:type="dxa" w:w="1520"/>
          </w:tcPr>
          <w:p>
            <w:pPr>
              <w:jc w:val="center"/>
            </w:pPr>
            <w:r>
              <w:rPr>
                <w:sz w:val="18"/>
              </w:rPr>
              <w:t>K3</w:t>
            </w:r>
          </w:p>
        </w:tc>
      </w:tr>
      <w:tr>
        <w:tc>
          <w:tcPr>
            <w:tcW w:type="dxa" w:w="1520"/>
          </w:tcPr>
          <w:p>
            <w:pPr>
              <w:jc w:val="left"/>
            </w:pPr>
            <w:r>
              <w:rPr>
                <w:sz w:val="18"/>
              </w:rPr>
              <w:t>Finans ve Sigorta Faaliyetleri</w:t>
            </w:r>
          </w:p>
        </w:tc>
        <w:tc>
          <w:tcPr>
            <w:tcW w:type="dxa" w:w="1520"/>
          </w:tcPr>
          <w:p>
            <w:pPr>
              <w:jc w:val="center"/>
            </w:pPr>
            <w:r>
              <w:rPr>
                <w:sz w:val="18"/>
              </w:rPr>
              <w:t>1,478.4</w:t>
            </w:r>
          </w:p>
        </w:tc>
        <w:tc>
          <w:tcPr>
            <w:tcW w:type="dxa" w:w="1520"/>
          </w:tcPr>
          <w:p>
            <w:pPr>
              <w:jc w:val="center"/>
            </w:pPr>
            <w:r>
              <w:rPr>
                <w:sz w:val="18"/>
              </w:rPr>
              <w:t>470.3</w:t>
            </w:r>
          </w:p>
        </w:tc>
        <w:tc>
          <w:tcPr>
            <w:tcW w:type="dxa" w:w="1520"/>
          </w:tcPr>
          <w:p>
            <w:pPr>
              <w:jc w:val="center"/>
            </w:pPr>
            <w:r>
              <w:rPr>
                <w:sz w:val="18"/>
              </w:rPr>
              <w:t>31.8</w:t>
            </w:r>
          </w:p>
        </w:tc>
        <w:tc>
          <w:tcPr>
            <w:tcW w:type="dxa" w:w="1520"/>
          </w:tcPr>
          <w:p>
            <w:pPr>
              <w:jc w:val="center"/>
            </w:pPr>
            <w:r>
              <w:rPr>
                <w:sz w:val="18"/>
              </w:rPr>
              <w:t>185,945</w:t>
            </w:r>
          </w:p>
        </w:tc>
        <w:tc>
          <w:tcPr>
            <w:tcW w:type="dxa" w:w="1520"/>
          </w:tcPr>
          <w:p>
            <w:pPr>
              <w:jc w:val="center"/>
            </w:pPr>
            <w:r>
              <w:rPr>
                <w:sz w:val="18"/>
              </w:rPr>
              <w:t>K4</w:t>
            </w:r>
          </w:p>
        </w:tc>
      </w:tr>
      <w:tr>
        <w:tc>
          <w:tcPr>
            <w:tcW w:type="dxa" w:w="1520"/>
          </w:tcPr>
          <w:p>
            <w:pPr>
              <w:jc w:val="left"/>
            </w:pPr>
            <w:r>
              <w:rPr>
                <w:sz w:val="18"/>
              </w:rPr>
              <w:t>Tarım, Ormancılık ve Balıkçılık</w:t>
            </w:r>
          </w:p>
        </w:tc>
        <w:tc>
          <w:tcPr>
            <w:tcW w:type="dxa" w:w="1520"/>
          </w:tcPr>
          <w:p>
            <w:pPr>
              <w:jc w:val="center"/>
            </w:pPr>
            <w:r>
              <w:rPr>
                <w:sz w:val="18"/>
              </w:rPr>
              <w:t>2,595.2</w:t>
            </w:r>
          </w:p>
        </w:tc>
        <w:tc>
          <w:tcPr>
            <w:tcW w:type="dxa" w:w="1520"/>
          </w:tcPr>
          <w:p>
            <w:pPr>
              <w:jc w:val="center"/>
            </w:pPr>
            <w:r>
              <w:rPr>
                <w:sz w:val="18"/>
              </w:rPr>
              <w:t>150.5</w:t>
            </w:r>
          </w:p>
        </w:tc>
        <w:tc>
          <w:tcPr>
            <w:tcW w:type="dxa" w:w="1520"/>
          </w:tcPr>
          <w:p>
            <w:pPr>
              <w:jc w:val="center"/>
            </w:pPr>
            <w:r>
              <w:rPr>
                <w:sz w:val="18"/>
              </w:rPr>
              <w:t>5.8</w:t>
            </w:r>
          </w:p>
        </w:tc>
        <w:tc>
          <w:tcPr>
            <w:tcW w:type="dxa" w:w="1520"/>
          </w:tcPr>
          <w:p>
            <w:pPr>
              <w:jc w:val="center"/>
            </w:pPr>
            <w:r>
              <w:rPr>
                <w:sz w:val="18"/>
              </w:rPr>
              <w:t>163,607</w:t>
            </w:r>
          </w:p>
        </w:tc>
        <w:tc>
          <w:tcPr>
            <w:tcW w:type="dxa" w:w="1520"/>
          </w:tcPr>
          <w:p>
            <w:pPr>
              <w:jc w:val="center"/>
            </w:pPr>
            <w:r>
              <w:rPr>
                <w:sz w:val="18"/>
              </w:rPr>
              <w:t>K4</w:t>
            </w:r>
          </w:p>
        </w:tc>
      </w:tr>
      <w:tr>
        <w:tc>
          <w:tcPr>
            <w:tcW w:type="dxa" w:w="1520"/>
          </w:tcPr>
          <w:p>
            <w:pPr>
              <w:jc w:val="left"/>
            </w:pPr>
            <w:r>
              <w:rPr>
                <w:sz w:val="18"/>
              </w:rPr>
              <w:t>Gayrimenkul Faaliyetleri</w:t>
            </w:r>
          </w:p>
        </w:tc>
        <w:tc>
          <w:tcPr>
            <w:tcW w:type="dxa" w:w="1520"/>
          </w:tcPr>
          <w:p>
            <w:pPr>
              <w:jc w:val="center"/>
            </w:pPr>
            <w:r>
              <w:rPr>
                <w:sz w:val="18"/>
              </w:rPr>
              <w:t>3,404.0</w:t>
            </w:r>
          </w:p>
        </w:tc>
        <w:tc>
          <w:tcPr>
            <w:tcW w:type="dxa" w:w="1520"/>
          </w:tcPr>
          <w:p>
            <w:pPr>
              <w:jc w:val="center"/>
            </w:pPr>
            <w:r>
              <w:rPr>
                <w:sz w:val="18"/>
              </w:rPr>
              <w:t>142.7</w:t>
            </w:r>
          </w:p>
        </w:tc>
        <w:tc>
          <w:tcPr>
            <w:tcW w:type="dxa" w:w="1520"/>
          </w:tcPr>
          <w:p>
            <w:pPr>
              <w:jc w:val="center"/>
            </w:pPr>
            <w:r>
              <w:rPr>
                <w:sz w:val="18"/>
              </w:rPr>
              <w:t>4.2</w:t>
            </w:r>
          </w:p>
        </w:tc>
        <w:tc>
          <w:tcPr>
            <w:tcW w:type="dxa" w:w="1520"/>
          </w:tcPr>
          <w:p>
            <w:pPr>
              <w:jc w:val="center"/>
            </w:pPr>
            <w:r>
              <w:rPr>
                <w:sz w:val="18"/>
              </w:rPr>
              <w:t>155,009</w:t>
            </w:r>
          </w:p>
        </w:tc>
        <w:tc>
          <w:tcPr>
            <w:tcW w:type="dxa" w:w="1520"/>
          </w:tcPr>
          <w:p>
            <w:pPr>
              <w:jc w:val="center"/>
            </w:pPr>
            <w:r>
              <w:rPr>
                <w:sz w:val="18"/>
              </w:rPr>
              <w:t>K4</w:t>
            </w:r>
          </w:p>
        </w:tc>
      </w:tr>
      <w:tr>
        <w:tc>
          <w:tcPr>
            <w:tcW w:type="dxa" w:w="1520"/>
          </w:tcPr>
          <w:p>
            <w:pPr>
              <w:jc w:val="left"/>
            </w:pPr>
            <w:r>
              <w:rPr>
                <w:sz w:val="18"/>
              </w:rPr>
              <w:t>Madencilik ve Taşocakçılığı</w:t>
            </w:r>
          </w:p>
        </w:tc>
        <w:tc>
          <w:tcPr>
            <w:tcW w:type="dxa" w:w="1520"/>
          </w:tcPr>
          <w:p>
            <w:pPr>
              <w:jc w:val="center"/>
            </w:pPr>
            <w:r>
              <w:rPr>
                <w:sz w:val="18"/>
              </w:rPr>
              <w:t>403.4</w:t>
            </w:r>
          </w:p>
        </w:tc>
        <w:tc>
          <w:tcPr>
            <w:tcW w:type="dxa" w:w="1520"/>
          </w:tcPr>
          <w:p>
            <w:pPr>
              <w:jc w:val="center"/>
            </w:pPr>
            <w:r>
              <w:rPr>
                <w:sz w:val="18"/>
              </w:rPr>
              <w:t>136.8</w:t>
            </w:r>
          </w:p>
        </w:tc>
        <w:tc>
          <w:tcPr>
            <w:tcW w:type="dxa" w:w="1520"/>
          </w:tcPr>
          <w:p>
            <w:pPr>
              <w:jc w:val="center"/>
            </w:pPr>
            <w:r>
              <w:rPr>
                <w:sz w:val="18"/>
              </w:rPr>
              <w:t>33.9</w:t>
            </w:r>
          </w:p>
        </w:tc>
        <w:tc>
          <w:tcPr>
            <w:tcW w:type="dxa" w:w="1520"/>
          </w:tcPr>
          <w:p>
            <w:pPr>
              <w:jc w:val="center"/>
            </w:pPr>
            <w:r>
              <w:rPr>
                <w:sz w:val="18"/>
              </w:rPr>
              <w:t>142,445</w:t>
            </w:r>
          </w:p>
        </w:tc>
        <w:tc>
          <w:tcPr>
            <w:tcW w:type="dxa" w:w="1520"/>
          </w:tcPr>
          <w:p>
            <w:pPr>
              <w:jc w:val="center"/>
            </w:pPr>
            <w:r>
              <w:rPr>
                <w:sz w:val="18"/>
              </w:rPr>
              <w:t>K4</w:t>
            </w:r>
          </w:p>
        </w:tc>
      </w:tr>
      <w:tr>
        <w:tc>
          <w:tcPr>
            <w:tcW w:type="dxa" w:w="1520"/>
          </w:tcPr>
          <w:p>
            <w:pPr>
              <w:jc w:val="left"/>
            </w:pPr>
            <w:r>
              <w:rPr>
                <w:sz w:val="18"/>
              </w:rPr>
              <w:t>Su Temini; Kanalizasyon, Atık Yönetimi</w:t>
            </w:r>
          </w:p>
        </w:tc>
        <w:tc>
          <w:tcPr>
            <w:tcW w:type="dxa" w:w="1520"/>
          </w:tcPr>
          <w:p>
            <w:pPr>
              <w:jc w:val="center"/>
            </w:pPr>
            <w:r>
              <w:rPr>
                <w:sz w:val="18"/>
              </w:rPr>
              <w:t>298.9</w:t>
            </w:r>
          </w:p>
        </w:tc>
        <w:tc>
          <w:tcPr>
            <w:tcW w:type="dxa" w:w="1520"/>
          </w:tcPr>
          <w:p>
            <w:pPr>
              <w:jc w:val="center"/>
            </w:pPr>
            <w:r>
              <w:rPr>
                <w:sz w:val="18"/>
              </w:rPr>
              <w:t>86.1</w:t>
            </w:r>
          </w:p>
        </w:tc>
        <w:tc>
          <w:tcPr>
            <w:tcW w:type="dxa" w:w="1520"/>
          </w:tcPr>
          <w:p>
            <w:pPr>
              <w:jc w:val="center"/>
            </w:pPr>
            <w:r>
              <w:rPr>
                <w:sz w:val="18"/>
              </w:rPr>
              <w:t>28.8</w:t>
            </w:r>
          </w:p>
        </w:tc>
        <w:tc>
          <w:tcPr>
            <w:tcW w:type="dxa" w:w="1520"/>
          </w:tcPr>
          <w:p>
            <w:pPr>
              <w:jc w:val="center"/>
            </w:pPr>
            <w:r>
              <w:rPr>
                <w:sz w:val="18"/>
              </w:rPr>
              <w:t>129,608</w:t>
            </w:r>
          </w:p>
        </w:tc>
        <w:tc>
          <w:tcPr>
            <w:tcW w:type="dxa" w:w="1520"/>
          </w:tcPr>
          <w:p>
            <w:pPr>
              <w:jc w:val="center"/>
            </w:pPr>
            <w:r>
              <w:rPr>
                <w:sz w:val="18"/>
              </w:rPr>
              <w:t>K4</w:t>
            </w:r>
          </w:p>
        </w:tc>
      </w:tr>
      <w:tr>
        <w:tc>
          <w:tcPr>
            <w:tcW w:type="dxa" w:w="1520"/>
          </w:tcPr>
          <w:p>
            <w:pPr>
              <w:jc w:val="left"/>
            </w:pPr>
            <w:r>
              <w:rPr>
                <w:sz w:val="18"/>
              </w:rPr>
              <w:t>Elektrik, Gaz, Buhar ve İklimlendirme</w:t>
            </w:r>
          </w:p>
        </w:tc>
        <w:tc>
          <w:tcPr>
            <w:tcW w:type="dxa" w:w="1520"/>
          </w:tcPr>
          <w:p>
            <w:pPr>
              <w:jc w:val="center"/>
            </w:pPr>
            <w:r>
              <w:rPr>
                <w:sz w:val="18"/>
              </w:rPr>
              <w:t>563.7</w:t>
            </w:r>
          </w:p>
        </w:tc>
        <w:tc>
          <w:tcPr>
            <w:tcW w:type="dxa" w:w="1520"/>
          </w:tcPr>
          <w:p>
            <w:pPr>
              <w:jc w:val="center"/>
            </w:pPr>
            <w:r>
              <w:rPr>
                <w:sz w:val="18"/>
              </w:rPr>
              <w:t>120.9</w:t>
            </w:r>
          </w:p>
        </w:tc>
        <w:tc>
          <w:tcPr>
            <w:tcW w:type="dxa" w:w="1520"/>
          </w:tcPr>
          <w:p>
            <w:pPr>
              <w:jc w:val="center"/>
            </w:pPr>
            <w:r>
              <w:rPr>
                <w:sz w:val="18"/>
              </w:rPr>
              <w:t>21.5</w:t>
            </w:r>
          </w:p>
        </w:tc>
        <w:tc>
          <w:tcPr>
            <w:tcW w:type="dxa" w:w="1520"/>
          </w:tcPr>
          <w:p>
            <w:pPr>
              <w:jc w:val="center"/>
            </w:pPr>
            <w:r>
              <w:rPr>
                <w:sz w:val="18"/>
              </w:rPr>
              <w:t>121,897</w:t>
            </w:r>
          </w:p>
        </w:tc>
        <w:tc>
          <w:tcPr>
            <w:tcW w:type="dxa" w:w="1520"/>
          </w:tcPr>
          <w:p>
            <w:pPr>
              <w:jc w:val="center"/>
            </w:pPr>
            <w:r>
              <w:rPr>
                <w:sz w:val="18"/>
              </w:rPr>
              <w:t>K4</w:t>
            </w:r>
          </w:p>
        </w:tc>
      </w:tr>
      <w:tr>
        <w:tc>
          <w:tcPr>
            <w:tcW w:type="dxa" w:w="1520"/>
          </w:tcPr>
          <w:p>
            <w:pPr>
              <w:jc w:val="left"/>
            </w:pPr>
            <w:r>
              <w:rPr>
                <w:sz w:val="18"/>
              </w:rPr>
              <w:t>Kültür, Sanat, Eğlence, Spor</w:t>
            </w:r>
          </w:p>
        </w:tc>
        <w:tc>
          <w:tcPr>
            <w:tcW w:type="dxa" w:w="1520"/>
          </w:tcPr>
          <w:p>
            <w:pPr>
              <w:jc w:val="center"/>
            </w:pPr>
            <w:r>
              <w:rPr>
                <w:sz w:val="18"/>
              </w:rPr>
              <w:t>618.0</w:t>
            </w:r>
          </w:p>
        </w:tc>
        <w:tc>
          <w:tcPr>
            <w:tcW w:type="dxa" w:w="1520"/>
          </w:tcPr>
          <w:p>
            <w:pPr>
              <w:jc w:val="center"/>
            </w:pPr>
            <w:r>
              <w:rPr>
                <w:sz w:val="18"/>
              </w:rPr>
              <w:t>114.4</w:t>
            </w:r>
          </w:p>
        </w:tc>
        <w:tc>
          <w:tcPr>
            <w:tcW w:type="dxa" w:w="1520"/>
          </w:tcPr>
          <w:p>
            <w:pPr>
              <w:jc w:val="center"/>
            </w:pPr>
            <w:r>
              <w:rPr>
                <w:sz w:val="18"/>
              </w:rPr>
              <w:t>18.5</w:t>
            </w:r>
          </w:p>
        </w:tc>
        <w:tc>
          <w:tcPr>
            <w:tcW w:type="dxa" w:w="1520"/>
          </w:tcPr>
          <w:p>
            <w:pPr>
              <w:jc w:val="center"/>
            </w:pPr>
            <w:r>
              <w:rPr>
                <w:sz w:val="18"/>
              </w:rPr>
              <w:t>91,062</w:t>
            </w:r>
          </w:p>
        </w:tc>
        <w:tc>
          <w:tcPr>
            <w:tcW w:type="dxa" w:w="1520"/>
          </w:tcPr>
          <w:p>
            <w:pPr>
              <w:jc w:val="center"/>
            </w:pPr>
            <w:r>
              <w:rPr>
                <w:sz w:val="18"/>
              </w:rPr>
              <w:t>K4</w:t>
            </w:r>
          </w:p>
        </w:tc>
      </w:tr>
      <w:tr>
        <w:tc>
          <w:tcPr>
            <w:tcW w:type="dxa" w:w="1520"/>
          </w:tcPr>
          <w:p>
            <w:pPr>
              <w:jc w:val="left"/>
            </w:pPr>
            <w:r>
              <w:rPr>
                <w:sz w:val="18"/>
              </w:rPr>
              <w:t>Hanehalkları İşverenler</w:t>
            </w:r>
          </w:p>
        </w:tc>
        <w:tc>
          <w:tcPr>
            <w:tcW w:type="dxa" w:w="1520"/>
          </w:tcPr>
          <w:p>
            <w:pPr>
              <w:jc w:val="center"/>
            </w:pPr>
            <w:r>
              <w:rPr>
                <w:sz w:val="18"/>
              </w:rPr>
              <w:t>24.8</w:t>
            </w:r>
          </w:p>
        </w:tc>
        <w:tc>
          <w:tcPr>
            <w:tcW w:type="dxa" w:w="1520"/>
          </w:tcPr>
          <w:p>
            <w:pPr>
              <w:jc w:val="center"/>
            </w:pPr>
            <w:r>
              <w:rPr>
                <w:sz w:val="18"/>
              </w:rPr>
              <w:t>24.8</w:t>
            </w:r>
          </w:p>
        </w:tc>
        <w:tc>
          <w:tcPr>
            <w:tcW w:type="dxa" w:w="1520"/>
          </w:tcPr>
          <w:p>
            <w:pPr>
              <w:jc w:val="center"/>
            </w:pPr>
            <w:r>
              <w:rPr>
                <w:sz w:val="18"/>
              </w:rPr>
              <w:t>100.0</w:t>
            </w:r>
          </w:p>
        </w:tc>
        <w:tc>
          <w:tcPr>
            <w:tcW w:type="dxa" w:w="1520"/>
          </w:tcPr>
          <w:p>
            <w:pPr>
              <w:jc w:val="center"/>
            </w:pPr>
            <w:r>
              <w:rPr>
                <w:sz w:val="18"/>
              </w:rPr>
              <w:t>35,140</w:t>
            </w:r>
          </w:p>
        </w:tc>
        <w:tc>
          <w:tcPr>
            <w:tcW w:type="dxa" w:w="1520"/>
          </w:tcPr>
          <w:p>
            <w:pPr>
              <w:jc w:val="center"/>
            </w:pPr>
            <w:r>
              <w:rPr>
                <w:sz w:val="18"/>
              </w:rPr>
              <w:t>K3</w:t>
            </w:r>
          </w:p>
        </w:tc>
      </w:tr>
    </w:tbl>
    <w:p>
      <w:pPr>
        <w:ind w:firstLine="0"/>
      </w:pPr>
      <w:r>
        <w:rPr>
          <w:b w:val="0"/>
          <w:i/>
        </w:rPr>
        <w:t>Kaynak: TÜİK GSYH Gelir Yöntemi (2024), SGK Yıllık İstatistikleri (2024).</w:t>
      </w:r>
    </w:p>
    <w:p>
      <w:pPr>
        <w:ind w:firstLine="0"/>
      </w:pPr>
      <w:r>
        <w:rPr>
          <w:b w:val="0"/>
          <w:i/>
        </w:rPr>
        <w:t>Not: GKD = Gayrisafi Katma Değer. Maliyet Oranı = İşgücü Ödemesi / GKD × 100.</w:t>
      </w:r>
    </w:p>
    <w:p>
      <w:pPr>
        <w:pStyle w:val="Heading2"/>
      </w:pPr>
      <w:r>
        <w:t>4.2. İstihdam Yapısı ve Verimlilik</w:t>
      </w:r>
    </w:p>
    <w:p>
      <w:r>
        <w:rPr>
          <w:b w:val="0"/>
          <w:i w:val="0"/>
        </w:rPr>
        <w:t>SGK 4/1-a kapsamında toplam 16,571,670 zorunlu sigortalı bulunmaktadır. İmalat sanayi %25.1 ile en büyük istihdam payına sahipken, onu sırasıyla toptan ve perakende ticaret ile inşaat izlemektedir. Bu üç sektör toplam istihdamın yaklaşık üçte ikisini oluşturmaktadır.</w:t>
      </w:r>
    </w:p>
    <w:p>
      <w:r>
        <w:rPr>
          <w:b w:val="0"/>
          <w:i w:val="0"/>
        </w:rPr>
        <w:t>Kişi başı katma değer açısından en verimli sektörler gayrimenkul, ulaştırma ve tarım iken; kişi başı işgücü maliyeti en yüksek sektörler kamu yönetimi, eğitim ve sağlık olarak öne çıkmaktadır. Bu durum, emek yoğun kamu hizmet sektörlerinde işgücü maliyetinin katma değere oranla yüksek olduğuna işaret etmektedir.</w:t>
      </w:r>
    </w:p>
    <w:p>
      <w:r>
        <w:rPr>
          <w:b w:val="0"/>
          <w:i w:val="0"/>
        </w:rPr>
        <w:t>OECD (2025) raporuna göre Türkiye'de çalışan başına potansiyel büyüme yavaşlamakta ve görece düşük kalmaktadır. Demografik temettünün sona ermesinin ardından büyümeyi desteklemek için özellikle hizmetler sektöründe verimlilik artışı, işgücünün nitelik geliştirilmesi, yenilikçiliğin güçlendirilmesi ve iş düzenlemelerinin kolaylaştırılması gerekmektedir.</w:t>
      </w:r>
    </w:p>
    <w:p>
      <w:pPr>
        <w:pStyle w:val="Heading2"/>
      </w:pPr>
      <w:r>
        <w:t>4.3. Kadran Analizi: Sektörel Sınıflandırma</w:t>
      </w:r>
    </w:p>
    <w:p>
      <w:r>
        <w:rPr>
          <w:b w:val="0"/>
          <w:i w:val="0"/>
        </w:rPr>
        <w:t>Sektörler, istihdam payı ve işgücü maliyet oranının medyan değerlerine göre dört kadrana ayrılmıştır. Bu sınıflandırma, teşvik politikalarının hedeflenmesi için analitik bir çerçeve sunmaktadır:</w:t>
      </w:r>
    </w:p>
    <w:p>
      <w:r>
        <w:rPr>
          <w:b/>
        </w:rPr>
        <w:t xml:space="preserve">Kadran 1 — Yüksek İstihdam + Yüksek Maliyet (Teşvik Önceliği): </w:t>
      </w:r>
      <w:r>
        <w:t>Bu gruptaki sektörler hem ekonominin istihdam lokomotifi hem de işgücü maliyeti baskısı altındaki sektörlerdir. İstihdam teşviki bu sektörlerde en yüksek marjinal etkiyi yaratabilir.</w:t>
      </w:r>
    </w:p>
    <w:p>
      <w:r>
        <w:rPr>
          <w:b/>
        </w:rPr>
        <w:t xml:space="preserve">Kadran 2 — Yüksek İstihdam + Düşük Maliyet (Sürdürülebilir Yapı): </w:t>
      </w:r>
      <w:r>
        <w:t>İstihdam kapasitesi yüksek olmasına rağmen işgücü maliyeti görece düşüktür. Mevcut yapının korunması ve rekabet gücünün desteklenmesi önceliklidir.</w:t>
      </w:r>
    </w:p>
    <w:p>
      <w:r>
        <w:rPr>
          <w:b/>
        </w:rPr>
        <w:t xml:space="preserve">Kadran 3 — Düşük İstihdam + Yüksek Maliyet (Yapısal Dönüşüm): </w:t>
      </w:r>
      <w:r>
        <w:t>İstihdam kapasitesi sınırlı ancak maliyet baskısı yüksektir. Verimlilik artışı, dijital dönüşüm ve nitelik dönüşümü öncelikli politika alanlarıdır.</w:t>
      </w:r>
    </w:p>
    <w:p>
      <w:r>
        <w:rPr>
          <w:b/>
        </w:rPr>
        <w:t xml:space="preserve">Kadran 4 — Düşük İstihdam + Düşük Maliyet (İzleme): </w:t>
      </w:r>
      <w:r>
        <w:t>Hem istihdam hem maliyet düşüktür. Büyüme potansiyeli izlenmeli, stratejik sektörlerde hedefli müdahaleler değerlendirilmelidir.</w:t>
      </w:r>
    </w:p>
    <w:p>
      <w:pPr>
        <w:ind w:firstLine="0"/>
      </w:pPr>
      <w:r>
        <w:rPr>
          <w:b/>
          <w:i w:val="0"/>
        </w:rPr>
        <w:t>Tablo 3. Kadran 1 Sektörleri: Teşvik Öncelikli Sektörler</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b/>
                <w:sz w:val="18"/>
              </w:rPr>
              <w:t>Sektör</w:t>
            </w:r>
          </w:p>
        </w:tc>
        <w:tc>
          <w:tcPr>
            <w:tcW w:type="dxa" w:w="1520"/>
          </w:tcPr>
          <w:p>
            <w:pPr>
              <w:jc w:val="center"/>
            </w:pPr>
            <w:r>
              <w:rPr>
                <w:b/>
                <w:sz w:val="18"/>
              </w:rPr>
              <w:t>İstihdam</w:t>
              <w:br/>
              <w:t>Payı(%)</w:t>
            </w:r>
          </w:p>
        </w:tc>
        <w:tc>
          <w:tcPr>
            <w:tcW w:type="dxa" w:w="1520"/>
          </w:tcPr>
          <w:p>
            <w:pPr>
              <w:jc w:val="center"/>
            </w:pPr>
            <w:r>
              <w:rPr>
                <w:b/>
                <w:sz w:val="18"/>
              </w:rPr>
              <w:t>Maliyet</w:t>
              <w:br/>
              <w:t>Oranı(%)</w:t>
            </w:r>
          </w:p>
        </w:tc>
        <w:tc>
          <w:tcPr>
            <w:tcW w:type="dxa" w:w="1520"/>
          </w:tcPr>
          <w:p>
            <w:pPr>
              <w:jc w:val="center"/>
            </w:pPr>
            <w:r>
              <w:rPr>
                <w:b/>
                <w:sz w:val="18"/>
              </w:rPr>
              <w:t>Etkinlik</w:t>
            </w:r>
          </w:p>
        </w:tc>
        <w:tc>
          <w:tcPr>
            <w:tcW w:type="dxa" w:w="1520"/>
          </w:tcPr>
          <w:p>
            <w:pPr>
              <w:jc w:val="center"/>
            </w:pPr>
            <w:r>
              <w:rPr>
                <w:b/>
                <w:sz w:val="18"/>
              </w:rPr>
              <w:t>KOBİ</w:t>
              <w:br/>
              <w:t>(%)</w:t>
            </w:r>
          </w:p>
        </w:tc>
        <w:tc>
          <w:tcPr>
            <w:tcW w:type="dxa" w:w="1520"/>
          </w:tcPr>
          <w:p>
            <w:pPr>
              <w:jc w:val="center"/>
            </w:pPr>
            <w:r>
              <w:rPr>
                <w:b/>
                <w:sz w:val="18"/>
              </w:rPr>
              <w:t>Günlük</w:t>
              <w:br/>
              <w:t>Kazanç(TL)</w:t>
            </w:r>
          </w:p>
        </w:tc>
      </w:tr>
      <w:tr>
        <w:tc>
          <w:tcPr>
            <w:tcW w:type="dxa" w:w="1520"/>
          </w:tcPr>
          <w:p>
            <w:pPr>
              <w:jc w:val="left"/>
            </w:pPr>
            <w:r>
              <w:rPr>
                <w:sz w:val="18"/>
              </w:rPr>
              <w:t>İmalat Sanayi</w:t>
            </w:r>
          </w:p>
        </w:tc>
        <w:tc>
          <w:tcPr>
            <w:tcW w:type="dxa" w:w="1520"/>
          </w:tcPr>
          <w:p>
            <w:pPr>
              <w:jc w:val="center"/>
            </w:pPr>
            <w:r>
              <w:rPr>
                <w:sz w:val="18"/>
              </w:rPr>
              <w:t>25.1</w:t>
            </w:r>
          </w:p>
        </w:tc>
        <w:tc>
          <w:tcPr>
            <w:tcW w:type="dxa" w:w="1520"/>
          </w:tcPr>
          <w:p>
            <w:pPr>
              <w:jc w:val="center"/>
            </w:pPr>
            <w:r>
              <w:rPr>
                <w:sz w:val="18"/>
              </w:rPr>
              <w:t>43.6</w:t>
            </w:r>
          </w:p>
        </w:tc>
        <w:tc>
          <w:tcPr>
            <w:tcW w:type="dxa" w:w="1520"/>
          </w:tcPr>
          <w:p>
            <w:pPr>
              <w:jc w:val="center"/>
            </w:pPr>
            <w:r>
              <w:rPr>
                <w:sz w:val="18"/>
              </w:rPr>
              <w:t>2.29</w:t>
            </w:r>
          </w:p>
        </w:tc>
        <w:tc>
          <w:tcPr>
            <w:tcW w:type="dxa" w:w="1520"/>
          </w:tcPr>
          <w:p>
            <w:pPr>
              <w:jc w:val="center"/>
            </w:pPr>
            <w:r>
              <w:rPr>
                <w:sz w:val="18"/>
              </w:rPr>
              <w:t>97.8</w:t>
            </w:r>
          </w:p>
        </w:tc>
        <w:tc>
          <w:tcPr>
            <w:tcW w:type="dxa" w:w="1520"/>
          </w:tcPr>
          <w:p>
            <w:pPr>
              <w:jc w:val="center"/>
            </w:pPr>
            <w:r>
              <w:rPr>
                <w:sz w:val="18"/>
              </w:rPr>
              <w:t>1,392</w:t>
            </w:r>
          </w:p>
        </w:tc>
      </w:tr>
      <w:tr>
        <w:tc>
          <w:tcPr>
            <w:tcW w:type="dxa" w:w="1520"/>
          </w:tcPr>
          <w:p>
            <w:pPr>
              <w:jc w:val="left"/>
            </w:pPr>
            <w:r>
              <w:rPr>
                <w:sz w:val="18"/>
              </w:rPr>
              <w:t>İnşaat</w:t>
            </w:r>
          </w:p>
        </w:tc>
        <w:tc>
          <w:tcPr>
            <w:tcW w:type="dxa" w:w="1520"/>
          </w:tcPr>
          <w:p>
            <w:pPr>
              <w:jc w:val="center"/>
            </w:pPr>
            <w:r>
              <w:rPr>
                <w:sz w:val="18"/>
              </w:rPr>
              <w:t>12.0</w:t>
            </w:r>
          </w:p>
        </w:tc>
        <w:tc>
          <w:tcPr>
            <w:tcW w:type="dxa" w:w="1520"/>
          </w:tcPr>
          <w:p>
            <w:pPr>
              <w:jc w:val="center"/>
            </w:pPr>
            <w:r>
              <w:rPr>
                <w:sz w:val="18"/>
              </w:rPr>
              <w:t>35.6</w:t>
            </w:r>
          </w:p>
        </w:tc>
        <w:tc>
          <w:tcPr>
            <w:tcW w:type="dxa" w:w="1520"/>
          </w:tcPr>
          <w:p>
            <w:pPr>
              <w:jc w:val="center"/>
            </w:pPr>
            <w:r>
              <w:rPr>
                <w:sz w:val="18"/>
              </w:rPr>
              <w:t>2.81</w:t>
            </w:r>
          </w:p>
        </w:tc>
        <w:tc>
          <w:tcPr>
            <w:tcW w:type="dxa" w:w="1520"/>
          </w:tcPr>
          <w:p>
            <w:pPr>
              <w:jc w:val="center"/>
            </w:pPr>
            <w:r>
              <w:rPr>
                <w:sz w:val="18"/>
              </w:rPr>
              <w:t>98.9</w:t>
            </w:r>
          </w:p>
        </w:tc>
        <w:tc>
          <w:tcPr>
            <w:tcW w:type="dxa" w:w="1520"/>
          </w:tcPr>
          <w:p>
            <w:pPr>
              <w:jc w:val="center"/>
            </w:pPr>
            <w:r>
              <w:rPr>
                <w:sz w:val="18"/>
              </w:rPr>
              <w:t>1,018</w:t>
            </w:r>
          </w:p>
        </w:tc>
      </w:tr>
      <w:tr>
        <w:tc>
          <w:tcPr>
            <w:tcW w:type="dxa" w:w="1520"/>
          </w:tcPr>
          <w:p>
            <w:pPr>
              <w:jc w:val="left"/>
            </w:pPr>
            <w:r>
              <w:rPr>
                <w:sz w:val="18"/>
              </w:rPr>
              <w:t>İdari ve Destek Hizmet Faaliyetleri</w:t>
            </w:r>
          </w:p>
        </w:tc>
        <w:tc>
          <w:tcPr>
            <w:tcW w:type="dxa" w:w="1520"/>
          </w:tcPr>
          <w:p>
            <w:pPr>
              <w:jc w:val="center"/>
            </w:pPr>
            <w:r>
              <w:rPr>
                <w:sz w:val="18"/>
              </w:rPr>
              <w:t>8.6</w:t>
            </w:r>
          </w:p>
        </w:tc>
        <w:tc>
          <w:tcPr>
            <w:tcW w:type="dxa" w:w="1520"/>
          </w:tcPr>
          <w:p>
            <w:pPr>
              <w:jc w:val="center"/>
            </w:pPr>
            <w:r>
              <w:rPr>
                <w:sz w:val="18"/>
              </w:rPr>
              <w:t>60.5</w:t>
            </w:r>
          </w:p>
        </w:tc>
        <w:tc>
          <w:tcPr>
            <w:tcW w:type="dxa" w:w="1520"/>
          </w:tcPr>
          <w:p>
            <w:pPr>
              <w:jc w:val="center"/>
            </w:pPr>
            <w:r>
              <w:rPr>
                <w:sz w:val="18"/>
              </w:rPr>
              <w:t>1.65</w:t>
            </w:r>
          </w:p>
        </w:tc>
        <w:tc>
          <w:tcPr>
            <w:tcW w:type="dxa" w:w="1520"/>
          </w:tcPr>
          <w:p>
            <w:pPr>
              <w:jc w:val="center"/>
            </w:pPr>
            <w:r>
              <w:rPr>
                <w:sz w:val="18"/>
              </w:rPr>
              <w:t>97.9</w:t>
            </w:r>
          </w:p>
        </w:tc>
        <w:tc>
          <w:tcPr>
            <w:tcW w:type="dxa" w:w="1520"/>
          </w:tcPr>
          <w:p>
            <w:pPr>
              <w:jc w:val="center"/>
            </w:pPr>
            <w:r>
              <w:rPr>
                <w:sz w:val="18"/>
              </w:rPr>
              <w:t>1,389</w:t>
            </w:r>
          </w:p>
        </w:tc>
      </w:tr>
      <w:tr>
        <w:tc>
          <w:tcPr>
            <w:tcW w:type="dxa" w:w="1520"/>
          </w:tcPr>
          <w:p>
            <w:pPr>
              <w:jc w:val="left"/>
            </w:pPr>
            <w:r>
              <w:rPr>
                <w:sz w:val="18"/>
              </w:rPr>
              <w:t>Konaklama ve Yiyecek Hizmeti</w:t>
            </w:r>
          </w:p>
        </w:tc>
        <w:tc>
          <w:tcPr>
            <w:tcW w:type="dxa" w:w="1520"/>
          </w:tcPr>
          <w:p>
            <w:pPr>
              <w:jc w:val="center"/>
            </w:pPr>
            <w:r>
              <w:rPr>
                <w:sz w:val="18"/>
              </w:rPr>
              <w:t>7.1</w:t>
            </w:r>
          </w:p>
        </w:tc>
        <w:tc>
          <w:tcPr>
            <w:tcW w:type="dxa" w:w="1520"/>
          </w:tcPr>
          <w:p>
            <w:pPr>
              <w:jc w:val="center"/>
            </w:pPr>
            <w:r>
              <w:rPr>
                <w:sz w:val="18"/>
              </w:rPr>
              <w:t>40.1</w:t>
            </w:r>
          </w:p>
        </w:tc>
        <w:tc>
          <w:tcPr>
            <w:tcW w:type="dxa" w:w="1520"/>
          </w:tcPr>
          <w:p>
            <w:pPr>
              <w:jc w:val="center"/>
            </w:pPr>
            <w:r>
              <w:rPr>
                <w:sz w:val="18"/>
              </w:rPr>
              <w:t>2.49</w:t>
            </w:r>
          </w:p>
        </w:tc>
        <w:tc>
          <w:tcPr>
            <w:tcW w:type="dxa" w:w="1520"/>
          </w:tcPr>
          <w:p>
            <w:pPr>
              <w:jc w:val="center"/>
            </w:pPr>
            <w:r>
              <w:rPr>
                <w:sz w:val="18"/>
              </w:rPr>
              <w:t>99.3</w:t>
            </w:r>
          </w:p>
        </w:tc>
        <w:tc>
          <w:tcPr>
            <w:tcW w:type="dxa" w:w="1520"/>
          </w:tcPr>
          <w:p>
            <w:pPr>
              <w:jc w:val="center"/>
            </w:pPr>
            <w:r>
              <w:rPr>
                <w:sz w:val="18"/>
              </w:rPr>
              <w:t>984</w:t>
            </w:r>
          </w:p>
        </w:tc>
      </w:tr>
      <w:tr>
        <w:tc>
          <w:tcPr>
            <w:tcW w:type="dxa" w:w="1520"/>
          </w:tcPr>
          <w:p>
            <w:pPr>
              <w:jc w:val="left"/>
            </w:pPr>
            <w:r>
              <w:rPr>
                <w:sz w:val="18"/>
              </w:rPr>
              <w:t>İnsan Sağlığı ve Sosyal Hizmet</w:t>
            </w:r>
          </w:p>
        </w:tc>
        <w:tc>
          <w:tcPr>
            <w:tcW w:type="dxa" w:w="1520"/>
          </w:tcPr>
          <w:p>
            <w:pPr>
              <w:jc w:val="center"/>
            </w:pPr>
            <w:r>
              <w:rPr>
                <w:sz w:val="18"/>
              </w:rPr>
              <w:t>5.9</w:t>
            </w:r>
          </w:p>
        </w:tc>
        <w:tc>
          <w:tcPr>
            <w:tcW w:type="dxa" w:w="1520"/>
          </w:tcPr>
          <w:p>
            <w:pPr>
              <w:jc w:val="center"/>
            </w:pPr>
            <w:r>
              <w:rPr>
                <w:sz w:val="18"/>
              </w:rPr>
              <w:t>72.0</w:t>
            </w:r>
          </w:p>
        </w:tc>
        <w:tc>
          <w:tcPr>
            <w:tcW w:type="dxa" w:w="1520"/>
          </w:tcPr>
          <w:p>
            <w:pPr>
              <w:jc w:val="center"/>
            </w:pPr>
            <w:r>
              <w:rPr>
                <w:sz w:val="18"/>
              </w:rPr>
              <w:t>1.39</w:t>
            </w:r>
          </w:p>
        </w:tc>
        <w:tc>
          <w:tcPr>
            <w:tcW w:type="dxa" w:w="1520"/>
          </w:tcPr>
          <w:p>
            <w:pPr>
              <w:jc w:val="center"/>
            </w:pPr>
            <w:r>
              <w:rPr>
                <w:sz w:val="18"/>
              </w:rPr>
              <w:t>97.2</w:t>
            </w:r>
          </w:p>
        </w:tc>
        <w:tc>
          <w:tcPr>
            <w:tcW w:type="dxa" w:w="1520"/>
          </w:tcPr>
          <w:p>
            <w:pPr>
              <w:jc w:val="center"/>
            </w:pPr>
            <w:r>
              <w:rPr>
                <w:sz w:val="18"/>
              </w:rPr>
              <w:t>1,350</w:t>
            </w:r>
          </w:p>
        </w:tc>
      </w:tr>
      <w:tr>
        <w:tc>
          <w:tcPr>
            <w:tcW w:type="dxa" w:w="1520"/>
          </w:tcPr>
          <w:p>
            <w:pPr>
              <w:jc w:val="left"/>
            </w:pPr>
            <w:r>
              <w:rPr>
                <w:sz w:val="18"/>
              </w:rPr>
              <w:t>Mesleki, Bilimsel ve Teknik Faal.</w:t>
            </w:r>
          </w:p>
        </w:tc>
        <w:tc>
          <w:tcPr>
            <w:tcW w:type="dxa" w:w="1520"/>
          </w:tcPr>
          <w:p>
            <w:pPr>
              <w:jc w:val="center"/>
            </w:pPr>
            <w:r>
              <w:rPr>
                <w:sz w:val="18"/>
              </w:rPr>
              <w:t>4.1</w:t>
            </w:r>
          </w:p>
        </w:tc>
        <w:tc>
          <w:tcPr>
            <w:tcW w:type="dxa" w:w="1520"/>
          </w:tcPr>
          <w:p>
            <w:pPr>
              <w:jc w:val="center"/>
            </w:pPr>
            <w:r>
              <w:rPr>
                <w:sz w:val="18"/>
              </w:rPr>
              <w:t>41.6</w:t>
            </w:r>
          </w:p>
        </w:tc>
        <w:tc>
          <w:tcPr>
            <w:tcW w:type="dxa" w:w="1520"/>
          </w:tcPr>
          <w:p>
            <w:pPr>
              <w:jc w:val="center"/>
            </w:pPr>
            <w:r>
              <w:rPr>
                <w:sz w:val="18"/>
              </w:rPr>
              <w:t>2.40</w:t>
            </w:r>
          </w:p>
        </w:tc>
        <w:tc>
          <w:tcPr>
            <w:tcW w:type="dxa" w:w="1520"/>
          </w:tcPr>
          <w:p>
            <w:pPr>
              <w:jc w:val="center"/>
            </w:pPr>
            <w:r>
              <w:rPr>
                <w:sz w:val="18"/>
              </w:rPr>
              <w:t>99.5</w:t>
            </w:r>
          </w:p>
        </w:tc>
        <w:tc>
          <w:tcPr>
            <w:tcW w:type="dxa" w:w="1520"/>
          </w:tcPr>
          <w:p>
            <w:pPr>
              <w:jc w:val="center"/>
            </w:pPr>
            <w:r>
              <w:rPr>
                <w:sz w:val="18"/>
              </w:rPr>
              <w:t>1,627</w:t>
            </w:r>
          </w:p>
        </w:tc>
      </w:tr>
      <w:tr>
        <w:tc>
          <w:tcPr>
            <w:tcW w:type="dxa" w:w="1520"/>
          </w:tcPr>
          <w:p>
            <w:pPr>
              <w:jc w:val="left"/>
            </w:pPr>
            <w:r>
              <w:rPr>
                <w:sz w:val="18"/>
              </w:rPr>
              <w:t>Eğitim</w:t>
            </w:r>
          </w:p>
        </w:tc>
        <w:tc>
          <w:tcPr>
            <w:tcW w:type="dxa" w:w="1520"/>
          </w:tcPr>
          <w:p>
            <w:pPr>
              <w:jc w:val="center"/>
            </w:pPr>
            <w:r>
              <w:rPr>
                <w:sz w:val="18"/>
              </w:rPr>
              <w:t>4.0</w:t>
            </w:r>
          </w:p>
        </w:tc>
        <w:tc>
          <w:tcPr>
            <w:tcW w:type="dxa" w:w="1520"/>
          </w:tcPr>
          <w:p>
            <w:pPr>
              <w:jc w:val="center"/>
            </w:pPr>
            <w:r>
              <w:rPr>
                <w:sz w:val="18"/>
              </w:rPr>
              <w:t>75.3</w:t>
            </w:r>
          </w:p>
        </w:tc>
        <w:tc>
          <w:tcPr>
            <w:tcW w:type="dxa" w:w="1520"/>
          </w:tcPr>
          <w:p>
            <w:pPr>
              <w:jc w:val="center"/>
            </w:pPr>
            <w:r>
              <w:rPr>
                <w:sz w:val="18"/>
              </w:rPr>
              <w:t>1.33</w:t>
            </w:r>
          </w:p>
        </w:tc>
        <w:tc>
          <w:tcPr>
            <w:tcW w:type="dxa" w:w="1520"/>
          </w:tcPr>
          <w:p>
            <w:pPr>
              <w:jc w:val="center"/>
            </w:pPr>
            <w:r>
              <w:rPr>
                <w:sz w:val="18"/>
              </w:rPr>
              <w:t>96.9</w:t>
            </w:r>
          </w:p>
        </w:tc>
        <w:tc>
          <w:tcPr>
            <w:tcW w:type="dxa" w:w="1520"/>
          </w:tcPr>
          <w:p>
            <w:pPr>
              <w:jc w:val="center"/>
            </w:pPr>
            <w:r>
              <w:rPr>
                <w:sz w:val="18"/>
              </w:rPr>
              <w:t>1,240</w:t>
            </w:r>
          </w:p>
        </w:tc>
      </w:tr>
      <w:tr>
        <w:tc>
          <w:tcPr>
            <w:tcW w:type="dxa" w:w="1520"/>
          </w:tcPr>
          <w:p>
            <w:pPr>
              <w:jc w:val="left"/>
            </w:pPr>
            <w:r>
              <w:rPr>
                <w:sz w:val="18"/>
              </w:rPr>
              <w:t>Kamu Yönetimi ve Savunma</w:t>
            </w:r>
          </w:p>
        </w:tc>
        <w:tc>
          <w:tcPr>
            <w:tcW w:type="dxa" w:w="1520"/>
          </w:tcPr>
          <w:p>
            <w:pPr>
              <w:jc w:val="center"/>
            </w:pPr>
            <w:r>
              <w:rPr>
                <w:sz w:val="18"/>
              </w:rPr>
              <w:t>1.7</w:t>
            </w:r>
          </w:p>
        </w:tc>
        <w:tc>
          <w:tcPr>
            <w:tcW w:type="dxa" w:w="1520"/>
          </w:tcPr>
          <w:p>
            <w:pPr>
              <w:jc w:val="center"/>
            </w:pPr>
            <w:r>
              <w:rPr>
                <w:sz w:val="18"/>
              </w:rPr>
              <w:t>81.0</w:t>
            </w:r>
          </w:p>
        </w:tc>
        <w:tc>
          <w:tcPr>
            <w:tcW w:type="dxa" w:w="1520"/>
          </w:tcPr>
          <w:p>
            <w:pPr>
              <w:jc w:val="center"/>
            </w:pPr>
            <w:r>
              <w:rPr>
                <w:sz w:val="18"/>
              </w:rPr>
              <w:t>1.23</w:t>
            </w:r>
          </w:p>
        </w:tc>
        <w:tc>
          <w:tcPr>
            <w:tcW w:type="dxa" w:w="1520"/>
          </w:tcPr>
          <w:p>
            <w:pPr>
              <w:jc w:val="center"/>
            </w:pPr>
            <w:r>
              <w:rPr>
                <w:sz w:val="18"/>
              </w:rPr>
              <w:t>91.1</w:t>
            </w:r>
          </w:p>
        </w:tc>
        <w:tc>
          <w:tcPr>
            <w:tcW w:type="dxa" w:w="1520"/>
          </w:tcPr>
          <w:p>
            <w:pPr>
              <w:jc w:val="center"/>
            </w:pPr>
            <w:r>
              <w:rPr>
                <w:sz w:val="18"/>
              </w:rPr>
              <w:t>1,407</w:t>
            </w:r>
          </w:p>
        </w:tc>
      </w:tr>
    </w:tbl>
    <w:p>
      <w:pPr>
        <w:ind w:firstLine="0"/>
      </w:pPr>
      <w:r>
        <w:rPr>
          <w:b w:val="0"/>
          <w:i/>
        </w:rPr>
        <w:t>Kaynak: TÜİK (2024), SGK (2024). Yazarın hesaplamaları.</w:t>
      </w:r>
    </w:p>
    <w:p>
      <w:pPr>
        <w:ind w:firstLine="0"/>
      </w:pPr>
      <w:r>
        <w:rPr>
          <w:b w:val="0"/>
          <w:i/>
        </w:rPr>
        <w:t>Not: Etkinlik (Maliyet Etkinliği) = Gayrisafi Katma Değer / İşgücü Ödemesi. Katsayı, 1 TL işgücü maliyetiyle kaç TL gayrisafi katma değer üretildiğini göstermektedir. Örneğin 2,29 değeri, 1 TL işgücü ödemesine karşılık 2,29 TL katma değer üretildiği anlamına gelir. Değer ne kadar yüksekse işgücünün katma değer yaratma kapasitesi o kadar güçlüdür; düşük değer ise işgücü maliyetinin katma değere oranla yüksek olduğuna ve maliyet baskısına işaret eder.</w:t>
      </w:r>
    </w:p>
    <w:p>
      <w:r>
        <w:br w:type="page"/>
      </w:r>
    </w:p>
    <w:p>
      <w:pPr>
        <w:pStyle w:val="Heading1"/>
      </w:pPr>
      <w:r>
        <w:t>5. ULUSLARARASI KURUM DEĞERLENDİRMELERİ</w:t>
      </w:r>
    </w:p>
    <w:p>
      <w:pPr>
        <w:pStyle w:val="Heading2"/>
      </w:pPr>
      <w:r>
        <w:t>5.1. IMF Perspektifi</w:t>
      </w:r>
    </w:p>
    <w:p>
      <w:r>
        <w:rPr>
          <w:b w:val="0"/>
          <w:i w:val="0"/>
        </w:rPr>
        <w:t>IMF, Ekim 2025 Dünya Ekonomik Görünümü'nde yapay zeka yatırımlarının büyümeyi desteklediğini ancak verimlilik kazanımlarının gerçekleşmemesi halinde keskin piyasa düzeltmeleri riskine dikkat çekmektedir. Sanayi politikasının yeniden yükselişi, ülkelerin stratejik sektörleri desteklemek için aktif müdahale araçlarına başvurduğuna işaret etmektedir. Göç politikalarındaki sıkılaşma, özellikle beceri açığı bulunan sektörlerde firmaların yatırım ve işe alım kararlarını olumsuz etkileyebilir (IMF, 2025a; IMF, 2026).</w:t>
      </w:r>
    </w:p>
    <w:p>
      <w:pPr>
        <w:pStyle w:val="Heading2"/>
      </w:pPr>
      <w:r>
        <w:t>5.2. OECD Önerileri</w:t>
      </w:r>
    </w:p>
    <w:p>
      <w:r>
        <w:rPr>
          <w:b w:val="0"/>
          <w:i w:val="0"/>
        </w:rPr>
        <w:t>OECD'nin Nisan 2025 tarihli Türkiye Ekonomik İncelemesi, birçok sektörel öneri içermektedir. Buna göre Türkiye ekonomisi orta teknolojili sektörlerde uzmanlaşmış durumdadır ve yüksek becerili imalat ve hizmetlerde rekabet gücünü artırması gerekmektedir. Küresel değer zincirlerinde yukarı yönlü entegrasyon, inovasyonun yaygınlaştırılması ve işgücü niteliklerinin geliştirilmesini gerektirmektedir (OECD, 2025).</w:t>
      </w:r>
    </w:p>
    <w:p>
      <w:r>
        <w:rPr>
          <w:b w:val="0"/>
          <w:i w:val="0"/>
        </w:rPr>
        <w:t>OECD özellikle şu alanlara dikkat çekmektedir: (i) Kadın işgücü katılımının artırılması — OECD ortalamasının önemli ölçüde altında olan kadın işgücü katılımının yükseltilmesi için okul öncesi eğitim olanaklarının genişletilmesi, çocuk yardımlarının artırılması ve ebeveynler için efektif vergi oranlarının düşürülmesi; (ii) Hizmetler sektöründe düzenleyici reformlar (aşağıda ayrıca ele alınmaktadır); (iii) Kayıt dışılığın azaltılması — düşük gelirli çalışanlarda sosyal güvenlik primlerinin düşürülmesi işgücü piyasası katılımını artırabilir ve kayıt dışılığı azaltabilir (OECD, 2025).</w:t>
      </w:r>
    </w:p>
    <w:p>
      <w:r>
        <w:rPr>
          <w:b w:val="0"/>
          <w:i w:val="0"/>
        </w:rPr>
        <w:t>Hizmetler sektöründe düzenleyici reformlar meselesine ayrıca değinmek gerekmektedir. Türkiye'de avukatlık, mali müşavirlik, mühendislik, mimarlık gibi mesleki hizmet faaliyetlerine giriş, OECD ülkeleri arasında en katı lisans, kota ve faaliyet kısıtlamalarına tabidir (OECD Product Market Regulation Indicators, 2015). Bu durum rekabeti kısıtlamakta, fiyatları yapay olarak yüksek tutmakta ve verimliliği baskılamaktadır. Ayrıca bu sektörler birçok üretim faaliyetinin tedarikçisi konumunda olduğundan —hukuki danışmanlık, teknik hizmetler, lojistik destek— mesleki hizmetlerdeki yüksek maliyet ve düşük verimlilik, değer zincirinin yukarı akışına, yani imalat ve diğer sektörlere de aktarılmaktadır. Bu nedenle yalnızca hizmetler sektörü değil, tüm ekonomi verimliliği olumsuz etkilenmektedir.</w:t>
      </w:r>
    </w:p>
    <w:p>
      <w:pPr>
        <w:pStyle w:val="Heading2"/>
      </w:pPr>
      <w:r>
        <w:t>5.3. Dünya Bankası Değerlendirmesi</w:t>
      </w:r>
    </w:p>
    <w:p>
      <w:r>
        <w:rPr>
          <w:b w:val="0"/>
          <w:i w:val="0"/>
        </w:rPr>
        <w:t>Dünya Bankası'nın "İstihdam ile Refah" başlıklı Türkiye Ülke Ekonomik Memorandumu, Türkiye'nin gelir yakınsama hızının son 15 yılda küresel düzeyde en dikkat çekici örneklerden biri olduğunu belirtmektedir. Gelir yakınsama (income convergence), düşük gelirli ülkelerin kişi başına düşen gelirinin zengin ülkelerin gelir düzeyine doğru yaklaşması anlamına gelir. Dünya Bankası bu bulgusunda Türkiye'nin kişi başı GSYH'sinin ABD ve Almanya gibi gelişmiş ekonomilerin kişi başı GSYH'sine oranının son 15 yılda tarihsel ortalamaların üzerinde hızla arttığını vurgulamaktadır. Bu, Türkiye'nin söz konusu süreçte nispeten yoksulluktan nispeten yüksek gelire doğru küresel ölçekte en başarılı örneklerden biri olduğu anlamına gelir. Ancak son dönemde bu yakınsamanın hız kestiğine dair işaretler, yüksek enflasyon, düşük verimlilik artışı ve zayıflayan doğrudan yabancı yatırım gibi uzun süreli yapısal zorluklarla birlikte potansiyel büyümeyi aşındırmaktadır (World Bank, 2025).</w:t>
      </w:r>
    </w:p>
    <w:p>
      <w:r>
        <w:rPr>
          <w:b w:val="0"/>
          <w:i w:val="0"/>
        </w:rPr>
        <w:t>Dünya Bankası, iklime duyarlı tarımın güçlendirilmesi, sanayinin yeşillendirilmesi ve ihracata yönelik imalatta —otomotiv, makine, metal ve elektronik— istihdam artışının desteklenmesi gerektiğini vurgulamaktadır. İşsizlik oranı %8 düzeyinde düşük görünmesine rağmen, geniş tanımlı eksik istihdam oranı (cesareti kırılmış ve eksik çalışanlar dahil) %29,6 ile oldukça yüksek seyretmektedir (World Bank, 2025).</w:t>
      </w:r>
    </w:p>
    <w:p>
      <w:pPr>
        <w:pStyle w:val="Heading2"/>
      </w:pPr>
      <w:r>
        <w:t>5.4. ILO ve UNIDO Bulguları</w:t>
      </w:r>
    </w:p>
    <w:p>
      <w:r>
        <w:rPr>
          <w:b w:val="0"/>
          <w:i w:val="0"/>
        </w:rPr>
        <w:t>ILO'nun 2025 raporuna göre imalat sektörü, bir dönem ekonomik büyüme ve verimli istihdamın itici gücü iken, uzun süreli bir durgunluk dönemine girmiştir. Bu durum hem ülkeler arasında hem de ülke içinde mekansal eşitsizlikleri derinleştirmektedir. Buradaki mekansal eşitsizlik, imalat istihdamının durgunlaşmasının coğrafi boyutunu ifade etmektedir. Ülkeler arasında bakıldığında, imalat sanayi gücünü kaybeden ülkeler (örneğin geleneksel Batı Avrupa ekonomileri) ile imalatı büyüyen ekonomiler (Asya ülkeleri) arasındaki gelir ve refah farkı artmaktadır. Ülke içinde ise sanayi tesislerinin yoğunlaştığı bölgeler ile imalat istihdamının erişilmediği kırsal veya geri kalmış bölgeler arasındaki ekonomik fark derinleşmektedir. Türkiye için somut örnek: İstanbul, Bursa, Kocaeli, İzmir gibi sanayi merkezleri ile Doğu ve Güneydoğu Anadolu illeri arasındaki istihdam ve gelir uçurumu bu eşitsizliğin tipik bir yansımasıdır. Yapısal dönüşümün imalat ve yüksek katma değerli hizmetlere doğru yavaşlaması, reel harcanabilir gelirlerin enflasyon dönemindeki kayıplardan toparlanmasını engellemektedir (ILO, 2025).</w:t>
      </w:r>
    </w:p>
    <w:p>
      <w:r>
        <w:rPr>
          <w:b w:val="0"/>
          <w:i w:val="0"/>
        </w:rPr>
        <w:t>UNIDO'nun Sanayi İstatistikleri Yıllığı 2025'e göre küresel imalat 2024'te %2,9 büyümüştür. Asya ve Okyanusya'ya doğru yapısal kayma sürmekte, orta ve yüksek teknolojili sanayiler yükselmektedir. Güçlü imalat kapasitesine ve çeşitlendirilmiş sanayi yapısına sahip ülkelerin COVID-19 pandemisinin hem ekonomik hem sağlık etkilerini akranlarından daha iyi atlattığı belirlenmiştir (UNIDO, 2025).</w:t>
      </w:r>
    </w:p>
    <w:p>
      <w:r>
        <w:rPr>
          <w:b w:val="0"/>
          <w:i w:val="0"/>
        </w:rPr>
        <w:t>UNIDO Sanayi Kalkınma Raporu 2024, imalat istihdamının çarpan etkisini kantitatif olarak belgelemiştir: her imalat istihdamı ekonominin diğer sektörlerinde ortalama 2,5 ilave iş yaratmaktadır (UNIDO, 2024). Bu sonuç, bağımsız akademik çalışmalarla da teyit edilmektedir. Berkeley Üniversitesi'nden ekonomist Enrico Moretti, tradable (ihraç edilebilir) sektörlerdeki her yeni istihdam için yerel hizmet sektöründe 1,6 ilave iş yaratıldığını tespit etmiş; yüksek teknoloji imalatında bu çarpanın 4,9'a kadar çıktığını ortaya koymuştur (Moretti, 2010). Brookings Institution ise ileri teknoloji sanayilerindeki her istihdamın ulusal çapta 2,2 dolaylı iş yarattığını bulmuştur (Brookings, 2015). ABD İmalatçılar Ulusal Birliği (NAM) hesaplamalarına göre imalat sektöründe harcanan her 1 dolara karşılık ekonomiye 1,89 dolar katkı sağlanmaktadır (NAM, 2025). Bu bulgular Türkiye için kritik bir politika çıkarımı sunmaktadır: imalat istihdamına yönelik her teşvik TL'si, yalnızca bu sektörde değil tüm ekonomide çok katmanlı bir istihdam ve gelir etkisi yaratmaktadır.</w:t>
      </w:r>
    </w:p>
    <w:p>
      <w:r>
        <w:br w:type="page"/>
      </w:r>
    </w:p>
    <w:p>
      <w:pPr>
        <w:pStyle w:val="Heading1"/>
      </w:pPr>
      <w:r>
        <w:t>6. STRATEJİK ÖNCELİKLİ SEKTÖRLER</w:t>
      </w:r>
    </w:p>
    <w:p>
      <w:pPr>
        <w:pStyle w:val="Heading2"/>
      </w:pPr>
      <w:r>
        <w:t>6.1. Desteklenmesi Gereken Sektörler ve Gerekçeleri</w:t>
      </w:r>
    </w:p>
    <w:p>
      <w:r>
        <w:rPr>
          <w:b w:val="0"/>
          <w:i w:val="0"/>
        </w:rPr>
        <w:t>Veri analizimiz, uluslararası kurum önerileri ve küresel eğilimler bir arada değerlendirildiğinde, Türkiye'de öncelikli olarak desteklenmesi gereken sektörler ve gerekçeleri aşağıda sunulmaktadır:</w:t>
      </w:r>
    </w:p>
    <w:p>
      <w:r>
        <w:rPr>
          <w:b/>
        </w:rPr>
        <w:t xml:space="preserve">1. İmalat Sanayi: </w:t>
      </w:r>
      <w:r>
        <w:t>Toplam istihdamın %25'ini oluşturan imalat sanayi, %43,6 işgücü maliyet oranı ile Kadran 1'de yer almaktadır. UNIDO'ya göre her imalat istihdamı ekonominin diğer sektörlerinde 2+ iş yaratmaktadır. AB CBAM'ın doğrudan etkileyeceği demir-çelik, çimento ve alüminyum gibi alt sektörlerde yeşil dönüşüm yatırımları kritiktir. Türkiye'nin Orta Vadeli Programı (2026-2028) kapsamında HIT-30 Yüksek Teknoloji Yatırım Programı bu sektörü doğrudan hedeflemektedir. Teşvik türü: SGK prim indirimi + yeşil dönüşüm yatırım desteği + Ar-Ge istihdamı teşviki.</w:t>
      </w:r>
    </w:p>
    <w:p>
      <w:r>
        <w:rPr>
          <w:b/>
        </w:rPr>
        <w:t xml:space="preserve">2. İnşaat: </w:t>
      </w:r>
      <w:r>
        <w:t>1,99 milyon sigortalı ile istihdamın %12'sini oluşturmaktadır. İşgücü maliyet oranı %35,6 ile yüksek, kayıt dışılık sektörün en önemli sorunudur. Kadın istihdam oranı yalnızca %8,3 ile son derece düşüktür. Deprem sonrası yeniden yapılanma süreci devam etmekte, yeşil bina standartları ve enerji verimliliği yatırımları önem kazanmaktadır. Teşvik türü: Kayıt dışından kayıt içine geçiş teşviki + kadın istihdamı ek primi + yeşil bina sertifikasyonu desteği.</w:t>
      </w:r>
    </w:p>
    <w:p>
      <w:r>
        <w:rPr>
          <w:b/>
        </w:rPr>
        <w:t xml:space="preserve">3. Konaklama ve Yiyecek Hizmeti: </w:t>
      </w:r>
      <w:r>
        <w:t>1,17 milyon sigortalı ile turizm ekosisteminin temelini oluşturmaktadır. %40,1 maliyet oranı ve %99,3 KOBİ yoğunluğu ile mikro işletme ağırlıklı bir yapıya sahiptir. Mevsimsellik ve kayıt dışılık temel sorunlardır. Türkiye'nin turizm gelirlerinin GSYH'deki payı göz önüne alındığında, bu sektörün desteklenmesi dış denge açısından da önemlidir. Teşvik türü: Sezon dışı istihdam desteği + KOBİ dijitalleşme teşviki + kayıt dışılık denetimi ile eşzamanlı prim indirimi. KOBİ dijitalleşme teşviki kapsamında; sektördeki mikro ve küçük işletmelerin büyük çoğunluğu hâlâ nakit esaslı, manuel süreçlerle çalışmaktadır. Bu durum hem kayıt dışılığa zemin hazırlamakta hem de verimliliği kısıtlamaktadır. Söz konusu teşvik kapsamında: (i) online rezervasyon ve otomatik ödeme sistemlerinin kurulumu, (ii) e-fatura ve e-defter uygulamalarına geçiş, (iii) müşteri ilişkileri yönetimi (CRM) yazılımı, (iv) dijital pazarlama ve online görünürlük yatırımları ile (v) KOSGEB Dijital Dönüşüm Destek Programı kapsamındaki hibe imkânlarından yararlanma desteklenmelidir. Bu sayede işletmelerin formel sisteme entegrasyonu kolaylaşacak, SGK bildirgeleri artacak ve kayıt dışı istihdamın tespiti güçleşmek yerine teşvik mekanizmasıyla azalacaktır.</w:t>
      </w:r>
    </w:p>
    <w:p>
      <w:r>
        <w:rPr>
          <w:b/>
        </w:rPr>
        <w:t xml:space="preserve">4. İnsan Sağlığı ve Sosyal Hizmet: </w:t>
      </w:r>
      <w:r>
        <w:t>984 bin sigortalı ile %72 işgücü maliyet oranına sahiptir. Nitelikli işgücü yoğun yapısı nedeniyle maliyet oranı yapısal olarak yüksektir. Yaşlanan nüfus ve kronik hastalıklar nedeniyle artan talep, bu sektördeki istihdamın sürdürülebilirliğini stratejik kılmaktadır. OECD, sağlık harcamalarının verimli kullanımı için dijital sağlık çözümlerini önermektedir. Teşvik türü: Nitelikli personel istihdamı desteği + dijital sağlık yatırımı teşviki + kırsal bölge sağlık istihdamı ek primi. Dijital sağlık yatırımı teşviki kapsamında; telemedicine (uzaktan tıp) ve yapay zeka destekli tanı sistemleri yoluyla hem maliyetlerin düşürülmesi hem de erişilebilirliğin artırılması hedeflenmektedir. Sağlık Bakanlığı MHRS (Merkezi Hekim Randevu Sistemi) altyapısının genişletilmesi, ÇKYS (Çekirdek Kaynak Yönetim Sistemi) entegrasyonu ve hastane bilgi yönetim sistemlerine yapılan yatırımlar bu kapsamda değerlendirilebilir. Kırsal bölge sağlık istihdamı ek primi kapsamında ise Türkiye'de hekim ve sağlık çalışanı dağılımı bölgeler arasında ciddi dengesizlik göstermektedir. İstanbul ve büyük şehirlerde yoğunlaşan uzman hekim ile hemşire sayısının aksine, kırsal kesimde ve Doğu illerinde sağlık çalışanı ciddi ölçüde yetersizdir. Kırsal bölgelerde görev yapan sağlık personeline uygulanan ek SGK prim indirimi, hem kırsal sağlık erişimini artıracak hem de bu bölgelerde formel istihdamı teşvik edecektir. Bu yaklaşım Sağlık Bakanlığı'nın Aile Hekimliği Teşvik Sistemi ile entegre biçimde tasarlanabilir.</w:t>
      </w:r>
    </w:p>
    <w:p>
      <w:r>
        <w:rPr>
          <w:b/>
        </w:rPr>
        <w:t xml:space="preserve">5. Eğitim: </w:t>
      </w:r>
      <w:r>
        <w:t>654 bin sigortalı ile %75,3 maliyet oranına sahiptir. Beşeri sermaye birikiminin temel sektörü olarak uzun vadeli büyüme altyapısını oluşturmaktadır. OECD, Türkiye'nin GSYH'nin yalnızca %0,3'ünü okul öncesi eğitime ayırdığını (OECD ortalaması %0,8) ve bu alandaki yatırımın kişi başı geliri %6'ya kadar artırabileceğini hesaplamaktadır (OECD, 2025). Teşvik türü: Okul öncesi eğitim yatırım desteği + STEM eğitimci istihdamı teşviki.</w:t>
      </w:r>
    </w:p>
    <w:p>
      <w:r>
        <w:rPr>
          <w:b/>
        </w:rPr>
        <w:t xml:space="preserve">6. İdari ve Destek Hizmet Faaliyetleri: </w:t>
      </w:r>
      <w:r>
        <w:t>1,43 milyon sigortalı ile %60,5 maliyet oranına sahiptir. Güvenlik, temizlik, çağrı merkezi gibi emek yoğun faaliyetleri kapsamaktadır. Bu sektör, kadın istihdamı potansiyeli yüksek (%38,3 kadın oranı) ancak ücret düzeyi düşük bir yapıya sahiptir. Teşvik türü: Düşük ücretli istihdam SGK prim indirimi + nitelik geliştirme programları. Düşük ücretli istihdam SGK prim indirimi kapsamında; sektördeki istihdamın büyük bölümü asgari ücret veya yakınında seyreden düşük ücretlidir. OECD (2025), Türkiye'de düşük gelirli çalışanlar için işveren SGK prim yükünün azaltılmasının hem formel istihdamı artıracağını hem de kayıt dışılığı düşüreceğini öngörmektedir. Bu nedenle sektörde asgari ücretin 1,25 katına kadar olan ücret bantlarında işveren SGK payında kademeli indirim tasarlanması önerilir. Nitelik geliştirme programları kapsamında ise sektör istihdamının kalıcı ve üretken kılınması için İŞKUR bünyesinde; güvenlik sertifikasyonu, ileri temizlik teknolojileri, çağrı merkezi operatörlüğü ve müşteri deneyimi yönetimi gibi alanlarda sertifikalı kısa meslek eğitim programları oluşturulmalı; bu eğitimleri tamamlayan çalışanların işverenine ek prim teşviki tanınmalıdır. ILO'nun (2025) bulguları, ALMP programlarıyla desteklenen istihdam teşviklerinin salt finansal teşviklere kıyasla çok daha kalıcı istihdam etkisi yarattığını ortaya koymaktadır.</w:t>
      </w:r>
    </w:p>
    <w:p>
      <w:r>
        <w:rPr>
          <w:b/>
        </w:rPr>
        <w:t xml:space="preserve">7. Mesleki, Bilimsel ve Teknik Faaliyetler: </w:t>
      </w:r>
      <w:r>
        <w:t>678 bin sigortalı ile %41,6 maliyet oranı ve en yüksek kadın oranlarından birine (%45,6) sahiptir. Mühendislik, Ar-Ge, danışmanlık gibi yüksek katma değerli faaliyetleri kapsamaktadır. Türkiye'nin Ulusal Yapay Zeka Stratejisi bu sektördeki istihdamı 50.000 kişiye çıkarmayı hedeflemektedir. Teşvik türü: Ar-Ge istihdamı ek teşviki + start-up ekosistem desteği + yüksek teknoloji yatırım indirimi. Ar-Ge istihdamı ek teşviki kapsamında; 5746 sayılı Ar-Ge Kanunu kapsamındaki mevcut teşviklere ek olarak, Teknoloji Geliştirme Bölgeleri'nde (teknokent) ve Ar-Ge merkezlerinde istihdam edilen mühendis, doktor ve araştırmacı için işveren SGK payının %100'e kadar Hazine tarafından karşılanması önerilir. Start-up ekosistem desteği kapsamında; ilk 3 yılında 10 kişiden az çalışan istihdam eden teknoloji girişimleri için SGK prim muafiyeti veya 5 yıllık kademeli prim desteği uygulanabilir. Yüksek teknoloji yatırım indirimi kapsamında ise HIT-30 programı çerçevesinde yarı iletkenler, elektrikli araç bileşenleri, yeşil enerji teknolojileri ve biyoteknoloji alanlarına yapılan yatırımlarda istihdam edilen nitelikli personel için yatırım indirimine ek SGK teşviki önerilmektedir.</w:t>
      </w:r>
    </w:p>
    <w:p>
      <w:r>
        <w:rPr>
          <w:b/>
        </w:rPr>
        <w:t xml:space="preserve">8. Bilgi ve İletişim (Stratejik Büyüme Sektörü): </w:t>
      </w:r>
      <w:r>
        <w:t>Kadran 4'te yer almasına rağmen (%1,7 istihdam payı), dijital dönüşümün temel sektörü olarak stratejik öneme sahiptir. Ortalama günlük kazanç 2.371 TL ile en yüksek ücret düzeyine sahip sektörlerden biridir. Türkiye'nin 5G altyapısı, yazılım ihracatı ve yapay zeka hedefleri doğrultusunda bu sektörün desteklenmesi uzun vadeli dönüştürücü etkiye sahiptir. Teşvik türü: Yazılım istihdamı SGK muafiyeti + teknokent yatırım desteği + dijital beceri geliştirme programları. Yazılımcı istihdamı SGK muafiyeti kapsamında; 4691 sayılı Teknoloji Geliştirme Bölgeleri Kanunu kapsamındaki mevcut muafiyetin teknokent dışında faaliyet gösteren yazılım odaklı KOBİ'lere de genişletilmesi, özellikle yazılım ihracatı yapan firmalar için SGK prim desteği olarak tasarlanabilir. Teknokent yatırım desteği kapsamında mevcut 90+ teknokent ve 50+ teknopark altyapısının kapasite ve kalite artırımı için altyapı yatırımlarına destek sağlanması önerilir; özellikle Anadolu'da yeni teknokentlerin kurulması, bölgesel dijital istihdam dengesizliğinin giderilmesine katkı sağlayacaktır. Dijital beceri geliştirme programları kapsamında; WEF Future of Jobs 2025 raporu, mevcut becerilerin %39'unun 2030'a kadar geçerliliğini yitireceğini öngörmektedir. İŞKUR ile yazılım eğitim sektörü arasında köprü kurularak; yazılım geliştirme, veri bilimi, siber güvenlik ve bulut altyapısı alanlarında kısa süreli yoğun eğitim programları desteklenmeli ve mezunların istihdamı SGK teşvikiyle ilişkilendirilmelidir.</w:t>
      </w:r>
    </w:p>
    <w:p>
      <w:pPr>
        <w:pStyle w:val="Heading2"/>
      </w:pPr>
      <w:r>
        <w:t>6.2. Sektörel Risk ve Fırsat Matrisi</w:t>
      </w:r>
    </w:p>
    <w:p>
      <w:pPr>
        <w:ind w:firstLine="0"/>
      </w:pPr>
      <w:r>
        <w:rPr>
          <w:b/>
          <w:i w:val="0"/>
        </w:rPr>
        <w:t>Tablo 4. Desteklenmesi Gereken Sektörlerde Risk ve Fırsat Değerlendirmesi</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b/>
                <w:sz w:val="18"/>
              </w:rPr>
              <w:t>Sektör</w:t>
            </w:r>
          </w:p>
        </w:tc>
        <w:tc>
          <w:tcPr>
            <w:tcW w:type="dxa" w:w="2280"/>
          </w:tcPr>
          <w:p>
            <w:r>
              <w:rPr>
                <w:b/>
                <w:sz w:val="18"/>
              </w:rPr>
              <w:t>Fırsat</w:t>
            </w:r>
          </w:p>
        </w:tc>
        <w:tc>
          <w:tcPr>
            <w:tcW w:type="dxa" w:w="2280"/>
          </w:tcPr>
          <w:p>
            <w:r>
              <w:rPr>
                <w:b/>
                <w:sz w:val="18"/>
              </w:rPr>
              <w:t>Risk</w:t>
            </w:r>
          </w:p>
        </w:tc>
        <w:tc>
          <w:tcPr>
            <w:tcW w:type="dxa" w:w="2280"/>
          </w:tcPr>
          <w:p>
            <w:r>
              <w:rPr>
                <w:b/>
                <w:sz w:val="18"/>
              </w:rPr>
              <w:t>Küresel Trend</w:t>
            </w:r>
          </w:p>
        </w:tc>
      </w:tr>
      <w:tr>
        <w:tc>
          <w:tcPr>
            <w:tcW w:type="dxa" w:w="2280"/>
          </w:tcPr>
          <w:p>
            <w:r>
              <w:rPr>
                <w:sz w:val="18"/>
              </w:rPr>
              <w:t>İmalat Sanayi</w:t>
            </w:r>
          </w:p>
        </w:tc>
        <w:tc>
          <w:tcPr>
            <w:tcW w:type="dxa" w:w="2280"/>
          </w:tcPr>
          <w:p>
            <w:r>
              <w:rPr>
                <w:sz w:val="18"/>
              </w:rPr>
              <w:t>CBAM uyumu ile AB pazarı</w:t>
              <w:br/>
              <w:t>avantajı; UNIDO çarpan etkisi</w:t>
            </w:r>
          </w:p>
        </w:tc>
        <w:tc>
          <w:tcPr>
            <w:tcW w:type="dxa" w:w="2280"/>
          </w:tcPr>
          <w:p>
            <w:r>
              <w:rPr>
                <w:sz w:val="18"/>
              </w:rPr>
              <w:t>Karbon maliyeti artışı;</w:t>
              <w:br/>
              <w:t>rekabet baskısı</w:t>
            </w:r>
          </w:p>
        </w:tc>
        <w:tc>
          <w:tcPr>
            <w:tcW w:type="dxa" w:w="2280"/>
          </w:tcPr>
          <w:p>
            <w:r>
              <w:rPr>
                <w:sz w:val="18"/>
              </w:rPr>
              <w:t>Yeşil dönüşüm;</w:t>
              <w:br/>
              <w:t>orta-yüksek teknoloji</w:t>
            </w:r>
          </w:p>
        </w:tc>
      </w:tr>
      <w:tr>
        <w:tc>
          <w:tcPr>
            <w:tcW w:type="dxa" w:w="2280"/>
          </w:tcPr>
          <w:p>
            <w:r>
              <w:rPr>
                <w:sz w:val="18"/>
              </w:rPr>
              <w:t>İnşaat</w:t>
            </w:r>
          </w:p>
        </w:tc>
        <w:tc>
          <w:tcPr>
            <w:tcW w:type="dxa" w:w="2280"/>
          </w:tcPr>
          <w:p>
            <w:r>
              <w:rPr>
                <w:sz w:val="18"/>
              </w:rPr>
              <w:t>Deprem yeniden yapılanma;</w:t>
              <w:br/>
              <w:t>yeşil bina potansiyeli</w:t>
            </w:r>
          </w:p>
        </w:tc>
        <w:tc>
          <w:tcPr>
            <w:tcW w:type="dxa" w:w="2280"/>
          </w:tcPr>
          <w:p>
            <w:r>
              <w:rPr>
                <w:sz w:val="18"/>
              </w:rPr>
              <w:t>Kayıt dışılık;</w:t>
              <w:br/>
              <w:t>mevsimsellik</w:t>
            </w:r>
          </w:p>
        </w:tc>
        <w:tc>
          <w:tcPr>
            <w:tcW w:type="dxa" w:w="2280"/>
          </w:tcPr>
          <w:p>
            <w:r>
              <w:rPr>
                <w:sz w:val="18"/>
              </w:rPr>
              <w:t>Sürdürülebilir</w:t>
              <w:br/>
              <w:t>yapı standartları</w:t>
            </w:r>
          </w:p>
        </w:tc>
      </w:tr>
      <w:tr>
        <w:tc>
          <w:tcPr>
            <w:tcW w:type="dxa" w:w="2280"/>
          </w:tcPr>
          <w:p>
            <w:r>
              <w:rPr>
                <w:sz w:val="18"/>
              </w:rPr>
              <w:t>Konaklama</w:t>
            </w:r>
          </w:p>
        </w:tc>
        <w:tc>
          <w:tcPr>
            <w:tcW w:type="dxa" w:w="2280"/>
          </w:tcPr>
          <w:p>
            <w:r>
              <w:rPr>
                <w:sz w:val="18"/>
              </w:rPr>
              <w:t>Turizm geliri;</w:t>
              <w:br/>
              <w:t>dış denge katkısı</w:t>
            </w:r>
          </w:p>
        </w:tc>
        <w:tc>
          <w:tcPr>
            <w:tcW w:type="dxa" w:w="2280"/>
          </w:tcPr>
          <w:p>
            <w:r>
              <w:rPr>
                <w:sz w:val="18"/>
              </w:rPr>
              <w:t>Mevsimsellik;</w:t>
              <w:br/>
              <w:t>düşük ücret</w:t>
            </w:r>
          </w:p>
        </w:tc>
        <w:tc>
          <w:tcPr>
            <w:tcW w:type="dxa" w:w="2280"/>
          </w:tcPr>
          <w:p>
            <w:r>
              <w:rPr>
                <w:sz w:val="18"/>
              </w:rPr>
              <w:t>Dijital turizm;</w:t>
              <w:br/>
              <w:t>sürdürülebilir turizm</w:t>
            </w:r>
          </w:p>
        </w:tc>
      </w:tr>
      <w:tr>
        <w:tc>
          <w:tcPr>
            <w:tcW w:type="dxa" w:w="2280"/>
          </w:tcPr>
          <w:p>
            <w:r>
              <w:rPr>
                <w:sz w:val="18"/>
              </w:rPr>
              <w:t>Sağlık</w:t>
            </w:r>
          </w:p>
        </w:tc>
        <w:tc>
          <w:tcPr>
            <w:tcW w:type="dxa" w:w="2280"/>
          </w:tcPr>
          <w:p>
            <w:r>
              <w:rPr>
                <w:sz w:val="18"/>
              </w:rPr>
              <w:t>Yaşlanan nüfus;</w:t>
              <w:br/>
              <w:t>artan talep</w:t>
            </w:r>
          </w:p>
        </w:tc>
        <w:tc>
          <w:tcPr>
            <w:tcW w:type="dxa" w:w="2280"/>
          </w:tcPr>
          <w:p>
            <w:r>
              <w:rPr>
                <w:sz w:val="18"/>
              </w:rPr>
              <w:t>Nitelikli personel göçü;</w:t>
              <w:br/>
              <w:t>yüksek maliyet</w:t>
            </w:r>
          </w:p>
        </w:tc>
        <w:tc>
          <w:tcPr>
            <w:tcW w:type="dxa" w:w="2280"/>
          </w:tcPr>
          <w:p>
            <w:r>
              <w:rPr>
                <w:sz w:val="18"/>
              </w:rPr>
              <w:t>Dijital sağlık;</w:t>
              <w:br/>
              <w:t>tele-tıp</w:t>
            </w:r>
          </w:p>
        </w:tc>
      </w:tr>
      <w:tr>
        <w:tc>
          <w:tcPr>
            <w:tcW w:type="dxa" w:w="2280"/>
          </w:tcPr>
          <w:p>
            <w:r>
              <w:rPr>
                <w:sz w:val="18"/>
              </w:rPr>
              <w:t>Eğitim</w:t>
            </w:r>
          </w:p>
        </w:tc>
        <w:tc>
          <w:tcPr>
            <w:tcW w:type="dxa" w:w="2280"/>
          </w:tcPr>
          <w:p>
            <w:r>
              <w:rPr>
                <w:sz w:val="18"/>
              </w:rPr>
              <w:t>Beşeri sermaye;</w:t>
              <w:br/>
              <w:t>OECD önerisi</w:t>
            </w:r>
          </w:p>
        </w:tc>
        <w:tc>
          <w:tcPr>
            <w:tcW w:type="dxa" w:w="2280"/>
          </w:tcPr>
          <w:p>
            <w:r>
              <w:rPr>
                <w:sz w:val="18"/>
              </w:rPr>
              <w:t>Bütçe kısıtı;</w:t>
              <w:br/>
              <w:t>nitelik sorunu</w:t>
            </w:r>
          </w:p>
        </w:tc>
        <w:tc>
          <w:tcPr>
            <w:tcW w:type="dxa" w:w="2280"/>
          </w:tcPr>
          <w:p>
            <w:r>
              <w:rPr>
                <w:sz w:val="18"/>
              </w:rPr>
              <w:t>STEM eğitimi;</w:t>
              <w:br/>
              <w:t>hayat boyu öğrenme</w:t>
            </w:r>
          </w:p>
        </w:tc>
      </w:tr>
      <w:tr>
        <w:tc>
          <w:tcPr>
            <w:tcW w:type="dxa" w:w="2280"/>
          </w:tcPr>
          <w:p>
            <w:r>
              <w:rPr>
                <w:sz w:val="18"/>
              </w:rPr>
              <w:t>Bilgi ve İletişim</w:t>
            </w:r>
          </w:p>
        </w:tc>
        <w:tc>
          <w:tcPr>
            <w:tcW w:type="dxa" w:w="2280"/>
          </w:tcPr>
          <w:p>
            <w:r>
              <w:rPr>
                <w:sz w:val="18"/>
              </w:rPr>
              <w:t>AI stratejisi;</w:t>
              <w:br/>
              <w:t>yazılım ihracatı</w:t>
            </w:r>
          </w:p>
        </w:tc>
        <w:tc>
          <w:tcPr>
            <w:tcW w:type="dxa" w:w="2280"/>
          </w:tcPr>
          <w:p>
            <w:r>
              <w:rPr>
                <w:sz w:val="18"/>
              </w:rPr>
              <w:t>Beyin göçü;</w:t>
              <w:br/>
              <w:t>beceri açığı</w:t>
            </w:r>
          </w:p>
        </w:tc>
        <w:tc>
          <w:tcPr>
            <w:tcW w:type="dxa" w:w="2280"/>
          </w:tcPr>
          <w:p>
            <w:r>
              <w:rPr>
                <w:sz w:val="18"/>
              </w:rPr>
              <w:t>AI patlaması;</w:t>
              <w:br/>
              <w:t>5G altyapı</w:t>
            </w:r>
          </w:p>
        </w:tc>
      </w:tr>
    </w:tbl>
    <w:p>
      <w:pPr>
        <w:ind w:firstLine="0"/>
      </w:pPr>
      <w:r>
        <w:rPr>
          <w:b w:val="0"/>
          <w:i/>
        </w:rPr>
        <w:t>Kaynak: Yazarın IMF (2025a; 2026), OECD (2025), World Bank (2025), ILO (2025), UNIDO (2024; 2025) verilerine dayalı değerlendirmesi.</w:t>
      </w:r>
    </w:p>
    <w:p>
      <w:r>
        <w:br w:type="page"/>
      </w:r>
    </w:p>
    <w:p>
      <w:pPr>
        <w:pStyle w:val="Heading1"/>
      </w:pPr>
      <w:r>
        <w:t>7. İSTİHDAM TEŞVİKİ POLİTİKA ÖNERİLERİ</w:t>
      </w:r>
    </w:p>
    <w:p>
      <w:pPr>
        <w:pStyle w:val="Heading2"/>
      </w:pPr>
      <w:r>
        <w:t>7.1. Uluslararası Deneyimler ve Vergi Takozu Karşılaştırması</w:t>
      </w:r>
    </w:p>
    <w:p>
      <w:r>
        <w:rPr>
          <w:b w:val="0"/>
          <w:i w:val="0"/>
        </w:rPr>
        <w:t>Vergi takozu nedir? Bir işvereni düşünün: bir çalışanı için ayda 100 TL ödemekte. Ancak çalışan eline yalnızca 61 TL geçirmekte. Aradaki 39 TL'nin bir kısmı gelir vergisi, bir kısmı çalışan SGK payı, bir kısmı ise işveren SGK payından oluşmaktadır. İşte bu "ödenen ile alınan arasındaki fark"a vergi takozu denir. Vergi takozunun yüksekliği; işvereni daha az istihdam yaratmaya, çalışanı ise formel iş yerine kayıt dışı çalışmaya iter. OECD Taxing Wages 2025 verileri, Türkiye'nin vergi takozunun OECD ortalamasının belirgin biçimde üzerinde olduğunu ve bu durumun özellikle düşük ücretli işlerde formel istihdamı caydırıcı bir etken oluşturduğunu ortaya koymaktadır.</w:t>
      </w:r>
    </w:p>
    <w:p>
      <w:r>
        <w:rPr>
          <w:b w:val="0"/>
          <w:i w:val="0"/>
        </w:rPr>
        <w:t>İstihdam teşviki tasarımında uluslararası deneyimler ve Türkiye'nin vergi takozu konumu belirleyici bir çerçeve sunmaktadır. OECD Taxing Wages 2025 raporuna göre, Türkiye'de tek çalışanlı ve ortalama ücretli bir birey için vergi takozu %39,0 olup OECD ortalaması olan %34,9'un 4,1 puan üzerindedir. İki çocuklu evli aileler için bu fark daha da dramatiktir: Türkiye %39,0 ile OECD ortalaması %25,7'nin 13,3 puan üzerindedir. Türkiye, Avrupa'da aileleri bekarlardan farklı vergilendirmeyen tek ülke konumundadır (OECD, 2025d).</w:t>
      </w:r>
    </w:p>
    <w:p>
      <w:r>
        <w:rPr>
          <w:b w:val="0"/>
          <w:i w:val="0"/>
        </w:rPr>
        <w:t>Vergi takozunun bileşenlerini anlamak için önce Türkiye'nin gelir vergisi yapısını netleştirmek gerekir. Türkiye'de 2022 yılından itibaren asgari ücret tutarına karşılık gelen gelir gelir vergisinden muaf tutulmuştur (Gelir Vergisi Kanunu md.23/18). Dolayısıyla asgari ücret düzeyinde çalışan kişiler gelir vergisi ödememektedir. Ancak ortalama ücret alanlar —ki bu tutar asgari ücretin üzerindedir— artan oranlı dilim yapısı (2024: %15, %20, %27, %35, %40) kapsamında gelir vergisi ödemektedir. OECD Taxing Wages raporunda kullanılan 'ortalama ücretli çalışan' (%100 APW) profili, bu muafiyetin üzerinde bir gelir düzeyine karşılık geldiğinden Türkiye'nin %39,0 vergi takozu rakamı gelir vergisini de içermektedir.</w:t>
      </w:r>
    </w:p>
    <w:p>
      <w:pPr>
        <w:ind w:firstLine="0"/>
      </w:pPr>
      <w:r>
        <w:rPr>
          <w:b w:val="0"/>
          <w:i/>
        </w:rPr>
        <w:t>Vergi takozu hesaplama formülü: Vergi Takozu (%) = (Gelir Vergisi + Çalışan SGK Payı + İşveren SGK Payı − Nakit Transferler) / Toplam İşgücü Maliyeti × 100. Türkiye'de bileşenler yaklaşık olarak: Gelir vergisi ~%8-10 (ortalama ücretli için); Çalışan SGK payı %15 (emeklilik %9 + sağlık %5 + işsizlik %1); İşveren SGK payı %22,75 (fiili uygulanan teşviklerle ~%17,5'e kadar düşebilir); Nakit transferler sınırlı. Toplam işgücü maliyeti = brüt ücret + işveren SGK payı. Bu formülün sonucu ortalama ücretli için yaklaşık %39'a ulaşmaktadır.</w:t>
      </w:r>
    </w:p>
    <w:p>
      <w:pPr>
        <w:ind w:firstLine="0"/>
      </w:pPr>
      <w:r>
        <w:rPr>
          <w:b/>
          <w:i w:val="0"/>
        </w:rPr>
        <w:t>Tablo 6. OECD Vergi Takozu ve SGK Yükü Karşılaştırması (2024)</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b/>
                <w:sz w:val="18"/>
              </w:rPr>
              <w:t>Gösterge</w:t>
            </w:r>
          </w:p>
        </w:tc>
        <w:tc>
          <w:tcPr>
            <w:tcW w:type="dxa" w:w="2280"/>
          </w:tcPr>
          <w:p>
            <w:r>
              <w:rPr>
                <w:b/>
                <w:sz w:val="18"/>
              </w:rPr>
              <w:t>Türkiye</w:t>
            </w:r>
          </w:p>
        </w:tc>
        <w:tc>
          <w:tcPr>
            <w:tcW w:type="dxa" w:w="2280"/>
          </w:tcPr>
          <w:p>
            <w:r>
              <w:rPr>
                <w:b/>
                <w:sz w:val="18"/>
              </w:rPr>
              <w:t>OECD Ortalaması</w:t>
            </w:r>
          </w:p>
        </w:tc>
        <w:tc>
          <w:tcPr>
            <w:tcW w:type="dxa" w:w="2280"/>
          </w:tcPr>
          <w:p>
            <w:r>
              <w:rPr>
                <w:b/>
                <w:sz w:val="18"/>
              </w:rPr>
              <w:t>Örnekler</w:t>
            </w:r>
          </w:p>
        </w:tc>
      </w:tr>
      <w:tr>
        <w:tc>
          <w:tcPr>
            <w:tcW w:type="dxa" w:w="2280"/>
          </w:tcPr>
          <w:p>
            <w:r>
              <w:rPr>
                <w:sz w:val="18"/>
              </w:rPr>
              <w:t>Vergi takozu — bekar, ort. ücret</w:t>
              <w:br/>
              <w:t>(gelir vergisi + çalışan SGK + işveren SGK)</w:t>
            </w:r>
          </w:p>
        </w:tc>
        <w:tc>
          <w:tcPr>
            <w:tcW w:type="dxa" w:w="2280"/>
          </w:tcPr>
          <w:p>
            <w:r>
              <w:rPr>
                <w:sz w:val="18"/>
              </w:rPr>
              <w:t>%39,0</w:t>
            </w:r>
          </w:p>
        </w:tc>
        <w:tc>
          <w:tcPr>
            <w:tcW w:type="dxa" w:w="2280"/>
          </w:tcPr>
          <w:p>
            <w:r>
              <w:rPr>
                <w:sz w:val="18"/>
              </w:rPr>
              <w:t>%34,9</w:t>
            </w:r>
          </w:p>
        </w:tc>
        <w:tc>
          <w:tcPr>
            <w:tcW w:type="dxa" w:w="2280"/>
          </w:tcPr>
          <w:p>
            <w:r>
              <w:rPr>
                <w:sz w:val="18"/>
              </w:rPr>
              <w:t>Belçika %52,6; Almanya %47,9; Fransa %47,2; İngiltere %30,1</w:t>
            </w:r>
          </w:p>
        </w:tc>
      </w:tr>
      <w:tr>
        <w:tc>
          <w:tcPr>
            <w:tcW w:type="dxa" w:w="2280"/>
          </w:tcPr>
          <w:p>
            <w:r>
              <w:rPr>
                <w:sz w:val="18"/>
              </w:rPr>
              <w:t>Vergi takozu — evli, 2 çocuk, ort. ücret</w:t>
            </w:r>
          </w:p>
        </w:tc>
        <w:tc>
          <w:tcPr>
            <w:tcW w:type="dxa" w:w="2280"/>
          </w:tcPr>
          <w:p>
            <w:r>
              <w:rPr>
                <w:sz w:val="18"/>
              </w:rPr>
              <w:t>%39,0</w:t>
            </w:r>
          </w:p>
        </w:tc>
        <w:tc>
          <w:tcPr>
            <w:tcW w:type="dxa" w:w="2280"/>
          </w:tcPr>
          <w:p>
            <w:r>
              <w:rPr>
                <w:sz w:val="18"/>
              </w:rPr>
              <w:t>%25,7</w:t>
            </w:r>
          </w:p>
        </w:tc>
        <w:tc>
          <w:tcPr>
            <w:tcW w:type="dxa" w:w="2280"/>
          </w:tcPr>
          <w:p>
            <w:r>
              <w:rPr>
                <w:sz w:val="18"/>
              </w:rPr>
              <w:t>Türkiye aile indirimi tanımayan OECD'de tek ülke</w:t>
            </w:r>
          </w:p>
        </w:tc>
      </w:tr>
      <w:tr>
        <w:tc>
          <w:tcPr>
            <w:tcW w:type="dxa" w:w="2280"/>
          </w:tcPr>
          <w:p>
            <w:r>
              <w:rPr>
                <w:sz w:val="18"/>
              </w:rPr>
              <w:t xml:space="preserve">  ↳ Gelir vergisi bileşeni (ort. ücret)</w:t>
            </w:r>
          </w:p>
        </w:tc>
        <w:tc>
          <w:tcPr>
            <w:tcW w:type="dxa" w:w="2280"/>
          </w:tcPr>
          <w:p>
            <w:r>
              <w:rPr>
                <w:sz w:val="18"/>
              </w:rPr>
              <w:t>~%8-10</w:t>
            </w:r>
          </w:p>
        </w:tc>
        <w:tc>
          <w:tcPr>
            <w:tcW w:type="dxa" w:w="2280"/>
          </w:tcPr>
          <w:p>
            <w:r>
              <w:rPr>
                <w:sz w:val="18"/>
              </w:rPr>
              <w:t>~%13-15</w:t>
            </w:r>
          </w:p>
        </w:tc>
        <w:tc>
          <w:tcPr>
            <w:tcW w:type="dxa" w:w="2280"/>
          </w:tcPr>
          <w:p>
            <w:r>
              <w:rPr>
                <w:sz w:val="18"/>
              </w:rPr>
              <w:t>ASGARİ ücret için 0 (2022'den itibaren muafiyet)</w:t>
            </w:r>
          </w:p>
        </w:tc>
      </w:tr>
      <w:tr>
        <w:tc>
          <w:tcPr>
            <w:tcW w:type="dxa" w:w="2280"/>
          </w:tcPr>
          <w:p>
            <w:r>
              <w:rPr>
                <w:sz w:val="18"/>
              </w:rPr>
              <w:t xml:space="preserve">  ↳ Çalışan SGK payı</w:t>
            </w:r>
          </w:p>
        </w:tc>
        <w:tc>
          <w:tcPr>
            <w:tcW w:type="dxa" w:w="2280"/>
          </w:tcPr>
          <w:p>
            <w:r>
              <w:rPr>
                <w:sz w:val="18"/>
              </w:rPr>
              <w:t>%15,0</w:t>
            </w:r>
          </w:p>
        </w:tc>
        <w:tc>
          <w:tcPr>
            <w:tcW w:type="dxa" w:w="2280"/>
          </w:tcPr>
          <w:p>
            <w:r>
              <w:rPr>
                <w:sz w:val="18"/>
              </w:rPr>
              <w:t>~%9-12</w:t>
            </w:r>
          </w:p>
        </w:tc>
        <w:tc>
          <w:tcPr>
            <w:tcW w:type="dxa" w:w="2280"/>
          </w:tcPr>
          <w:p>
            <w:r>
              <w:rPr>
                <w:sz w:val="18"/>
              </w:rPr>
              <w:t>Emeklilik %9 + Sağlık %5 + İşsizlik %1</w:t>
            </w:r>
          </w:p>
        </w:tc>
      </w:tr>
      <w:tr>
        <w:tc>
          <w:tcPr>
            <w:tcW w:type="dxa" w:w="2280"/>
          </w:tcPr>
          <w:p>
            <w:r>
              <w:rPr>
                <w:sz w:val="18"/>
              </w:rPr>
              <w:t xml:space="preserve">  ↳ İşveren SGK payı (yasal)</w:t>
            </w:r>
          </w:p>
        </w:tc>
        <w:tc>
          <w:tcPr>
            <w:tcW w:type="dxa" w:w="2280"/>
          </w:tcPr>
          <w:p>
            <w:r>
              <w:rPr>
                <w:sz w:val="18"/>
              </w:rPr>
              <w:t>%22,75</w:t>
            </w:r>
          </w:p>
        </w:tc>
        <w:tc>
          <w:tcPr>
            <w:tcW w:type="dxa" w:w="2280"/>
          </w:tcPr>
          <w:p>
            <w:r>
              <w:rPr>
                <w:sz w:val="18"/>
              </w:rPr>
              <w:t>~%17-20</w:t>
            </w:r>
          </w:p>
        </w:tc>
        <w:tc>
          <w:tcPr>
            <w:tcW w:type="dxa" w:w="2280"/>
          </w:tcPr>
          <w:p>
            <w:r>
              <w:rPr>
                <w:sz w:val="18"/>
              </w:rPr>
              <w:t>Fiili (teşvikli): ~%17,5; Fransa ~%28-30</w:t>
            </w:r>
          </w:p>
        </w:tc>
      </w:tr>
      <w:tr>
        <w:tc>
          <w:tcPr>
            <w:tcW w:type="dxa" w:w="2280"/>
          </w:tcPr>
          <w:p>
            <w:r>
              <w:rPr>
                <w:sz w:val="18"/>
              </w:rPr>
              <w:t>Vergi takozunda OECD en yüksek: Belçika</w:t>
            </w:r>
          </w:p>
        </w:tc>
        <w:tc>
          <w:tcPr>
            <w:tcW w:type="dxa" w:w="2280"/>
          </w:tcPr>
          <w:p>
            <w:r>
              <w:rPr>
                <w:sz w:val="18"/>
              </w:rPr>
              <w:t>—</w:t>
            </w:r>
          </w:p>
        </w:tc>
        <w:tc>
          <w:tcPr>
            <w:tcW w:type="dxa" w:w="2280"/>
          </w:tcPr>
          <w:p>
            <w:r>
              <w:rPr>
                <w:sz w:val="18"/>
              </w:rPr>
              <w:t>%52,6</w:t>
            </w:r>
          </w:p>
        </w:tc>
        <w:tc>
          <w:tcPr>
            <w:tcW w:type="dxa" w:w="2280"/>
          </w:tcPr>
          <w:p>
            <w:r>
              <w:rPr>
                <w:sz w:val="18"/>
              </w:rPr>
              <w:t>Türkiye OECD içinde üst çeyrekte</w:t>
            </w:r>
          </w:p>
        </w:tc>
      </w:tr>
    </w:tbl>
    <w:p>
      <w:pPr>
        <w:ind w:firstLine="0"/>
      </w:pPr>
      <w:r>
        <w:rPr>
          <w:b w:val="0"/>
          <w:i/>
        </w:rPr>
        <w:t>Kaynak: OECD Taxing Wages 2025; GİB; 193 sayılı GVK md.23/18 (2022 değişikliği).</w:t>
      </w:r>
    </w:p>
    <w:p>
      <w:pPr>
        <w:ind w:firstLine="0"/>
      </w:pPr>
      <w:r>
        <w:rPr>
          <w:b w:val="0"/>
          <w:i/>
        </w:rPr>
        <w:t>Not: Türkiye'de vergi takozu yüksekliğinin temel nedeni aile indirimi bulunmaması ve çalışan SGK payının OECD ortalamasının üzerinde seyretmesidir. Asgari ücret düzeyindeki çalışanlar gelir vergisinden muaf olduğundan bu grubun vergi takozu daha düşüktür.</w:t>
      </w:r>
    </w:p>
    <w:p>
      <w:r>
        <w:rPr>
          <w:b w:val="0"/>
          <w:i w:val="0"/>
        </w:rPr>
        <w:t>Uluslararası istihdam teşviki ve istihdam koruma deneyimleri, her ülkenin kendi kurumsal yapısına özgü tasarımlar geliştirdiğini göstermektedir. Aşağıda dört ülkenin deneyimi Türkiye ile karşılaştırmalı olarak değerlendirilmektedir.</w:t>
      </w:r>
    </w:p>
    <w:p>
      <w:r>
        <w:rPr>
          <w:b/>
        </w:rPr>
        <w:t xml:space="preserve">Almanya — Kurzarbeit ve Türkiye Karşılaştırması: </w:t>
      </w:r>
      <w:r>
        <w:t>Almanya'nın kısa çalışma programı (Kurzarbeit), 2008-09 küresel krizinde ~500.000, COVID-19 döneminde 6 milyon işçiyi kapsayarak istihdamı korumuştur. Almanya'da istihdam, GSYİH'deki %7'lik düşüşe rağmen yalnızca %1 gerilemiştir (Tax Foundation, 2025). Türkiye'de muadil araç Kısa Çalışma Ödeneği (KÇÖ) olmakla birlikte kapsam ve esneklik açısından önemli sınırlılıklar taşımaktadır. Buna ek olarak, Türkiye COVID-19 sürecinde Kısa Çalışma Ödeneği kapsamına giremeyen —özellikle prim koşulunu sağlayamayan— çalışanlar için Nakdi Ücret Desteği (NÜD) uygulaması başlatmıştır. NÜD, günlük 34,72 TL (dönemin asgari ücretinin %47'si) tutarında, son 60 günde en az 30 gün sigortalı olan tüm çalışanlara açık olarak tasarlanmıştır. Bu uygulama KÇÖ'nün kapsam dışında kalan katmanlara ulaşması bakımından anlamlı ancak ödeme düzeyi yetersiz kalmıştır.</w:t>
      </w:r>
    </w:p>
    <w:p>
      <w:r>
        <w:rPr>
          <w:b/>
        </w:rPr>
        <w:t xml:space="preserve">Fransa — Réduction Générale ve Türkiye Karşılaştırması: </w:t>
      </w:r>
      <w:r>
        <w:t>Yapısal işveren sosyal katkı payı indirimi, 2024-25'te asgari ücretin 1,6 katına kadar maaşlarda maksimum %32 oranında uygulanmıştır. 2026'da RGDU sistemine dönüştürülmüştür. Ancak CICE vergi kredisinin ihracat üzerinde istatistiksel olarak anlamlı bir etkisi bulunamamıştır (France Stratégie, 2020). Türkiye'de 5510/7252 sayılı Kanunlar kapsamındaki prim indirimleri Fransa'ya kıyasla daha düşük oran ve daha dar kapsama sahiptir; özellikle aile indirimi boyutu tamamen yoktur.</w:t>
      </w:r>
    </w:p>
    <w:p>
      <w:r>
        <w:rPr>
          <w:b/>
        </w:rPr>
        <w:t xml:space="preserve">Güney Kore — KOBİ İstihdam Teşvikleri ve Türkiye Karşılaştırması: </w:t>
      </w:r>
      <w:r>
        <w:t>Her ek KOBİ çalışanı için 7-7,7 milyon KRW vergi indirimi, genç KOBİ çalışanlarına 5 yıl boyunca %90 gelir vergisi muafiyeti uygulanmaktadır. Ancak yüksek nitelikli gençlerde mütevazı teşviklerin yüksek rezervasyon ücreti nedeniyle etkisiz kaldığı gösterilmiştir (MOEL, 2024). Türkiye'de 687 sayılı KHK kapsamında net istihdam artışı başına SGK teşviki uygulanmaktadır; ancak bu sistem KOBİ'ye özgü değildir ve Güney Kore'nin vergi indirimi mekanizması gibi sektörel farklılaştırma içermemektedir.</w:t>
      </w:r>
    </w:p>
    <w:p>
      <w:r>
        <w:rPr>
          <w:b/>
        </w:rPr>
        <w:t xml:space="preserve">İngiltere — Employment Allowance ve Türkiye Karşılaştırması: </w:t>
      </w:r>
      <w:r>
        <w:t>Sabit işveren NIC indirimi 2025'te 10.500 GBP'ye yükseltilmiştir. İşveren NIC oranı %13,8'den %15'e artırılırken tüm işletmelere erişim sağlanmıştır (GOV.UK, 2025). İngiltere'nin sabit tutarlı (oran değil, mutlak tutar) yapısı, küçük işletmeleri büyük işletmelere kıyasla orantısız biçimde desteklemektedir. Türkiye'de böyle bir sabit tutar mekanizması henüz mevcut değildir.</w:t>
      </w:r>
    </w:p>
    <w:p>
      <w:pPr>
        <w:ind w:firstLine="0"/>
      </w:pPr>
      <w:r>
        <w:rPr>
          <w:b/>
          <w:i w:val="0"/>
        </w:rPr>
        <w:t>Tablo 7. Almanya Kurzarbeit — Türkiye Kısa Çalışma Ödeneği ve Nakdi Ücret Desteği Karşılaştırması</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b/>
                <w:sz w:val="18"/>
              </w:rPr>
              <w:t>Boyut</w:t>
            </w:r>
          </w:p>
        </w:tc>
        <w:tc>
          <w:tcPr>
            <w:tcW w:type="dxa" w:w="3041"/>
          </w:tcPr>
          <w:p>
            <w:r>
              <w:rPr>
                <w:b/>
                <w:sz w:val="18"/>
              </w:rPr>
              <w:t>Almanya Kurzarbeit</w:t>
            </w:r>
          </w:p>
        </w:tc>
        <w:tc>
          <w:tcPr>
            <w:tcW w:type="dxa" w:w="3041"/>
          </w:tcPr>
          <w:p>
            <w:r>
              <w:rPr>
                <w:b/>
                <w:sz w:val="18"/>
              </w:rPr>
              <w:t>Türkiye (KÇÖ + NÜD)</w:t>
            </w:r>
          </w:p>
        </w:tc>
      </w:tr>
      <w:tr>
        <w:tc>
          <w:tcPr>
            <w:tcW w:type="dxa" w:w="3041"/>
          </w:tcPr>
          <w:p>
            <w:r>
              <w:rPr>
                <w:sz w:val="18"/>
              </w:rPr>
              <w:t>Azami süre</w:t>
            </w:r>
          </w:p>
        </w:tc>
        <w:tc>
          <w:tcPr>
            <w:tcW w:type="dxa" w:w="3041"/>
          </w:tcPr>
          <w:p>
            <w:r>
              <w:rPr>
                <w:sz w:val="18"/>
              </w:rPr>
              <w:t>21 aya kadar (kriz döneminde)</w:t>
            </w:r>
          </w:p>
        </w:tc>
        <w:tc>
          <w:tcPr>
            <w:tcW w:type="dxa" w:w="3041"/>
          </w:tcPr>
          <w:p>
            <w:r>
              <w:rPr>
                <w:sz w:val="18"/>
              </w:rPr>
              <w:t>KÇÖ: 3 ay (uzatılabilir 6 ay)</w:t>
            </w:r>
          </w:p>
        </w:tc>
      </w:tr>
      <w:tr>
        <w:tc>
          <w:tcPr>
            <w:tcW w:type="dxa" w:w="3041"/>
          </w:tcPr>
          <w:p>
            <w:r>
              <w:rPr>
                <w:sz w:val="18"/>
              </w:rPr>
              <w:t>Ödeme oranı</w:t>
            </w:r>
          </w:p>
        </w:tc>
        <w:tc>
          <w:tcPr>
            <w:tcW w:type="dxa" w:w="3041"/>
          </w:tcPr>
          <w:p>
            <w:r>
              <w:rPr>
                <w:sz w:val="18"/>
              </w:rPr>
              <w:t>%60-%80 (kademeli)</w:t>
            </w:r>
          </w:p>
        </w:tc>
        <w:tc>
          <w:tcPr>
            <w:tcW w:type="dxa" w:w="3041"/>
          </w:tcPr>
          <w:p>
            <w:r>
              <w:rPr>
                <w:sz w:val="18"/>
              </w:rPr>
              <w:t>KÇÖ: %60 sabit; NÜD: asgari ücretin ~%47'si</w:t>
            </w:r>
          </w:p>
        </w:tc>
      </w:tr>
      <w:tr>
        <w:tc>
          <w:tcPr>
            <w:tcW w:type="dxa" w:w="3041"/>
          </w:tcPr>
          <w:p>
            <w:r>
              <w:rPr>
                <w:sz w:val="18"/>
              </w:rPr>
              <w:t>Yararlanma eşiği</w:t>
            </w:r>
          </w:p>
        </w:tc>
        <w:tc>
          <w:tcPr>
            <w:tcW w:type="dxa" w:w="3041"/>
          </w:tcPr>
          <w:p>
            <w:r>
              <w:rPr>
                <w:sz w:val="18"/>
              </w:rPr>
              <w:t>İşyerinde çalışanların %10'u etkilenmiş olması</w:t>
            </w:r>
          </w:p>
        </w:tc>
        <w:tc>
          <w:tcPr>
            <w:tcW w:type="dxa" w:w="3041"/>
          </w:tcPr>
          <w:p>
            <w:r>
              <w:rPr>
                <w:sz w:val="18"/>
              </w:rPr>
              <w:t>KÇÖ: Son 3 yılda 600 gün prim; NÜD: Son 60 günde 30 gün sigortalı</w:t>
            </w:r>
          </w:p>
        </w:tc>
      </w:tr>
      <w:tr>
        <w:tc>
          <w:tcPr>
            <w:tcW w:type="dxa" w:w="3041"/>
          </w:tcPr>
          <w:p>
            <w:r>
              <w:rPr>
                <w:sz w:val="18"/>
              </w:rPr>
              <w:t>COVID kapsam</w:t>
            </w:r>
          </w:p>
        </w:tc>
        <w:tc>
          <w:tcPr>
            <w:tcW w:type="dxa" w:w="3041"/>
          </w:tcPr>
          <w:p>
            <w:r>
              <w:rPr>
                <w:sz w:val="18"/>
              </w:rPr>
              <w:t>6 milyon çalışan; istihdam yalnızca %1 geriledi</w:t>
            </w:r>
          </w:p>
        </w:tc>
        <w:tc>
          <w:tcPr>
            <w:tcW w:type="dxa" w:w="3041"/>
          </w:tcPr>
          <w:p>
            <w:r>
              <w:rPr>
                <w:sz w:val="18"/>
              </w:rPr>
              <w:t>KÇÖ sınırlı kaldı; NÜD ek katman sağladı ancak ödeme düzeyi düşük kaldı</w:t>
            </w:r>
          </w:p>
        </w:tc>
      </w:tr>
      <w:tr>
        <w:tc>
          <w:tcPr>
            <w:tcW w:type="dxa" w:w="3041"/>
          </w:tcPr>
          <w:p>
            <w:r>
              <w:rPr>
                <w:sz w:val="18"/>
              </w:rPr>
              <w:t>Kapsam genişliği</w:t>
            </w:r>
          </w:p>
        </w:tc>
        <w:tc>
          <w:tcPr>
            <w:tcW w:type="dxa" w:w="3041"/>
          </w:tcPr>
          <w:p>
            <w:r>
              <w:rPr>
                <w:sz w:val="18"/>
              </w:rPr>
              <w:t>Tüm SSK katkı ödeyenler</w:t>
            </w:r>
          </w:p>
        </w:tc>
        <w:tc>
          <w:tcPr>
            <w:tcW w:type="dxa" w:w="3041"/>
          </w:tcPr>
          <w:p>
            <w:r>
              <w:rPr>
                <w:sz w:val="18"/>
              </w:rPr>
              <w:t>KÇÖ: İşsizlik sigortası primini dolduranlar; NÜD daha geniş ama kısa süreli</w:t>
            </w:r>
          </w:p>
        </w:tc>
      </w:tr>
      <w:tr>
        <w:tc>
          <w:tcPr>
            <w:tcW w:type="dxa" w:w="3041"/>
          </w:tcPr>
          <w:p>
            <w:r>
              <w:rPr>
                <w:sz w:val="18"/>
              </w:rPr>
              <w:t>İşveren katkısı</w:t>
            </w:r>
          </w:p>
        </w:tc>
        <w:tc>
          <w:tcPr>
            <w:tcW w:type="dxa" w:w="3041"/>
          </w:tcPr>
          <w:p>
            <w:r>
              <w:rPr>
                <w:sz w:val="18"/>
              </w:rPr>
              <w:t>İşveren SGK primlerini ödemeye devam eder</w:t>
            </w:r>
          </w:p>
        </w:tc>
        <w:tc>
          <w:tcPr>
            <w:tcW w:type="dxa" w:w="3041"/>
          </w:tcPr>
          <w:p>
            <w:r>
              <w:rPr>
                <w:sz w:val="18"/>
              </w:rPr>
              <w:t>İşveren SGK yükümlülüğü devam eder; ek destek sınırlı</w:t>
            </w:r>
          </w:p>
        </w:tc>
      </w:tr>
      <w:tr>
        <w:tc>
          <w:tcPr>
            <w:tcW w:type="dxa" w:w="3041"/>
          </w:tcPr>
          <w:p>
            <w:r>
              <w:rPr>
                <w:sz w:val="18"/>
              </w:rPr>
              <w:t>Değerlendirme</w:t>
            </w:r>
          </w:p>
        </w:tc>
        <w:tc>
          <w:tcPr>
            <w:tcW w:type="dxa" w:w="3041"/>
          </w:tcPr>
          <w:p>
            <w:r>
              <w:rPr>
                <w:sz w:val="18"/>
              </w:rPr>
              <w:t>Güçlü istihdam koruma; esneklik ve kapsam avantajı</w:t>
            </w:r>
          </w:p>
        </w:tc>
        <w:tc>
          <w:tcPr>
            <w:tcW w:type="dxa" w:w="3041"/>
          </w:tcPr>
          <w:p>
            <w:r>
              <w:rPr>
                <w:sz w:val="18"/>
              </w:rPr>
              <w:t>KÇÖ+NÜD birlikte anlamlı ancak kapsam ve ödeme yetersizliği reform ihtiyacı doğuruyor</w:t>
            </w:r>
          </w:p>
        </w:tc>
      </w:tr>
    </w:tbl>
    <w:p>
      <w:pPr>
        <w:ind w:firstLine="0"/>
      </w:pPr>
      <w:r>
        <w:rPr>
          <w:b w:val="0"/>
          <w:i/>
        </w:rPr>
        <w:t>Politika çıkarımı: Türkiye'nin KÇÖ + NÜD ikili yapısını tek, daha kapsayıcı ve daha yüksek ödeme oranlı bir kısa çalışma mekanizmasına dönüştürmesi, gelecekteki kriz dönemlerinde istihdam kaybını önemli ölçüde sınırlayabilir. Bu reformda Kurzarbeit'ın işyeri eşiği (çalışanların %10'u) ve kademeli ödeme (süreye bağlı %60-80) modeli referans alınabilir.</w:t>
      </w:r>
    </w:p>
    <w:p>
      <w:r>
        <w:rPr>
          <w:b w:val="0"/>
          <w:i w:val="0"/>
        </w:rPr>
        <w:t>Ölü ağırlık kaybı (deadweight loss) nedir? İstihdam teşviklerinde ölü ağırlık kaybı, "zaten olacak işler için para harcamak" anlamına gelir. Örneğin bir firma, teşvik programı olsa da olmasa da bir mühendisi işe alacaktı. Teşvik verildiğinde devlet para harcamış, ancak net yeni istihdam yaratılmamıştır. Bu boşa harcanan pay, ölü ağırlık kaybıdır.</w:t>
      </w:r>
    </w:p>
    <w:p>
      <w:r>
        <w:rPr>
          <w:b w:val="0"/>
          <w:i w:val="0"/>
        </w:rPr>
        <w:t>Türkiye'ye özgü ölü ağırlık kaybı analizi: Uysal (2016), IZA Discussion Paper No. 9993 kapsamında Türkiye'nin bölgesel SGK prim teşviklerini fark-içi-farklar (difference-in-differences) yöntemiyle değerlendirmiştir. Çalışmada iki farklı teşvik programı incelenmiştir: (1) 5084 sayılı Kanun kapsamındaki ilk program (2004-2012): 49 geri kalmış ilde uygulanan, işveren SGK payının tamamını kapsayan yoğun destek. Ölü ağırlık kaybı %47-78 aralığında ölçülmüştür — yani her 100 TL teşvikin 47-78 TL'si zaten gerçekleşecek istihdama gitmiştir. (2) 5510 sayılı Kanun kapsamındaki ikinci program (2008 sonrası): Net istihdam artışı koşuluna bağlanan, daha iyi tasarlanmış yapı. Bu programda ölü ağırlık kaybı %23-44'e gerilemiştir. Temel bulgu: Net istihdam artışı koşulu, ölü ağırlık kaybını yaklaşık yarıya indirmiştir. Bu sonuç, teşvik programı tasarımında en kritik değişkenin 'net artış şartı' olduğunu kanıtlamakta ve Türkiye için tasarlanacak tüm yeni programlara doğrudan politika çıkarımı sunmaktadır (Uysal, 2016; IZA DP No. 9993).</w:t>
      </w:r>
    </w:p>
    <w:p>
      <w:r>
        <w:rPr>
          <w:b w:val="0"/>
          <w:i w:val="0"/>
        </w:rPr>
        <w:t>Ölü ağırlık kaybı (deadweight loss) tahminleri ülkeden ülkeye önemli farklılıklar göstermektedir. Türkiye için %27-46, Belçika için %53, Fransa için %84 oranında ölü ağırlık kaybı hesaplanmıştır. Makroekonomik çalışmalar sistematik olarak anket çalışmalarından daha yüksek ölü ağırlık kaybı tahmin etmektedir. Teşviklerin yalnızca işsiz bireylere yönlendirilmesi (işten işe geçişlerin hariç tutulması), Almanya deneyiminde maliyeti %20-30 düşürmüştür (Hartmann ve diğerleri, 2013; IZA, 2023).</w:t>
      </w:r>
    </w:p>
    <w:p>
      <w:r>
        <w:rPr>
          <w:b w:val="0"/>
          <w:i w:val="0"/>
        </w:rPr>
        <w:t>Meksika'da uygulanan deneysel geçici ücret teşvikleri, formel istihdamı 4,2 yüzde puanı (%14,5) ve daimi sözleşmeleri %25 oranında artırmıştır. Bu bulgu, kayıt dışılığın yüksek olduğu Türkiye için kayıt dışından kayıt içine geçiş odaklı teşvik tasarımının etkinliğine güçlü bir kanıt sunmaktadır (VoxDev, 2024; OECD, 2024b).</w:t>
      </w:r>
    </w:p>
    <w:p>
      <w:pPr>
        <w:pStyle w:val="Heading2"/>
      </w:pPr>
      <w:r>
        <w:t>7.2. Teşvik Tasarım Parametreleri</w:t>
      </w:r>
    </w:p>
    <w:p>
      <w:r>
        <w:rPr>
          <w:b w:val="0"/>
          <w:i w:val="0"/>
        </w:rPr>
        <w:t>Uluslararası deneyimler ve Türkiye'nin yapısal özellikleri dikkate alındığında, istihdam teşviki tasarımında aşağıdaki parametrelerin gözetilmesi önerilmektedir:</w:t>
      </w:r>
    </w:p>
    <w:p>
      <w:r>
        <w:rPr>
          <w:b/>
        </w:rPr>
        <w:t xml:space="preserve">SGK Prim İndirimi Kademelendirmesi: </w:t>
      </w:r>
      <w:r>
        <w:t>Kadran 1 sektörleri için işveren SGK prim payında %10-15 oranında indirim önerilmektedir. Net istihdam artışı şartı konulmalı ve baz yıl istihdamının altına düşmeme koşulu aranmalıdır. OECD Türkiye Ekonomik İncelemesi (2025), sosyal güvenlik katkılarının sabit oranlı yapısının düşük gelirli çalışanları orantısız biçimde etkilediğini saptamaktadır. OECD'nin önerisi, asgari ücretin 1,25-1,5 katına kadar ücret bandındaki çalışanlar için işveren SSK payını kademeli olarak azaltmaktır. Bu sayede işverenlerin düşük ücretli formel istihdam yaratma maliyeti düşer; kayıt dışı çalışan düşük ücretliler formel sisteme geçiş için teşvik alır ve asgari ücret etrafındaki formelleşme eşiği problemi azalır. Fransa bu yaklaşımın başarılı uygulamasına örnek teşkil etmektedir: asgari ücretin 1,6 katına kadar olan maaşlarda işveren SSK payı maksimum %32 oranında indirime tabi tutulmakta; bu sayede düşük ücretli sektörlerde istihdam teşvik edilmektedir (URSSAF, 2025).</w:t>
      </w:r>
    </w:p>
    <w:p>
      <w:r>
        <w:rPr>
          <w:b/>
        </w:rPr>
        <w:t xml:space="preserve">İşyeri Büyüklüğüne Göre Farklılaştırma: </w:t>
      </w:r>
      <w:r>
        <w:t>İşyeri büyüklüğüne göre farklılaştırmanın gerekçesi şudur: büyük işletmeler, teşvik olsa da olmasa da yeni çalışan alabilecek mali güce sahiptir; bu nedenle onlara tam oran teşvik vermek ölü ağırlık kaybını artırır. Küçük ve mikro işletmeler ise işgücü maliyetine en duyarlı ve kayıt dışılık riski en yüksek gruptur. Önerilen kademeler: Mikro işletmeler (&lt;10 çalışan) için tam oran teşvik — nakit akışı kısıtlı, istihdam maliyetine en duyarlı ve kayıt dışılıktan formal geçiş potansiyeli en yüksek grup. Küçük işletmeler (10-49 çalışan) için %75 teşvik — KOBİ'ler toplam istihdamın büyük bölümünü oluşturur. Orta işletmeler (50-249 çalışan) için %50 teşvik — maliyet avantajı verimliliğe yatırıma yönlendirilmeli. Büyük işletmeler (250+ çalışan) için yalnızca net istihdam artışı koşuluyla teşvik — ölü ağırlık kaybı riski en yüksek grupta yalnızca gerçek yeni istihdamın teşvik alması sağlanmalıdır. Verilerimize göre K1 sektörlerinde KOBİ oranı %95'in üzerindedir.</w:t>
      </w:r>
    </w:p>
    <w:p>
      <w:r>
        <w:rPr>
          <w:b/>
        </w:rPr>
        <w:t xml:space="preserve">Bölgesel Farklılaştırma: </w:t>
      </w:r>
      <w:r>
        <w:t>Yatırım teşvik bölgelerine göre ek puan uygulanmalıdır. Dünya Bankası'nın deprem bölgelerinde ekonomik toparlanma vurgusu (World Bank, 2025) doğrultusunda, deprem bölgelerinde ek teşvik katsayısı uygulanmalıdır.</w:t>
      </w:r>
    </w:p>
    <w:p>
      <w:r>
        <w:rPr>
          <w:b/>
        </w:rPr>
        <w:t xml:space="preserve">Cinsiyet Eşitliği Boyutu: </w:t>
      </w:r>
      <w:r>
        <w:t>OECD'nin vurguladığı kadın işgücü katılımı açığını kapatmak için kadın oranı %30'un altındaki sektörlerde (İnşaat %8,3, Ulaştırma, Madencilik) kadın istihdamına ek %5 puan teşvik uygulanmalıdır. Okul öncesi eğitim yatırımları ile desteklenmelidir (OECD, 2025).</w:t>
      </w:r>
    </w:p>
    <w:p>
      <w:r>
        <w:rPr>
          <w:b/>
        </w:rPr>
        <w:t xml:space="preserve">Nitelik Düzeyine Göre Ayrım: </w:t>
      </w:r>
      <w:r>
        <w:t>Düşük nitelikli istihdam için kayıt dışılık azaltma odaklı tam teşvik; orta nitelikli istihdam için standart teşvik; yüksek nitelikli istihdam (mühendis, Ar-Ge uzmanı) için Türkiye Ulusal AI Stratejisi hedefleri doğrultusunda ek Ar-Ge istihdamı teşviki uygulanmalıdır.</w:t>
      </w:r>
    </w:p>
    <w:p>
      <w:r>
        <w:rPr>
          <w:b/>
        </w:rPr>
        <w:t xml:space="preserve">Teşvik Süresi ve Kademeli Çıkış: </w:t>
      </w:r>
      <w:r>
        <w:t>Teşvik programlarının açık uçlu uygulanması hem mali sürdürülebilirliği tehdit eder hem de firmaların teşvike bağımlı hale gelmesine yol açar. Bu nedenle kademeli çıkış mekanizması baştan tasarlanmalıdır. 1-3. yıl (Tam oran): İşverenin yeni çalışanı işine alıştırma ve verimli hale getirme sürecini kapsar; tam teşvik ilk istihdam maliyetini dengeler. 4. yıl (%75'e düşüş): İstihdam ilişkisi yerleşmiş, verimlilik artışı başlamıştır; %25'lik azalma işverene kademeli uyum süresi tanır. 5. yıl (%50'ye düşüş): Teşvik bitmeden önce işveren işgücü maliyetini kendi verimliliği ile karşılamaya alışır. 6. yıl (Etki değerlendirmesi): Ulusal istihdam verisi ve teşvik maliyet-fayda analizi temelinde; programın uzatılması, daraltılması veya sonlandırılması kararı verilir. OECD iyi uygulama kılavuzu, bu değerlendirmenin bağımsız araştırma kurumu tarafından yapılmasını önermektedir. Bu tasarım, Almanya'nın Kurzarbeit ve Fransa'nın RGDU sistemlerinde de uygulanan 'zaman sınırlı teşvik + değerlendirmeye bağlı uzatma' prensibini izlemektedir.</w:t>
      </w:r>
    </w:p>
    <w:p>
      <w:pPr>
        <w:pStyle w:val="Heading2"/>
      </w:pPr>
      <w:r>
        <w:t>7.3. Sektör Bazlı Teşvik Modelleri</w:t>
      </w:r>
    </w:p>
    <w:p>
      <w:pPr>
        <w:ind w:firstLine="0"/>
      </w:pPr>
      <w:r>
        <w:rPr>
          <w:b/>
          <w:i w:val="0"/>
        </w:rPr>
        <w:t>Tablo 7. Sektör Bazlı Teşvik Model Önerileri</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b/>
                <w:sz w:val="18"/>
              </w:rPr>
              <w:t>Sektör</w:t>
            </w:r>
          </w:p>
        </w:tc>
        <w:tc>
          <w:tcPr>
            <w:tcW w:type="dxa" w:w="2280"/>
          </w:tcPr>
          <w:p>
            <w:r>
              <w:rPr>
                <w:b/>
                <w:sz w:val="18"/>
              </w:rPr>
              <w:t>Teşvik Modeli</w:t>
            </w:r>
          </w:p>
        </w:tc>
        <w:tc>
          <w:tcPr>
            <w:tcW w:type="dxa" w:w="2280"/>
          </w:tcPr>
          <w:p>
            <w:r>
              <w:rPr>
                <w:b/>
                <w:sz w:val="18"/>
              </w:rPr>
              <w:t>Hedef</w:t>
            </w:r>
          </w:p>
        </w:tc>
        <w:tc>
          <w:tcPr>
            <w:tcW w:type="dxa" w:w="2280"/>
          </w:tcPr>
          <w:p>
            <w:r>
              <w:rPr>
                <w:b/>
                <w:sz w:val="18"/>
              </w:rPr>
              <w:t>İzleme Göstergesi</w:t>
            </w:r>
          </w:p>
        </w:tc>
      </w:tr>
      <w:tr>
        <w:tc>
          <w:tcPr>
            <w:tcW w:type="dxa" w:w="2280"/>
          </w:tcPr>
          <w:p>
            <w:r>
              <w:rPr>
                <w:sz w:val="18"/>
              </w:rPr>
              <w:t>İmalat Sanayi</w:t>
            </w:r>
          </w:p>
        </w:tc>
        <w:tc>
          <w:tcPr>
            <w:tcW w:type="dxa" w:w="2280"/>
          </w:tcPr>
          <w:p>
            <w:r>
              <w:rPr>
                <w:sz w:val="18"/>
              </w:rPr>
              <w:t>SGK %12 + yeşil yatırım</w:t>
              <w:br/>
              <w:t>desteği + Ar-Ge teşviki</w:t>
            </w:r>
          </w:p>
        </w:tc>
        <w:tc>
          <w:tcPr>
            <w:tcW w:type="dxa" w:w="2280"/>
          </w:tcPr>
          <w:p>
            <w:r>
              <w:rPr>
                <w:sz w:val="18"/>
              </w:rPr>
              <w:t>Net 200K yeni istihdam</w:t>
              <w:br/>
              <w:t>CBAM uyumu</w:t>
            </w:r>
          </w:p>
        </w:tc>
        <w:tc>
          <w:tcPr>
            <w:tcW w:type="dxa" w:w="2280"/>
          </w:tcPr>
          <w:p>
            <w:r>
              <w:rPr>
                <w:sz w:val="18"/>
              </w:rPr>
              <w:t>Karbon yoğunluğu</w:t>
              <w:br/>
              <w:t>İhracat payı</w:t>
            </w:r>
          </w:p>
        </w:tc>
      </w:tr>
      <w:tr>
        <w:tc>
          <w:tcPr>
            <w:tcW w:type="dxa" w:w="2280"/>
          </w:tcPr>
          <w:p>
            <w:r>
              <w:rPr>
                <w:sz w:val="18"/>
              </w:rPr>
              <w:t>İnşaat</w:t>
            </w:r>
          </w:p>
        </w:tc>
        <w:tc>
          <w:tcPr>
            <w:tcW w:type="dxa" w:w="2280"/>
          </w:tcPr>
          <w:p>
            <w:r>
              <w:rPr>
                <w:sz w:val="18"/>
              </w:rPr>
              <w:t>Kayıt içi geçiş primi</w:t>
              <w:br/>
              <w:t>+ kadın ek teşvik %5</w:t>
            </w:r>
          </w:p>
        </w:tc>
        <w:tc>
          <w:tcPr>
            <w:tcW w:type="dxa" w:w="2280"/>
          </w:tcPr>
          <w:p>
            <w:r>
              <w:rPr>
                <w:sz w:val="18"/>
              </w:rPr>
              <w:t>Kayıt dışılık %10↓</w:t>
              <w:br/>
              <w:t>Kadın oranı %15'e</w:t>
            </w:r>
          </w:p>
        </w:tc>
        <w:tc>
          <w:tcPr>
            <w:tcW w:type="dxa" w:w="2280"/>
          </w:tcPr>
          <w:p>
            <w:r>
              <w:rPr>
                <w:sz w:val="18"/>
              </w:rPr>
              <w:t>SGK bildirge artışı</w:t>
              <w:br/>
              <w:t>Kadın sigortalı sayısı</w:t>
            </w:r>
          </w:p>
        </w:tc>
      </w:tr>
      <w:tr>
        <w:tc>
          <w:tcPr>
            <w:tcW w:type="dxa" w:w="2280"/>
          </w:tcPr>
          <w:p>
            <w:r>
              <w:rPr>
                <w:sz w:val="18"/>
              </w:rPr>
              <w:t>Konaklama</w:t>
            </w:r>
          </w:p>
        </w:tc>
        <w:tc>
          <w:tcPr>
            <w:tcW w:type="dxa" w:w="2280"/>
          </w:tcPr>
          <w:p>
            <w:r>
              <w:rPr>
                <w:sz w:val="18"/>
              </w:rPr>
              <w:t>Sezon dışı prim indirimi</w:t>
              <w:br/>
              <w:t>+ dijital KOBİ desteği</w:t>
            </w:r>
          </w:p>
        </w:tc>
        <w:tc>
          <w:tcPr>
            <w:tcW w:type="dxa" w:w="2280"/>
          </w:tcPr>
          <w:p>
            <w:r>
              <w:rPr>
                <w:sz w:val="18"/>
              </w:rPr>
              <w:t>12 ay istihdam sürekliliği</w:t>
              <w:br/>
              <w:t>Dijitalleşme %50</w:t>
            </w:r>
          </w:p>
        </w:tc>
        <w:tc>
          <w:tcPr>
            <w:tcW w:type="dxa" w:w="2280"/>
          </w:tcPr>
          <w:p>
            <w:r>
              <w:rPr>
                <w:sz w:val="18"/>
              </w:rPr>
              <w:t>Mevsimsel istihdam farkı</w:t>
              <w:br/>
              <w:t>E-fatura kullanımı</w:t>
            </w:r>
          </w:p>
        </w:tc>
      </w:tr>
      <w:tr>
        <w:tc>
          <w:tcPr>
            <w:tcW w:type="dxa" w:w="2280"/>
          </w:tcPr>
          <w:p>
            <w:r>
              <w:rPr>
                <w:sz w:val="18"/>
              </w:rPr>
              <w:t>Sağlık</w:t>
            </w:r>
          </w:p>
        </w:tc>
        <w:tc>
          <w:tcPr>
            <w:tcW w:type="dxa" w:w="2280"/>
          </w:tcPr>
          <w:p>
            <w:r>
              <w:rPr>
                <w:sz w:val="18"/>
              </w:rPr>
              <w:t>Nitelikli personel primi</w:t>
              <w:br/>
              <w:t>+ kırsal ek teşvik</w:t>
            </w:r>
          </w:p>
        </w:tc>
        <w:tc>
          <w:tcPr>
            <w:tcW w:type="dxa" w:w="2280"/>
          </w:tcPr>
          <w:p>
            <w:r>
              <w:rPr>
                <w:sz w:val="18"/>
              </w:rPr>
              <w:t>Beyin göçünü yavaşlatma</w:t>
              <w:br/>
              <w:t>Kırsal erişim</w:t>
            </w:r>
          </w:p>
        </w:tc>
        <w:tc>
          <w:tcPr>
            <w:tcW w:type="dxa" w:w="2280"/>
          </w:tcPr>
          <w:p>
            <w:r>
              <w:rPr>
                <w:sz w:val="18"/>
              </w:rPr>
              <w:t>Hekim sayısı/100K</w:t>
              <w:br/>
              <w:t>Hemşire tutma oranı</w:t>
            </w:r>
          </w:p>
        </w:tc>
      </w:tr>
      <w:tr>
        <w:tc>
          <w:tcPr>
            <w:tcW w:type="dxa" w:w="2280"/>
          </w:tcPr>
          <w:p>
            <w:r>
              <w:rPr>
                <w:sz w:val="18"/>
              </w:rPr>
              <w:t>Eğitim</w:t>
            </w:r>
          </w:p>
        </w:tc>
        <w:tc>
          <w:tcPr>
            <w:tcW w:type="dxa" w:w="2280"/>
          </w:tcPr>
          <w:p>
            <w:r>
              <w:rPr>
                <w:sz w:val="18"/>
              </w:rPr>
              <w:t>Okul öncesi yatırım</w:t>
              <w:br/>
              <w:t>+ STEM eğitimci teşviki</w:t>
            </w:r>
          </w:p>
        </w:tc>
        <w:tc>
          <w:tcPr>
            <w:tcW w:type="dxa" w:w="2280"/>
          </w:tcPr>
          <w:p>
            <w:r>
              <w:rPr>
                <w:sz w:val="18"/>
              </w:rPr>
              <w:t>Okul öncesi okullaşma</w:t>
              <w:br/>
              <w:t>%80'e çıkarma</w:t>
            </w:r>
          </w:p>
        </w:tc>
        <w:tc>
          <w:tcPr>
            <w:tcW w:type="dxa" w:w="2280"/>
          </w:tcPr>
          <w:p>
            <w:r>
              <w:rPr>
                <w:sz w:val="18"/>
              </w:rPr>
              <w:t>ECEC harcama/GSYH</w:t>
              <w:br/>
              <w:t>STEM mezun sayısı</w:t>
            </w:r>
          </w:p>
        </w:tc>
      </w:tr>
      <w:tr>
        <w:tc>
          <w:tcPr>
            <w:tcW w:type="dxa" w:w="2280"/>
          </w:tcPr>
          <w:p>
            <w:r>
              <w:rPr>
                <w:sz w:val="18"/>
              </w:rPr>
              <w:t>Bilgi İletişim</w:t>
            </w:r>
          </w:p>
        </w:tc>
        <w:tc>
          <w:tcPr>
            <w:tcW w:type="dxa" w:w="2280"/>
          </w:tcPr>
          <w:p>
            <w:r>
              <w:rPr>
                <w:sz w:val="18"/>
              </w:rPr>
              <w:t>Yazılımcı SGK muafiyeti</w:t>
              <w:br/>
              <w:t>+ teknokent genişleme</w:t>
            </w:r>
          </w:p>
        </w:tc>
        <w:tc>
          <w:tcPr>
            <w:tcW w:type="dxa" w:w="2280"/>
          </w:tcPr>
          <w:p>
            <w:r>
              <w:rPr>
                <w:sz w:val="18"/>
              </w:rPr>
              <w:t>50K AI istihdamı</w:t>
              <w:br/>
              <w:t>Yazılım ihracatı 2x</w:t>
            </w:r>
          </w:p>
        </w:tc>
        <w:tc>
          <w:tcPr>
            <w:tcW w:type="dxa" w:w="2280"/>
          </w:tcPr>
          <w:p>
            <w:r>
              <w:rPr>
                <w:sz w:val="18"/>
              </w:rPr>
              <w:t>Ar-Ge harcama/GSYH</w:t>
              <w:br/>
              <w:t>Patent başvurusu</w:t>
            </w:r>
          </w:p>
        </w:tc>
      </w:tr>
    </w:tbl>
    <w:p>
      <w:pPr>
        <w:pStyle w:val="Heading2"/>
      </w:pPr>
      <w:r>
        <w:t>7.4. AB Yeşil Mutabakat ve CBAM Uyumu</w:t>
      </w:r>
    </w:p>
    <w:p>
      <w:r>
        <w:rPr>
          <w:b w:val="0"/>
          <w:i w:val="0"/>
        </w:rPr>
        <w:t>AB Karbon Sınır Düzenleme Mekanizması (CBAM) 1 Ocak 2026'da kesin uygulama aşamasına geçmiştir. Çimento, demir-çelik, alüminyum, gübre, elektrik ve hidrojeni kapsayan mekanizma, ithalat edilen malların karbon yoğunluğuna dayalı sertifika alınmasını zorunlu kılmaktadır (European Commission, 2025).</w:t>
      </w:r>
    </w:p>
    <w:p>
      <w:r>
        <w:rPr>
          <w:b w:val="0"/>
          <w:i w:val="0"/>
        </w:rPr>
        <w:t>Türkiye'nin CBAM'a maruziyeti somut rakamlarla çarpıcı boyutlara ulaşmaktadır. Uluslararası Karbon Eylem Ortaklığı (ICAP) ve AB Komisyonu analizlerine göre Türkiye'nin CBAM kapsamındaki sektörlerdeki AB ihracatı 2022'de 19 milyar Euro değerindedir. CBAM karbon sertifika maliyetleri 2027'de yaklaşık 138 milyon Euro'ya, karbonun AB ETS fiyatına göre 2032'de 2,5 milyar Euro'ya ulaşabilecektir (ICAP, 2025). Bu maliyet özellikle demir-çelik, çimento ve alüminyum ihracatçılarını doğrudan vuracaktır. Avrupa Komisyonu analizine göre Türkiye, Çin'den sonra CBAM'dan en çok etkilenecek ikinci ülkedir (WEF, 2025; IISD, 2025).</w:t>
      </w:r>
    </w:p>
    <w:p>
      <w:r>
        <w:rPr>
          <w:b w:val="0"/>
          <w:i w:val="0"/>
        </w:rPr>
        <w:t>Türkiye bu zorluğa iki koldan yanıt vermektedir. Birincisi, 2025 yılında çıkarılan 7552 sayılı İklim Kanunu ile ulusal ETS'nin yasal çerçevesi oluşturulmuş; yılda 50.000 ton CO₂ üzerinde emisyon yapan tesisleri kapsayan pilot ETS aşaması 2026-2027 döneminde başlayacaktır. İkincisi, Yeşil Dönüşüm Destek Programı ve Sanayi ve Teknoloji Bakanlığı'nın yeşil dönüşüm portalı aracılığıyla düşük karbonlu üretim teknolojileri için Dünya Bankası finansmanlı 1 milyar doların üzerinde destek mobilize edilmektedir. Bu bağlamda iki politika aracının eş zamanlı uygulanması önerilmektedir: (i) ETS kapsamındaki firmalara CBAM sertifika yüküne karşılık geçici SGK prim desteği (yeşil geçiş desteği); (ii) düşük karbonlu üretim teknolojisine yatırım yapan firmalarda istihdam edilen nitelikli personel için ek teşvik. Aksi takdirde CBAM maliyet yükünün firmaların istihdam azaltımına yol açması riski ciddidir.</w:t>
      </w:r>
    </w:p>
    <w:p>
      <w:pPr>
        <w:pStyle w:val="Heading2"/>
      </w:pPr>
      <w:r>
        <w:t>7.5. Dijital Dönüşüm ve Yapay Zeka</w:t>
      </w:r>
    </w:p>
    <w:p>
      <w:r>
        <w:rPr>
          <w:b w:val="0"/>
          <w:i w:val="0"/>
        </w:rPr>
        <w:t>Türkiye'nin Ulusal Yapay Zeka Stratejisi (2021-2025, 2024 güncellemesi) yapay zekanın GSYH'ye katkısını %5'e çıkarmayı ve AI alanında 50.000 istihdam yaratmayı hedeflemektedir. Orta Vadeli Program (2026-2028), sektörel önceliklendirmeye dayalı hedefli sanayi politikalarının uygulanacağını, yüksek katma değerli üretim ve teknoloji odaklı dönüşüm yoluyla rekabet gücünün artırılacağını belirtmektedir.</w:t>
      </w:r>
    </w:p>
    <w:p>
      <w:r>
        <w:rPr>
          <w:b w:val="0"/>
          <w:i w:val="0"/>
        </w:rPr>
        <w:t>HIT-30 Yüksek Teknoloji Yatırım Programı: Sanayi ve Teknoloji Bakanlığı tarafından Temmuz 2024'te açıklanan program, 2030'a kadar 30 milyar dolarlık devlet desteği ve 20 milyar dolarlık özel sektör yatırımı hedeflemektedir. Sekiz öncelikli teknoloji alanı belirlenmiştir: (1) Yarı İletkenler; (2) Elektrikli Araçlar ve Bataryalar; (3) İleri İmalat ve Robotik; (4) Yeşil Enerji Teknolojileri; (5) Biyoteknoloji ve Sağlık; (6) Yapay Zeka ve Büyük Dil Modelleri; (7) İletişim Teknolojileri; (8) Uzay Teknolojileri. Program; vergi teşviklerinin %60'a ulaşabileceği proje bazlı destekler, Ar-Ge merkezi kuran dünyanın ilk 1000 Ar-Ge şirketi için personel giderlerinin %50'sinin Hazine tarafından karşılanması ve YTAK aracılığıyla uygun faizli finansman imkânları sunmaktadır.</w:t>
      </w:r>
    </w:p>
    <w:p>
      <w:r>
        <w:rPr>
          <w:b w:val="0"/>
          <w:i w:val="0"/>
        </w:rPr>
        <w:t>Dijital ve Yeşil Dönüşüm Destek Programları: Sanayi ve Teknoloji Bakanlığı, imalat sanayinde dijital olgunluk seviyesini artırmak amacıyla iki kapsamlı destek mekanizması işletmektedir. Dijital Dönüşüm Programı; 5 yıl ve üzeri faaliyet gösteren imalat KOBİ ve büyük işletmelerinin makine, yazılım ve danışmanlık giderlerini hibe ile desteklemektedir. KOSGEB bünyesinde 300 milyon Euro kaynak dijital dönüşüm projelerine ayrılmış olup hibe oranı %80'e, destek tutarı 1,5 milyon TL'ye çıkabilmektedir. Yeşil Dönüşüm Programı ise Dünya Bankası'nın 1 milyar dolarlık finansmanı çerçevesinde kaynak verimliliği, atık azaltma ve güneş enerjisi yatırımlarını desteklemekte; TÜBİTAK-TEYDEB'in 1832 ve 1833 çağrı programları aracılığıyla 231 proje değerlendirilmektedir.</w:t>
      </w:r>
    </w:p>
    <w:p>
      <w:r>
        <w:rPr>
          <w:b w:val="0"/>
          <w:i w:val="0"/>
        </w:rPr>
        <w:t>IMF'nin yapay zeka patlamasının 1990'ların dot-com patlamasına benzediği uyarısı dikkate alınarak, AI yatırımlarında verimlilik odaklı bir yaklaşım benimsenmelidir. Teknoloji benimseme hızı sektörler arasında eşitsiz olduğundan, dijital beceri geliştirme programlarının sektörel ihtiyaçlara göre farklılaştırılması gerekmektedir (IMF, 2025a).</w:t>
      </w:r>
    </w:p>
    <w:p>
      <w:pPr>
        <w:pStyle w:val="Heading2"/>
      </w:pPr>
      <w:r>
        <w:t>7.6. Beceri Açığı, İşlerin Dönüşümü ve Aktif İşgücü Programları</w:t>
      </w:r>
    </w:p>
    <w:p>
      <w:r>
        <w:rPr>
          <w:b w:val="0"/>
          <w:i w:val="0"/>
        </w:rPr>
        <w:t>İstihdam teşvikleri tek başına yeterli değildir. Paralel olarak işgücünün dönüşen iş yapısına uyumunun sağlanması gerekmektedir. Bu iki politika aracı birlikte tasarlanmadığı sürece teşvikler kısa vadeli etki yaratır; sürdürülebilir verimlilik artışı sağlanamaz.</w:t>
      </w:r>
    </w:p>
    <w:p>
      <w:pPr>
        <w:pStyle w:val="Heading3"/>
      </w:pPr>
      <w:r>
        <w:t>İşlerin Dönüşümü: Türkiye'de Hangi Meslekler Değişiyor?</w:t>
      </w:r>
    </w:p>
    <w:p>
      <w:r>
        <w:rPr>
          <w:b w:val="0"/>
          <w:i w:val="0"/>
        </w:rPr>
        <w:t>WEF Mesleklerin Geleceği 2025 Raporu, 2030'a kadar mevcut iş becerilerinin %39'unun geçerliliğini yitireceğini ve işverenlerin %41'inin yapay zeka otomasyonu nedeniyle işgücü azaltmayı planladığını ortaya koymaktadır (WEF, 2025). Bu dönüşüm Türkiye'de sektörel bazda somut biçimlerde kendini göstermektedir.</w:t>
      </w:r>
    </w:p>
    <w:p>
      <w:r>
        <w:rPr>
          <w:b/>
        </w:rPr>
        <w:t xml:space="preserve">İmalat Sanayi — Otomasyon Baskısı: </w:t>
      </w:r>
      <w:r>
        <w:t>CNC tezgâhları, robotik kaynak sistemleri ve görüntü işleme kalite kontrol sistemleri, rutin montaj ve basit işleme görevlerini hızla otomatize etmektedir. Yok olan meslekler: Manuel montaj operatörü, basit kalite kontrol gözetmeni. Dönüşen meslekler: CNC programcısı, robotik sistem bakım teknisyeni, endüstriyel IoT operatörü. Bu dönüşüm için yeni gereken beceriler; PLC programlama, sensör veri yorumlama ve otomasyon bakımıdır. Türkiye'nin mesleki eğitim müfredatlarının bu yetkinlikleri kapsayacak şekilde güncellenmesi zorunludur.</w:t>
      </w:r>
    </w:p>
    <w:p>
      <w:r>
        <w:rPr>
          <w:b/>
        </w:rPr>
        <w:t xml:space="preserve">Çağrı Merkezi ve İdari Hizmetler — Yapay Zeka Yerinden Edişi: </w:t>
      </w:r>
      <w:r>
        <w:t>Doğal dil işleme ve büyük dil modelleri, standart müşteri hizmetleri, randevu ve şikâyet yönetimi görevlerinin büyük bölümünü otomatize edebilecek kapasitededir. Yok olan meslekler: Rutin müşteri temsilcisi, veri giriş operatörü. Dönüşen meslekler: Yapay zeka eğiticisi, müşteri deneyimi tasarımcısı, karmaşık süreç yöneticisi. Türkiye'deki 1,4 milyon İdari Hizmetler çalışanının önemli bir bölümünü bu risk yakından ilgilendirmektedir.</w:t>
      </w:r>
    </w:p>
    <w:p>
      <w:r>
        <w:rPr>
          <w:b/>
        </w:rPr>
        <w:t xml:space="preserve">Muhasebe ve Finans — Dijital Muhasebe Araçları: </w:t>
      </w:r>
      <w:r>
        <w:t>E-fatura, e-defter ve bulut muhasebe yazılımları, basit muhasebe tutma ve kayıt görevlerini minimize etmiştir. Yok olan meslekler: Basit defter tutucusu, ödeme takip görevlisi. Dönüşen meslekler: Finansal analiz uzmanı, vergi danışmanı, CFO yardımcısı. Bu dönüşüm KOBİ'lerde çalışan düşük nitelikli muhasebe personelini doğrudan etkilemektedir.</w:t>
      </w:r>
    </w:p>
    <w:p>
      <w:r>
        <w:rPr>
          <w:b/>
        </w:rPr>
        <w:t xml:space="preserve">Sağlık — Dijital Sağlık ve Tele-tıp Dönüşümü: </w:t>
      </w:r>
      <w:r>
        <w:t>MHRS, tele-tıp ve yapay zeka destekli görüntü analizi sistemleri yeni roller yaratmaktadır. Dönüşen meslekler: Uzaktan hasta takip koordinatörü, dijital sağlık veri analisti, tele-tıp hemşiresi. Kırsal bölgelerdeki sağlık çalışanları uzaktan hizmet sunum modellerine adapte olmak durumundadır.</w:t>
      </w:r>
    </w:p>
    <w:p>
      <w:r>
        <w:rPr>
          <w:b/>
        </w:rPr>
        <w:t xml:space="preserve">Lojistik ve Ulaştırma — Otonom Araçlar ve Akıllı Depo: </w:t>
      </w:r>
      <w:r>
        <w:t>Otonom araç teknolojisi ve otomatik depo sistemleri (AGV, robotik paketleme) geleneksel sürücü ve depo görevlerini dönüştürmektedir. Yok olan meslekler: Manuel depo sayım görevlisi, basit rota kurye. Dönüşen meslekler: Otonom araç filoya yöneticisi, akıllı depo sistem operatörü, son mil lojistik koordinatörü.</w:t>
      </w:r>
    </w:p>
    <w:p>
      <w:pPr>
        <w:pStyle w:val="Heading3"/>
      </w:pPr>
      <w:r>
        <w:t>Türkiye'de İşgücü Uyum Politikası Ne Yapmalı?</w:t>
      </w:r>
    </w:p>
    <w:p>
      <w:r>
        <w:rPr>
          <w:b w:val="0"/>
          <w:i w:val="0"/>
        </w:rPr>
        <w:t>TÜSİAD'ın (2023) verilerine göre Türk gençlerinin üçte biri NEET (ne eğitimde ne istihdamda) konumundadır. Bu yapısal sorun, işgücü uyum kapasitesini en baştan kısıtlamaktadır. Card, Kluve ve Weber'in (2018) 200+ ALMP programını kapsayan meta-analizi, mesleki eğitim programlarının orta vadede en kalıcı istihdam ve kazanç artışını sağladığını ortaya koymaktadır. OECD ülkeleri GSYİH'nin ortalama %0,62'sini ALMP'ye ayırırken Türkiye bu benchmarkın belirgin altında kalmaktadır.</w:t>
      </w:r>
    </w:p>
    <w:p>
      <w:r>
        <w:rPr>
          <w:b w:val="0"/>
          <w:i w:val="0"/>
        </w:rPr>
        <w:t>İŞKUR'un mevcut programları —mesleki eğitim kursları, işbaşı eğitimi, girişimcilik desteği, istihdam garantili kurslar— değerli ancak yetersiz kalan araçlardır. Dünya Bankası'nın (2023) İŞKUR değerlendirmesi, gençler için işbaşı eğitim programlarının istihdam ve kazanç artışı sağladığını teyit etmektedir. Ancak programların ölçeği, sektörel uyumu ve işverenle koordinasyonu güçlendirilmesi gerekmektedir.</w:t>
      </w:r>
    </w:p>
    <w:p>
      <w:r>
        <w:rPr>
          <w:b w:val="0"/>
          <w:i w:val="0"/>
        </w:rPr>
        <w:t>Sektörel beceri dönüşümü için politika önerileri: (i) İmalat sanayi SGK teşviki ile eş zamanlı olarak CNC operatörlüğü, robotik bakım ve endüstriyel IoT kursları açılmalı; (ii) İdari Hizmetler teşviki ile birlikte müşteri deneyimi ve yapay zeka eğitimi entegre edilmeli; (iii) Bilgi-İletişim teşvikine koşut yazılım, veri bilimi ve siber güvenlik bootcamp'leri desteklenmeli; (iv) Sağlık sektörü teşvikiyle birlikte tele-tıp hemşiresi ve dijital sağlık koordinatörü yetiştirme programları hayata geçirilmeli; (v) Her teşvik başvurusuna sektörel eğitim planı eklenmesi şartı getirilmeli, eğitimi tamamlayan çalışanlar için ek SGK indirimi tanınmalıdır. Tüm bu programlar İŞKUR veri tabanı aracılığıyla izlenmeli ve Card et al. (2018) meta-analizinin önerdiği bağımsız etki değerlendirmesine tabi tutulmalıdır.</w:t>
      </w:r>
    </w:p>
    <w:p>
      <w:r>
        <w:br w:type="page"/>
      </w:r>
    </w:p>
    <w:p>
      <w:pPr>
        <w:pStyle w:val="Heading1"/>
      </w:pPr>
      <w:r>
        <w:t>8. SONUÇ VE DEĞERLENDİRME</w:t>
      </w:r>
    </w:p>
    <w:p>
      <w:r>
        <w:rPr>
          <w:b w:val="0"/>
          <w:i w:val="0"/>
        </w:rPr>
        <w:t>Bu rapor, Türkiye'nin sektörel işgücü yapısını küresel ekonomik gelişmeler ve uluslararası kurum önerileri perspektifinden analiz etmiştir. Temel bulgular şu şekilde özetlenebilir:</w:t>
      </w:r>
    </w:p>
    <w:p>
      <w:pPr>
        <w:pStyle w:val="ListBullet"/>
        <w:ind w:firstLine="0"/>
      </w:pPr>
      <w:r>
        <w:t>Türkiye ekonomisinde 7 sektör (İmalat, İnşaat, İdari Destek, Konaklama, Sağlık, Mesleki Faaliyetler, Eğitim) hem yüksek istihdam kapasitesine sahip hem de yüksek işgücü maliyeti taşımaktadır. Bu sektörler toplam istihdamın yaklaşık %70'ini oluşturmakta ve teşvik politikalarının birincil hedef grubudur. Kamu Yönetimi ve Savunma, GKD ölçüm metodolojisi nedeniyle teşvik kapsamı dışında tutulmuştur.</w:t>
      </w:r>
    </w:p>
    <w:p>
      <w:pPr>
        <w:pStyle w:val="ListBullet"/>
        <w:ind w:firstLine="0"/>
      </w:pPr>
      <w:r>
        <w:t>AB CBAM'ın 2026'da yürürlüğe girmesi, Türkiye imalat sanayinin yeşil dönüşümünü acil bir öncelik haline getirmiştir. Yılda 8 milyar Euro'luk ihracatın korunması için karbon yoğunluğunun düşürülmesi, bu süreçte istihdamın desteklenmesi kritiktir.</w:t>
      </w:r>
    </w:p>
    <w:p>
      <w:pPr>
        <w:pStyle w:val="ListBullet"/>
        <w:ind w:firstLine="0"/>
      </w:pPr>
      <w:r>
        <w:t>OECD'nin kadın işgücü katılımı, hizmetler sektörü düzenlemeleri ve kayıt dışılık konularındaki önerileri, teşvik politikalarının tasarımında gözetilmelidir. Okul öncesi eğitime GSYH'nin %0,8'inin ayrılması kişi başı geliri %6 artırabilir.</w:t>
      </w:r>
    </w:p>
    <w:p>
      <w:pPr>
        <w:pStyle w:val="ListBullet"/>
        <w:ind w:firstLine="0"/>
      </w:pPr>
      <w:r>
        <w:t>Dijital dönüşüm ve yapay zeka alanında Bilgi ve İletişim sektörünün stratejik olarak desteklenmesi, Türkiye'nin küresel değer zincirlerinde yukarı doğru hareketini hızlandıracaktır.</w:t>
      </w:r>
    </w:p>
    <w:p>
      <w:pPr>
        <w:pStyle w:val="ListBullet"/>
        <w:ind w:firstLine="0"/>
      </w:pPr>
      <w:r>
        <w:t>Teşvik politikalarında ölü ağırlık kaybı, ikame etkisi ve mali sürdürülebilirlik riskleri dikkatlice yönetilmeli; net istihdam artışı koşulu, kademeli çıkış mekanizması ve yıllık maliyet-fayda analizi zorunlu tutulmalıdır.</w:t>
      </w:r>
    </w:p>
    <w:p>
      <w:r>
        <w:rPr>
          <w:b w:val="0"/>
          <w:i w:val="0"/>
        </w:rPr>
        <w:t>Sonuç olarak, Türkiye'nin istihdam teşviki politikaları tek boyutlu değil, sektörel, bölgesel, cinsiyet ve nitelik düzeyine göre farklılaştırılmış; küresel megatrendlerle (yeşil dönüşüm, dijitalleşme, AI) uyumlu ve uluslararası kurum önerileriyle tutarlı bir şekilde tasarlanmalıdır.</w:t>
      </w:r>
    </w:p>
    <w:p>
      <w:r>
        <w:br w:type="page"/>
      </w:r>
    </w:p>
    <w:p>
      <w:pPr>
        <w:pStyle w:val="Heading1"/>
      </w:pPr>
      <w:r>
        <w:t>KAYNAKÇA</w:t>
      </w:r>
    </w:p>
    <w:p>
      <w:pPr>
        <w:spacing w:after="120"/>
        <w:ind w:firstLine="0" w:left="709"/>
      </w:pPr>
      <w:r>
        <w:rPr>
          <w:sz w:val="22"/>
        </w:rPr>
        <w:t>European Commission (2025). Carbon Border Adjustment Mechanism (CBAM). https://taxation-customs.ec.europa.eu/carbon-border-adjustment-mechanism_en</w:t>
      </w:r>
    </w:p>
    <w:p>
      <w:pPr>
        <w:spacing w:after="120"/>
        <w:ind w:firstLine="0" w:left="709"/>
      </w:pPr>
      <w:r>
        <w:rPr>
          <w:sz w:val="22"/>
        </w:rPr>
        <w:t>France Stratégie (2020). Les Effets du CICE sur l'Emploi, l'Investissement et la Compétitivité des Entreprises. Comité de Suivi du CICE.</w:t>
      </w:r>
    </w:p>
    <w:p>
      <w:pPr>
        <w:spacing w:after="120"/>
        <w:ind w:firstLine="0" w:left="709"/>
      </w:pPr>
      <w:r>
        <w:rPr>
          <w:sz w:val="22"/>
        </w:rPr>
        <w:t>GOV.UK (2025). Changes to the Class 1 National Insurance Contributions Secondary Threshold. https://www.gov.uk/government/publications/changes-to-the-class-1-national-insurance-contributions-secondary-threshold</w:t>
      </w:r>
    </w:p>
    <w:p>
      <w:pPr>
        <w:spacing w:after="120"/>
        <w:ind w:firstLine="0" w:left="709"/>
      </w:pPr>
      <w:r>
        <w:rPr>
          <w:sz w:val="22"/>
        </w:rPr>
        <w:t>Hartmann, M., Kluve, J. ve Schmitz, S. (2013). Identifying Workers at Risk of Deadweight Loss and Substitution Effects. IAB Discussion Paper No. 05/2013. Institute for Employment Research. https://doku.iab.de/discussionpapers/2013/dp0513.pdf</w:t>
      </w:r>
    </w:p>
    <w:p>
      <w:pPr>
        <w:spacing w:after="120"/>
        <w:ind w:firstLine="0" w:left="709"/>
      </w:pPr>
      <w:r>
        <w:rPr>
          <w:sz w:val="22"/>
        </w:rPr>
        <w:t>ICAP (2025). Türkiye Adopts Landmark Climate Law, Paving the Way for National ETS. International Carbon Action Partnership. https://icapcarbonaction.com/en/news/turkiye-adopts-landmark-climate-law-paving-way-national-ets</w:t>
      </w:r>
    </w:p>
    <w:p>
      <w:pPr>
        <w:spacing w:after="120"/>
        <w:ind w:firstLine="0" w:left="709"/>
      </w:pPr>
      <w:r>
        <w:rPr>
          <w:sz w:val="22"/>
        </w:rPr>
        <w:t>IISD (2025). EU Carbon Border Adjustment Mechanism Is Set to Get Bigger: Implications for Trade and Industrial Value Chains. International Institute for Sustainable Development. https://www.iisd.org/articles/explainer/eu-carbon-border-adjustment-mechanism-bigger-trade-implications</w:t>
      </w:r>
    </w:p>
    <w:p>
      <w:pPr>
        <w:spacing w:after="120"/>
        <w:ind w:firstLine="0" w:left="709"/>
      </w:pPr>
      <w:r>
        <w:rPr>
          <w:sz w:val="22"/>
        </w:rPr>
        <w:t>ILO (2025). World Employment and Social Outlook: Trends 2025. International Labour Organization. https://www.ilo.org/publications/flagship-reports/world-employment-and-social-outlook-trends-2025</w:t>
      </w:r>
    </w:p>
    <w:p>
      <w:pPr>
        <w:spacing w:after="120"/>
        <w:ind w:firstLine="0" w:left="709"/>
      </w:pPr>
      <w:r>
        <w:rPr>
          <w:sz w:val="22"/>
        </w:rPr>
        <w:t>IZA (2023). Can Hiring Subsidies Benefit the Unemployed? IZA World of Labor. https://wol.iza.org/articles/can-hiring-subsidies-benefit-unemployed/long</w:t>
      </w:r>
    </w:p>
    <w:p>
      <w:pPr>
        <w:spacing w:after="120"/>
        <w:ind w:firstLine="0" w:left="709"/>
      </w:pPr>
      <w:r>
        <w:rPr>
          <w:sz w:val="22"/>
        </w:rPr>
        <w:t>IMF (2025a). World Economic Outlook, October 2025: Global Economy in Flux, Prospects Remain Dim. International Monetary Fund. https://www.imf.org/en/publications/weo/issues/2025/10/14/world-economic-outlook-october-2025</w:t>
      </w:r>
    </w:p>
    <w:p>
      <w:pPr>
        <w:spacing w:after="120"/>
        <w:ind w:firstLine="0" w:left="709"/>
      </w:pPr>
      <w:r>
        <w:rPr>
          <w:sz w:val="22"/>
        </w:rPr>
        <w:t>IMF (2025b). World Economic Outlook Update, July 2025: Global Economy: Tenuous Resilience amid Persistent Uncertainty. International Monetary Fund. https://www.imf.org/en/publications/weo/issues/2025/07/29/world-economic-outlook-update-july-2025</w:t>
      </w:r>
    </w:p>
    <w:p>
      <w:pPr>
        <w:spacing w:after="120"/>
        <w:ind w:firstLine="0" w:left="709"/>
      </w:pPr>
      <w:r>
        <w:rPr>
          <w:sz w:val="22"/>
        </w:rPr>
        <w:t>IMF (2026). World Economic Outlook Update, January 2026: Global Economy: Steady amid Divergent Forces. International Monetary Fund. https://www.imf.org/en/publications/weo/issues/2026/01/19/world-economic-outlook-update-january-2026</w:t>
      </w:r>
    </w:p>
    <w:p>
      <w:pPr>
        <w:spacing w:after="120"/>
        <w:ind w:firstLine="0" w:left="709"/>
      </w:pPr>
      <w:r>
        <w:rPr>
          <w:sz w:val="22"/>
        </w:rPr>
        <w:t>MOEL (2024). Employment Policy Overview. Republic of Korea Ministry of Employment and Labor. https://www.moel.go.kr/english/policy/employment.do</w:t>
      </w:r>
    </w:p>
    <w:p>
      <w:pPr>
        <w:spacing w:after="120"/>
        <w:ind w:firstLine="0" w:left="709"/>
      </w:pPr>
      <w:r>
        <w:rPr>
          <w:sz w:val="22"/>
        </w:rPr>
        <w:t>OECD (2024b). Breaking the Vicious Circles of Informal Employment and Low-Paying Work. OECD Publishing. https://www.oecd.org/content/dam/oecd/en/publications/reports/2024/01/breaking-the-vicious-circles-of-informal-employment-and-low-paying-work_040b6f24/f95c5a74-en.pdf</w:t>
      </w:r>
    </w:p>
    <w:p>
      <w:pPr>
        <w:spacing w:after="120"/>
        <w:ind w:firstLine="0" w:left="709"/>
      </w:pPr>
      <w:r>
        <w:rPr>
          <w:sz w:val="22"/>
        </w:rPr>
        <w:t>OECD (2025). OECD Economic Surveys: Türkiye 2025. Organisation for Economic Co-operation and Development. https://www.oecd.org/en/publications/oecd-economic-surveys-turkiye-2025_d01c660f-en.html</w:t>
      </w:r>
    </w:p>
    <w:p>
      <w:pPr>
        <w:spacing w:after="120"/>
        <w:ind w:firstLine="0" w:left="709"/>
      </w:pPr>
      <w:r>
        <w:rPr>
          <w:sz w:val="22"/>
        </w:rPr>
        <w:t>OECD (2025b). OECD Compendium of Productivity Indicators 2025. Organisation for Economic Co-operation and Development. https://www.oecd.org/en/publications/oecd-compendium-of-productivity-indicators-2025_b024d9e1-en.html</w:t>
      </w:r>
    </w:p>
    <w:p>
      <w:pPr>
        <w:spacing w:after="120"/>
        <w:ind w:firstLine="0" w:left="709"/>
      </w:pPr>
      <w:r>
        <w:rPr>
          <w:sz w:val="22"/>
        </w:rPr>
        <w:t>OECD (2025c). Türkiye: OECD Economic Outlook, Volume 2025 Issue 2. https://www.oecd.org/en/publications/2025/12/oecd-economic-outlook-volume-2025-issue-2_413f7d0a/full-report/turkiye_59622ed2.html</w:t>
      </w:r>
    </w:p>
    <w:p>
      <w:pPr>
        <w:spacing w:after="120"/>
        <w:ind w:firstLine="0" w:left="709"/>
      </w:pPr>
      <w:r>
        <w:rPr>
          <w:sz w:val="22"/>
        </w:rPr>
        <w:t>OECD (2025d). Taxing Wages 2025: Tax Burden on Labour Income in OECD Countries. Organisation for Economic Co-operation and Development. https://www.oecd.org/en/publications/2025/04/taxing-wages-2025_20d1a01d.html</w:t>
      </w:r>
    </w:p>
    <w:p>
      <w:pPr>
        <w:spacing w:after="120"/>
        <w:ind w:firstLine="0" w:left="709"/>
      </w:pPr>
      <w:r>
        <w:rPr>
          <w:sz w:val="22"/>
        </w:rPr>
        <w:t>Tax Foundation (2025). Kurzarbeit: Germany's Short-Work Subsidy Scheme. https://taxfoundation.org/blog/kurzarbeit-germany-short-work-subsidy-scheme/</w:t>
      </w:r>
    </w:p>
    <w:p>
      <w:pPr>
        <w:spacing w:after="120"/>
        <w:ind w:firstLine="0" w:left="709"/>
      </w:pPr>
      <w:r>
        <w:rPr>
          <w:sz w:val="22"/>
        </w:rPr>
        <w:t>URSSAF (2025). Réduction Générale des Cotisations Patronales. https://www.urssaf.fr/accueil/employeur/beneficier-exonerations/reduction-generale-cotisation.html</w:t>
      </w:r>
    </w:p>
    <w:p>
      <w:pPr>
        <w:spacing w:after="120"/>
        <w:ind w:firstLine="0" w:left="709"/>
      </w:pPr>
      <w:r>
        <w:rPr>
          <w:sz w:val="22"/>
        </w:rPr>
        <w:t>SGK (2024). Yıllık Bölüm 1: Sigortalı ve İş Yeri İstatistikleri, 2024. Sosyal Güvenlik Kurumu.</w:t>
      </w:r>
    </w:p>
    <w:p>
      <w:pPr>
        <w:spacing w:after="120"/>
        <w:ind w:firstLine="0" w:left="709"/>
      </w:pPr>
      <w:r>
        <w:rPr>
          <w:sz w:val="22"/>
        </w:rPr>
        <w:t>T.C. Cumhurbaşkanlığı Strateji ve Bütçe Başkanlığı (2025). Orta Vadeli Program (2026-2028). Resmî Gazete.</w:t>
      </w:r>
    </w:p>
    <w:p>
      <w:pPr>
        <w:spacing w:after="120"/>
        <w:ind w:firstLine="0" w:left="709"/>
      </w:pPr>
      <w:r>
        <w:rPr>
          <w:sz w:val="22"/>
        </w:rPr>
        <w:t>T.C. Cumhurbaşkanlığı (2024). Ulusal Yapay Zeka Stratejisi 2021-2025 (2024 Güncelleme). https://regulations.ai/regulations/turkey-ai-strategy-2021-2025</w:t>
      </w:r>
    </w:p>
    <w:p>
      <w:pPr>
        <w:spacing w:after="120"/>
        <w:ind w:firstLine="0" w:left="709"/>
      </w:pPr>
      <w:r>
        <w:rPr>
          <w:sz w:val="22"/>
        </w:rPr>
        <w:t>TÜİK (2024). İktisadi Faaliyet Kollarına Göre Gelir Yöntemiyle Gayrisafi Yurtiçi Hasıla (Cari Fiyatlarla), Tablo I.2.14. Türkiye İstatistik Kurumu.</w:t>
      </w:r>
    </w:p>
    <w:p>
      <w:pPr>
        <w:spacing w:after="120"/>
        <w:ind w:firstLine="0" w:left="709"/>
      </w:pPr>
      <w:r>
        <w:rPr>
          <w:sz w:val="22"/>
        </w:rPr>
        <w:t>UNIDO (2024). Industrial Development Report 2024. United Nations Industrial Development Organization. https://www.unido.org/sites/default/files/unido-publications/2023-11/IDR24-OVERVIEW_1.pdf</w:t>
      </w:r>
    </w:p>
    <w:p>
      <w:pPr>
        <w:spacing w:after="120"/>
        <w:ind w:firstLine="0" w:left="709"/>
      </w:pPr>
      <w:r>
        <w:rPr>
          <w:sz w:val="22"/>
        </w:rPr>
        <w:t>UNIDO (2025). International Yearbook of Industrial Statistics 2025. United Nations Industrial Development Organization. https://www.unido.org/sites/default/files/unido-publications/2025-11/UNIDO%20Industrial%20StatisticsYearbook%202025.pdf</w:t>
      </w:r>
    </w:p>
    <w:p>
      <w:pPr>
        <w:spacing w:after="120"/>
        <w:ind w:firstLine="0" w:left="709"/>
      </w:pPr>
      <w:r>
        <w:rPr>
          <w:sz w:val="22"/>
        </w:rPr>
        <w:t>VoxDev (2024). Can Temporary Wage Incentives Increase Formal Employment? Experimental Evidence from Mexico. https://voxdev.org/topic/labour-markets/can-temporary-wage-incentives-increase-formal-employment-experimental-evidence</w:t>
      </w:r>
    </w:p>
    <w:p>
      <w:pPr>
        <w:spacing w:after="120"/>
        <w:ind w:firstLine="0" w:left="709"/>
      </w:pPr>
      <w:r>
        <w:rPr>
          <w:sz w:val="22"/>
        </w:rPr>
        <w:t>WEF (2025). The Impact of the EU's CBAM on Business and the Carbon-Pricing Landscape. World Economic Forum. https://www.weforum.org/stories/2025/12/eu-cbam-impact-business-carbon-pricing-landscape/</w:t>
      </w:r>
    </w:p>
    <w:p>
      <w:pPr>
        <w:spacing w:after="120"/>
        <w:ind w:firstLine="0" w:left="709"/>
      </w:pPr>
      <w:r>
        <w:rPr>
          <w:sz w:val="22"/>
        </w:rPr>
        <w:t>World Bank (2025). Türkiye Country Economic Memorandum: Jobs for Prosperity. https://documents.worldbank.org/en/publication/documents-reports/documentdetail/099091725075068918</w:t>
      </w:r>
    </w:p>
    <w:p>
      <w:pPr>
        <w:spacing w:after="120"/>
        <w:ind w:firstLine="0" w:left="709"/>
      </w:pPr>
      <w:r>
        <w:rPr>
          <w:sz w:val="22"/>
        </w:rPr>
        <w:t>World Bank (2025b). Türkiye Macro Poverty Outlook. https://thedocs.worldbank.org/en/doc/d5f32ef28464d01f195827b7e020a3e8-0500022021/related/mpo-tur.pdf</w:t>
      </w:r>
    </w:p>
    <w:p>
      <w:pPr>
        <w:spacing w:after="120"/>
        <w:ind w:firstLine="0" w:left="709"/>
      </w:pPr>
      <w:r>
        <w:rPr>
          <w:sz w:val="22"/>
        </w:rPr>
        <w:t>Brookings Institution (2015). America's Advanced Industries: New Trends. Brookings Institution Press.</w:t>
      </w:r>
    </w:p>
    <w:p>
      <w:pPr>
        <w:spacing w:after="120"/>
        <w:ind w:firstLine="0" w:left="709"/>
      </w:pPr>
      <w:r>
        <w:rPr>
          <w:sz w:val="22"/>
        </w:rPr>
        <w:t>Card, D., Kluve, J. ve Weber, A. (2018). What Works? A Meta Analysis of Recent Active Labor Market Program Evaluations. Journal of the European Economic Association, 16(3), 894-931.</w:t>
      </w:r>
    </w:p>
    <w:p>
      <w:pPr>
        <w:spacing w:after="120"/>
        <w:ind w:firstLine="0" w:left="709"/>
      </w:pPr>
      <w:r>
        <w:rPr>
          <w:sz w:val="22"/>
        </w:rPr>
        <w:t>IZA (2016). Do Employment Subsidies Work? Evidence from Regionally Targeted Subsidies in Turkey. IZA Discussion Paper No. 9993. Institute of Labor Economics. https://docs.iza.org/dp9993.pdf</w:t>
      </w:r>
    </w:p>
    <w:p>
      <w:pPr>
        <w:spacing w:after="120"/>
        <w:ind w:firstLine="0" w:left="709"/>
      </w:pPr>
      <w:r>
        <w:rPr>
          <w:sz w:val="22"/>
        </w:rPr>
        <w:t>Moretti, E. (2010). Local Multipliers. American Economic Review: Papers and Proceedings, 100(2), 373-377.</w:t>
      </w:r>
    </w:p>
    <w:p>
      <w:pPr>
        <w:spacing w:after="120"/>
        <w:ind w:firstLine="0" w:left="709"/>
      </w:pPr>
      <w:r>
        <w:rPr>
          <w:sz w:val="22"/>
        </w:rPr>
        <w:t>NAM — National Association of Manufacturers (2025). Manufacturing Economic Impact. https://nam.org/manufacturing-economic-impact/</w:t>
      </w:r>
    </w:p>
    <w:p>
      <w:pPr>
        <w:spacing w:after="120"/>
        <w:ind w:firstLine="0" w:left="709"/>
      </w:pPr>
      <w:r>
        <w:rPr>
          <w:sz w:val="22"/>
        </w:rPr>
        <w:t>OECD (2015). OECD Product Market Regulation Indicators for Türkiye. Organisation for Economic Co-operation and Development. https://stats.oecd.org/Index.aspx?DataSetCode=PMR</w:t>
      </w:r>
    </w:p>
    <w:p>
      <w:pPr>
        <w:spacing w:after="120"/>
        <w:ind w:firstLine="0" w:left="709"/>
      </w:pPr>
      <w:r>
        <w:rPr>
          <w:sz w:val="22"/>
        </w:rPr>
        <w:t>TEPAV (2024). Türkiye Ekonomi Görünümü. Ekonomi Politikaları Araştırma Vakfı. https://www.tepav.org.tr</w:t>
      </w:r>
    </w:p>
    <w:p>
      <w:pPr>
        <w:spacing w:after="120"/>
        <w:ind w:firstLine="0" w:left="709"/>
      </w:pPr>
      <w:r>
        <w:rPr>
          <w:sz w:val="22"/>
        </w:rPr>
        <w:t>TÜSİAD (2023). Türkiye'de Dijital Dönüşümün İstihdam ve Beceriler Üzerindeki Etkisi. Türk Sanayicileri ve İş İnsanları Derneği.</w:t>
      </w:r>
    </w:p>
    <w:p>
      <w:pPr>
        <w:spacing w:after="120"/>
        <w:ind w:firstLine="0" w:left="709"/>
      </w:pPr>
      <w:r>
        <w:rPr>
          <w:sz w:val="22"/>
        </w:rPr>
        <w:t>WEF (2025). Future of Jobs Report 2025. World Economic Forum. https://reports.weforum.org/docs/WEF_Future_of_Jobs_Report_2025.pdf</w:t>
      </w:r>
    </w:p>
    <w:p>
      <w:pPr>
        <w:spacing w:after="120"/>
        <w:ind w:firstLine="0" w:left="709"/>
      </w:pPr>
      <w:r>
        <w:rPr>
          <w:sz w:val="22"/>
        </w:rPr>
        <w:t>World Bank (2023). Türkiye: Evaluating the Impact of İŞKUR Vocational Training Programs. World Bank Group.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