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88" w:lineRule="auto"/>
        <w:jc w:val="center"/>
      </w:pPr>
      <w:r>
        <w:rPr>
          <w:rFonts w:ascii="Arial" w:hAnsi="Arial" w:eastAsia="黑体" w:cs="Arial"/>
          <w:b/>
          <w:i w:val="0"/>
          <w:sz w:val="36"/>
        </w:rPr>
        <w:t>《AI在材料科学中的应用》授课计划</w:t>
      </w:r>
    </w:p>
    <w:p>
      <w:pPr>
        <w:spacing w:after="200" w:line="288" w:lineRule="auto"/>
        <w:jc w:val="center"/>
      </w:pPr>
      <w:r>
        <w:rPr>
          <w:rFonts w:ascii="Arial" w:hAnsi="Arial" w:eastAsia="黑体" w:cs="Arial"/>
          <w:b/>
          <w:i w:val="0"/>
          <w:sz w:val="30"/>
        </w:rPr>
        <w:t>Course Teaching Plan</w:t>
      </w:r>
    </w:p>
    <w:p>
      <w:pPr>
        <w:spacing w:after="0" w:line="288" w:lineRule="auto"/>
        <w:jc w:val="left"/>
      </w:pPr>
      <w:r>
        <w:rPr>
          <w:rFonts w:ascii="Times New Roman" w:hAnsi="Times New Roman" w:eastAsia="宋体" w:cs="Times New Roman"/>
          <w:b w:val="0"/>
          <w:i w:val="0"/>
          <w:sz w:val="21"/>
        </w:rPr>
        <w:t>V5 · 科研工作流与决策整合版｜2026-10-24｜配套《教学大纲-V5-科研工作流与决策整合版.md》</w:t>
      </w:r>
    </w:p>
    <w:p>
      <w:pPr>
        <w:spacing w:after="0" w:line="288" w:lineRule="auto"/>
        <w:jc w:val="left"/>
      </w:pPr>
      <w:r>
        <w:rPr>
          <w:rFonts w:ascii="Times New Roman" w:hAnsi="Times New Roman" w:eastAsia="宋体" w:cs="Times New Roman"/>
          <w:b w:val="0"/>
          <w:i w:val="0"/>
          <w:sz w:val="21"/>
        </w:rPr>
        <w:t>1012680110｜材料与化学学院｜材料科学与工程博士生｜2学分、32学时、考查</w:t>
      </w:r>
    </w:p>
    <w:p>
      <w:pPr>
        <w:spacing w:after="0" w:line="288" w:lineRule="auto"/>
        <w:jc w:val="left"/>
      </w:pPr>
      <w:r>
        <w:rPr>
          <w:rFonts w:ascii="Times New Roman" w:hAnsi="Times New Roman" w:eastAsia="宋体" w:cs="Times New Roman"/>
          <w:b w:val="0"/>
          <w:i w:val="0"/>
          <w:sz w:val="21"/>
        </w:rPr>
        <w:t>开课单位：材料与化学学院｜授课教师：计算机科学与技术学院 何刚 教授</w:t>
      </w:r>
    </w:p>
    <w:p>
      <w:pPr>
        <w:spacing w:after="0" w:line="288" w:lineRule="auto"/>
        <w:jc w:val="left"/>
      </w:pPr>
      <w:r>
        <w:rPr>
          <w:rFonts w:ascii="Times New Roman" w:hAnsi="Times New Roman" w:eastAsia="宋体" w:cs="Times New Roman"/>
          <w:b w:val="0"/>
          <w:i w:val="0"/>
          <w:sz w:val="21"/>
        </w:rPr>
        <w:t>8周 × 每周4学时；按16个2学时单元设计，1学时=45教学分钟，每讲90分钟，休息另计。</w:t>
      </w:r>
    </w:p>
    <w:p>
      <w:pPr>
        <w:spacing w:after="0" w:line="288" w:lineRule="auto"/>
        <w:jc w:val="left"/>
      </w:pPr>
      <w:r>
        <w:rPr>
          <w:rFonts w:ascii="Times New Roman" w:hAnsi="Times New Roman" w:eastAsia="宋体" w:cs="Times New Roman"/>
          <w:b w:val="0"/>
          <w:i w:val="0"/>
          <w:sz w:val="21"/>
        </w:rPr>
        <w:t>按11—30人设计；学生自带电脑；项目以个人或2—3人小组完成，课堂答辩容量目标不超过10项。</w:t>
      </w:r>
    </w:p>
    <w:p>
      <w:pPr>
        <w:spacing w:after="0"/>
      </w:pPr>
    </w:p>
    <w:p>
      <w:pPr>
        <w:keepNext/>
        <w:spacing w:before="200" w:after="100"/>
        <w:jc w:val="left"/>
      </w:pPr>
      <w:r>
        <w:rPr>
          <w:rFonts w:ascii="Arial" w:hAnsi="Arial" w:eastAsia="黑体" w:cs="Arial"/>
          <w:b/>
          <w:i w:val="0"/>
          <w:sz w:val="28"/>
        </w:rPr>
        <w:t>一、执行原则与课前清单</w:t>
      </w:r>
    </w:p>
    <w:p>
      <w:pPr>
        <w:spacing w:before="0" w:after="0"/>
        <w:ind w:left="480" w:hanging="240"/>
      </w:pPr>
      <w:r>
        <w:rPr>
          <w:rFonts w:ascii="Times New Roman" w:hAnsi="Times New Roman" w:eastAsia="宋体" w:cs="Times New Roman"/>
          <w:b w:val="0"/>
          <w:i w:val="0"/>
          <w:sz w:val="24"/>
        </w:rPr>
        <w:t>·  以课程问题链组织内容。第2讲即明确样本单位、训练/测试与基线；第8讲系统学习可信评估。</w:t>
      </w:r>
    </w:p>
    <w:p>
      <w:pPr>
        <w:spacing w:before="0" w:after="0"/>
        <w:ind w:left="480" w:hanging="240"/>
      </w:pPr>
      <w:r>
        <w:rPr>
          <w:rFonts w:ascii="Times New Roman" w:hAnsi="Times New Roman" w:eastAsia="宋体" w:cs="Times New Roman"/>
          <w:b w:val="0"/>
          <w:i w:val="0"/>
          <w:sz w:val="24"/>
        </w:rPr>
        <w:t>·  前五讲保留已有主题和素材，PPT划分必讲页与补充页，不因现有页数而压缩学生练习。</w:t>
      </w:r>
    </w:p>
    <w:p>
      <w:pPr>
        <w:spacing w:before="0" w:after="0"/>
        <w:ind w:left="480" w:hanging="240"/>
      </w:pPr>
      <w:r>
        <w:rPr>
          <w:rFonts w:ascii="Times New Roman" w:hAnsi="Times New Roman" w:eastAsia="宋体" w:cs="Times New Roman"/>
          <w:b w:val="0"/>
          <w:i w:val="0"/>
          <w:sz w:val="24"/>
        </w:rPr>
        <w:t>·  第12讲先讲熵/KL与VAE损失直觉，再介绍生成；迁移学习以判断与对照实验为重点。</w:t>
      </w:r>
    </w:p>
    <w:p>
      <w:pPr>
        <w:spacing w:before="0" w:after="0"/>
        <w:ind w:left="480" w:hanging="240"/>
      </w:pPr>
      <w:r>
        <w:rPr>
          <w:rFonts w:ascii="Times New Roman" w:hAnsi="Times New Roman" w:eastAsia="宋体" w:cs="Times New Roman"/>
          <w:b w:val="0"/>
          <w:i w:val="0"/>
          <w:sz w:val="24"/>
        </w:rPr>
        <w:t>·  第13讲专讲推断与GP、第14讲专讲BO；两次文献交流前移至第8、10讲。</w:t>
      </w:r>
    </w:p>
    <w:p>
      <w:pPr>
        <w:spacing w:before="0" w:after="0"/>
        <w:ind w:left="480" w:hanging="240"/>
      </w:pPr>
      <w:r>
        <w:rPr>
          <w:rFonts w:ascii="Times New Roman" w:hAnsi="Times New Roman" w:eastAsia="宋体" w:cs="Times New Roman"/>
          <w:b w:val="0"/>
          <w:i w:val="0"/>
          <w:sz w:val="24"/>
        </w:rPr>
        <w:t>·  课堂任务必须留下文件/表单或简短答案。代码演示、看预计算结果与学生独立操作须明确区分。</w:t>
      </w:r>
    </w:p>
    <w:p>
      <w:pPr>
        <w:keepNext/>
        <w:spacing w:before="100" w:after="40" w:line="264" w:lineRule="auto"/>
        <w:jc w:val="center"/>
      </w:pPr>
      <w:r>
        <w:rPr>
          <w:rFonts w:ascii="Arial" w:hAnsi="Arial" w:eastAsia="黑体" w:cs="Arial"/>
          <w:b/>
          <w:i w:val="0"/>
          <w:sz w:val="21"/>
        </w:rPr>
        <w:t>表 1　课前准备清单与替代路径</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577"/>
        <w:gridCol w:w="3164"/>
        <w:gridCol w:w="2099"/>
        <w:gridCol w:w="2760"/>
      </w:tblGrid>
      <w:tr>
        <w:trPr>
          <w:cantSplit/>
          <w:tblHeader/>
        </w:trPr>
        <w:tc>
          <w:tcPr>
            <w:tcW w:type="dxa" w:w="1577"/>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时间</w:t>
            </w:r>
          </w:p>
        </w:tc>
        <w:tc>
          <w:tcPr>
            <w:tcW w:type="dxa" w:w="3164"/>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教师准备</w:t>
            </w:r>
          </w:p>
        </w:tc>
        <w:tc>
          <w:tcPr>
            <w:tcW w:type="dxa" w:w="209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学生准备</w:t>
            </w:r>
          </w:p>
        </w:tc>
        <w:tc>
          <w:tcPr>
            <w:tcW w:type="dxa" w:w="276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替代路径</w:t>
            </w:r>
          </w:p>
        </w:tc>
      </w:tr>
      <w:tr>
        <w:trPr>
          <w:cantSplit/>
        </w:trPr>
        <w:tc>
          <w:tcPr>
            <w:tcW w:type="dxa" w:w="1577"/>
            <w:vAlign w:val="center"/>
          </w:tcPr>
          <w:p>
            <w:pPr>
              <w:keepNext/>
              <w:spacing w:before="20" w:after="20" w:line="259" w:lineRule="auto"/>
              <w:ind w:firstLine="0"/>
              <w:jc w:val="left"/>
            </w:pPr>
            <w:r>
              <w:rPr>
                <w:rFonts w:ascii="Times New Roman" w:hAnsi="Times New Roman" w:eastAsia="宋体" w:cs="Times New Roman"/>
                <w:b w:val="0"/>
                <w:i w:val="0"/>
                <w:sz w:val="20"/>
              </w:rPr>
              <w:t>开课前一周</w:t>
            </w:r>
          </w:p>
        </w:tc>
        <w:tc>
          <w:tcPr>
            <w:tcW w:type="dxa" w:w="3164"/>
            <w:vAlign w:val="center"/>
          </w:tcPr>
          <w:p>
            <w:pPr>
              <w:keepNext/>
              <w:spacing w:before="20" w:after="20" w:line="259" w:lineRule="auto"/>
              <w:ind w:firstLine="0"/>
              <w:jc w:val="left"/>
            </w:pPr>
            <w:r>
              <w:rPr>
                <w:rFonts w:ascii="Times New Roman" w:hAnsi="Times New Roman" w:eastAsia="宋体" w:cs="Times New Roman"/>
                <w:b w:val="0"/>
                <w:i w:val="0"/>
                <w:sz w:val="20"/>
              </w:rPr>
              <w:t>验证MICourse基础环境、依赖文件、已选代码、数据来源与许可；公布评分表</w:t>
            </w:r>
          </w:p>
        </w:tc>
        <w:tc>
          <w:tcPr>
            <w:tcW w:type="dxa" w:w="2099"/>
            <w:vAlign w:val="center"/>
          </w:tcPr>
          <w:p>
            <w:pPr>
              <w:keepNext/>
              <w:spacing w:before="20" w:after="20" w:line="259" w:lineRule="auto"/>
              <w:ind w:firstLine="0"/>
              <w:jc w:val="left"/>
            </w:pPr>
            <w:r>
              <w:rPr>
                <w:rFonts w:ascii="Times New Roman" w:hAnsi="Times New Roman" w:eastAsia="宋体" w:cs="Times New Roman"/>
                <w:b w:val="0"/>
                <w:i w:val="0"/>
                <w:sz w:val="20"/>
              </w:rPr>
              <w:t>跑通读取CSV、画图和修改变量的诊断任务</w:t>
            </w:r>
          </w:p>
        </w:tc>
        <w:tc>
          <w:tcPr>
            <w:tcW w:type="dxa" w:w="2760"/>
            <w:vAlign w:val="center"/>
          </w:tcPr>
          <w:p>
            <w:pPr>
              <w:keepNext/>
              <w:spacing w:before="20" w:after="20" w:line="259" w:lineRule="auto"/>
              <w:ind w:firstLine="0"/>
              <w:jc w:val="left"/>
            </w:pPr>
            <w:r>
              <w:rPr>
                <w:rFonts w:ascii="Times New Roman" w:hAnsi="Times New Roman" w:eastAsia="宋体" w:cs="Times New Roman"/>
                <w:b w:val="0"/>
                <w:i w:val="0"/>
                <w:sz w:val="20"/>
              </w:rPr>
              <w:t>先用已有小数据和基础包；不在课堂等待整套深度依赖安装</w:t>
            </w:r>
          </w:p>
        </w:tc>
      </w:tr>
      <w:tr>
        <w:trPr>
          <w:cantSplit/>
        </w:trPr>
        <w:tc>
          <w:tcPr>
            <w:tcW w:type="dxa" w:w="1577"/>
            <w:vAlign w:val="center"/>
          </w:tcPr>
          <w:p>
            <w:pPr>
              <w:keepNext/>
              <w:spacing w:before="20" w:after="20" w:line="259" w:lineRule="auto"/>
              <w:ind w:firstLine="0"/>
              <w:jc w:val="left"/>
            </w:pPr>
            <w:r>
              <w:rPr>
                <w:rFonts w:ascii="Times New Roman" w:hAnsi="Times New Roman" w:eastAsia="宋体" w:cs="Times New Roman"/>
                <w:b w:val="0"/>
                <w:i w:val="0"/>
                <w:sz w:val="20"/>
              </w:rPr>
              <w:t>第3讲前</w:t>
            </w:r>
          </w:p>
        </w:tc>
        <w:tc>
          <w:tcPr>
            <w:tcW w:type="dxa" w:w="3164"/>
            <w:vAlign w:val="center"/>
          </w:tcPr>
          <w:p>
            <w:pPr>
              <w:keepNext/>
              <w:spacing w:before="20" w:after="20" w:line="259" w:lineRule="auto"/>
              <w:ind w:firstLine="0"/>
              <w:jc w:val="left"/>
            </w:pPr>
            <w:r>
              <w:rPr>
                <w:rFonts w:ascii="Times New Roman" w:hAnsi="Times New Roman" w:eastAsia="宋体" w:cs="Times New Roman"/>
                <w:b w:val="0"/>
                <w:i w:val="0"/>
                <w:sz w:val="20"/>
              </w:rPr>
              <w:t>校验MP/NOMAD快照、字段、单位、校验和和来源说明；演示凭据只从本机读取</w:t>
            </w:r>
          </w:p>
        </w:tc>
        <w:tc>
          <w:tcPr>
            <w:tcW w:type="dxa" w:w="2099"/>
            <w:vAlign w:val="center"/>
          </w:tcPr>
          <w:p>
            <w:pPr>
              <w:keepNext/>
              <w:spacing w:before="20" w:after="20" w:line="259" w:lineRule="auto"/>
              <w:ind w:firstLine="0"/>
              <w:jc w:val="left"/>
            </w:pPr>
            <w:r>
              <w:rPr>
                <w:rFonts w:ascii="Times New Roman" w:hAnsi="Times New Roman" w:eastAsia="宋体" w:cs="Times New Roman"/>
                <w:b w:val="0"/>
                <w:i w:val="0"/>
                <w:sz w:val="20"/>
              </w:rPr>
              <w:t>可自行申请API访问；不提交密钥</w:t>
            </w:r>
          </w:p>
        </w:tc>
        <w:tc>
          <w:tcPr>
            <w:tcW w:type="dxa" w:w="2760"/>
            <w:vAlign w:val="center"/>
          </w:tcPr>
          <w:p>
            <w:pPr>
              <w:keepNext/>
              <w:spacing w:before="20" w:after="20" w:line="259" w:lineRule="auto"/>
              <w:ind w:firstLine="0"/>
              <w:jc w:val="left"/>
            </w:pPr>
            <w:r>
              <w:rPr>
                <w:rFonts w:ascii="Times New Roman" w:hAnsi="Times New Roman" w:eastAsia="宋体" w:cs="Times New Roman"/>
                <w:b w:val="0"/>
                <w:i w:val="0"/>
                <w:sz w:val="20"/>
              </w:rPr>
              <w:t>无API账号者用相同快照、完成相同语义和清洗任务</w:t>
            </w:r>
          </w:p>
        </w:tc>
      </w:tr>
      <w:tr>
        <w:trPr>
          <w:cantSplit/>
        </w:trPr>
        <w:tc>
          <w:tcPr>
            <w:tcW w:type="dxa" w:w="1577"/>
            <w:vAlign w:val="center"/>
          </w:tcPr>
          <w:p>
            <w:pPr>
              <w:keepNext/>
              <w:spacing w:before="20" w:after="20" w:line="259" w:lineRule="auto"/>
              <w:ind w:firstLine="0"/>
              <w:jc w:val="left"/>
            </w:pPr>
            <w:r>
              <w:rPr>
                <w:rFonts w:ascii="Times New Roman" w:hAnsi="Times New Roman" w:eastAsia="宋体" w:cs="Times New Roman"/>
                <w:b w:val="0"/>
                <w:i w:val="0"/>
                <w:sz w:val="20"/>
              </w:rPr>
              <w:t>第5讲前</w:t>
            </w:r>
          </w:p>
        </w:tc>
        <w:tc>
          <w:tcPr>
            <w:tcW w:type="dxa" w:w="3164"/>
            <w:vAlign w:val="center"/>
          </w:tcPr>
          <w:p>
            <w:pPr>
              <w:keepNext/>
              <w:spacing w:before="20" w:after="20" w:line="259" w:lineRule="auto"/>
              <w:ind w:firstLine="0"/>
              <w:jc w:val="left"/>
            </w:pPr>
            <w:r>
              <w:rPr>
                <w:rFonts w:ascii="Times New Roman" w:hAnsi="Times New Roman" w:eastAsia="宋体" w:cs="Times New Roman"/>
                <w:b w:val="0"/>
                <w:i w:val="0"/>
                <w:sz w:val="20"/>
              </w:rPr>
              <w:t>检查周期结构/分子文件和RDKit路径；准备小图</w:t>
            </w:r>
          </w:p>
        </w:tc>
        <w:tc>
          <w:tcPr>
            <w:tcW w:type="dxa" w:w="2099"/>
            <w:vAlign w:val="center"/>
          </w:tcPr>
          <w:p>
            <w:pPr>
              <w:keepNext/>
              <w:spacing w:before="20" w:after="20" w:line="259" w:lineRule="auto"/>
              <w:ind w:firstLine="0"/>
              <w:jc w:val="left"/>
            </w:pPr>
            <w:r>
              <w:rPr>
                <w:rFonts w:ascii="Times New Roman" w:hAnsi="Times New Roman" w:eastAsia="宋体" w:cs="Times New Roman"/>
                <w:b w:val="0"/>
                <w:i w:val="0"/>
                <w:sz w:val="20"/>
              </w:rPr>
              <w:t>复习成分表示和同式异构问题</w:t>
            </w:r>
          </w:p>
        </w:tc>
        <w:tc>
          <w:tcPr>
            <w:tcW w:type="dxa" w:w="2760"/>
            <w:vAlign w:val="center"/>
          </w:tcPr>
          <w:p>
            <w:pPr>
              <w:keepNext/>
              <w:spacing w:before="20" w:after="20" w:line="259" w:lineRule="auto"/>
              <w:ind w:firstLine="0"/>
              <w:jc w:val="left"/>
            </w:pPr>
            <w:r>
              <w:rPr>
                <w:rFonts w:ascii="Times New Roman" w:hAnsi="Times New Roman" w:eastAsia="宋体" w:cs="Times New Roman"/>
                <w:b w:val="0"/>
                <w:i w:val="0"/>
                <w:sz w:val="20"/>
              </w:rPr>
              <w:t>用教师已准备的小图与描述符表完成核心判断</w:t>
            </w:r>
          </w:p>
        </w:tc>
      </w:tr>
      <w:tr>
        <w:trPr>
          <w:cantSplit/>
        </w:trPr>
        <w:tc>
          <w:tcPr>
            <w:tcW w:type="dxa" w:w="1577"/>
            <w:vAlign w:val="center"/>
          </w:tcPr>
          <w:p>
            <w:pPr>
              <w:keepNext/>
              <w:spacing w:before="20" w:after="20" w:line="259" w:lineRule="auto"/>
              <w:ind w:firstLine="0"/>
              <w:jc w:val="left"/>
            </w:pPr>
            <w:r>
              <w:rPr>
                <w:rFonts w:ascii="Times New Roman" w:hAnsi="Times New Roman" w:eastAsia="宋体" w:cs="Times New Roman"/>
                <w:b w:val="0"/>
                <w:i w:val="0"/>
                <w:sz w:val="20"/>
              </w:rPr>
              <w:t>第11讲前</w:t>
            </w:r>
          </w:p>
        </w:tc>
        <w:tc>
          <w:tcPr>
            <w:tcW w:type="dxa" w:w="3164"/>
            <w:vAlign w:val="center"/>
          </w:tcPr>
          <w:p>
            <w:pPr>
              <w:keepNext/>
              <w:spacing w:before="20" w:after="20" w:line="259" w:lineRule="auto"/>
              <w:ind w:firstLine="0"/>
              <w:jc w:val="left"/>
            </w:pPr>
            <w:r>
              <w:rPr>
                <w:rFonts w:ascii="Times New Roman" w:hAnsi="Times New Roman" w:eastAsia="宋体" w:cs="Times New Roman"/>
                <w:b w:val="0"/>
                <w:i w:val="0"/>
                <w:sz w:val="20"/>
              </w:rPr>
              <w:t>完成CPU短任务/模型权重及授权、训练日志和张量说明验收</w:t>
            </w:r>
          </w:p>
        </w:tc>
        <w:tc>
          <w:tcPr>
            <w:tcW w:type="dxa" w:w="2099"/>
            <w:vAlign w:val="center"/>
          </w:tcPr>
          <w:p>
            <w:pPr>
              <w:keepNext/>
              <w:spacing w:before="20" w:after="20" w:line="259" w:lineRule="auto"/>
              <w:ind w:firstLine="0"/>
              <w:jc w:val="left"/>
            </w:pPr>
            <w:r>
              <w:rPr>
                <w:rFonts w:ascii="Times New Roman" w:hAnsi="Times New Roman" w:eastAsia="宋体" w:cs="Times New Roman"/>
                <w:b w:val="0"/>
                <w:i w:val="0"/>
                <w:sz w:val="20"/>
              </w:rPr>
              <w:t>验证深度学习环境或选择推理分析路径</w:t>
            </w:r>
          </w:p>
        </w:tc>
        <w:tc>
          <w:tcPr>
            <w:tcW w:type="dxa" w:w="2760"/>
            <w:vAlign w:val="center"/>
          </w:tcPr>
          <w:p>
            <w:pPr>
              <w:keepNext/>
              <w:spacing w:before="20" w:after="20" w:line="259" w:lineRule="auto"/>
              <w:ind w:firstLine="0"/>
              <w:jc w:val="left"/>
            </w:pPr>
            <w:r>
              <w:rPr>
                <w:rFonts w:ascii="Times New Roman" w:hAnsi="Times New Roman" w:eastAsia="宋体" w:cs="Times New Roman"/>
                <w:b w:val="0"/>
                <w:i w:val="0"/>
                <w:sz w:val="20"/>
              </w:rPr>
              <w:t>无GPU不扣分；训练成本超预算时用统一权重和日志</w:t>
            </w:r>
          </w:p>
        </w:tc>
      </w:tr>
      <w:tr>
        <w:trPr>
          <w:cantSplit/>
        </w:trPr>
        <w:tc>
          <w:tcPr>
            <w:tcW w:type="dxa" w:w="1577"/>
            <w:vAlign w:val="center"/>
          </w:tcPr>
          <w:p>
            <w:pPr>
              <w:spacing w:before="20" w:after="20" w:line="259" w:lineRule="auto"/>
              <w:ind w:firstLine="0"/>
              <w:jc w:val="left"/>
            </w:pPr>
            <w:r>
              <w:rPr>
                <w:rFonts w:ascii="Times New Roman" w:hAnsi="Times New Roman" w:eastAsia="宋体" w:cs="Times New Roman"/>
                <w:b w:val="0"/>
                <w:i w:val="0"/>
                <w:sz w:val="20"/>
              </w:rPr>
              <w:t>第13—15讲前</w:t>
            </w:r>
          </w:p>
        </w:tc>
        <w:tc>
          <w:tcPr>
            <w:tcW w:type="dxa" w:w="3164"/>
            <w:vAlign w:val="center"/>
          </w:tcPr>
          <w:p>
            <w:pPr>
              <w:spacing w:before="20" w:after="20" w:line="259" w:lineRule="auto"/>
              <w:ind w:firstLine="0"/>
              <w:jc w:val="left"/>
            </w:pPr>
            <w:r>
              <w:rPr>
                <w:rFonts w:ascii="Times New Roman" w:hAnsi="Times New Roman" w:eastAsia="宋体" w:cs="Times New Roman"/>
                <w:b w:val="0"/>
                <w:i w:val="0"/>
                <w:sz w:val="20"/>
              </w:rPr>
              <w:t>核验GP/BO隐藏候选标签、PINN参考解、误差图和离线数据</w:t>
            </w:r>
          </w:p>
        </w:tc>
        <w:tc>
          <w:tcPr>
            <w:tcW w:type="dxa" w:w="2099"/>
            <w:vAlign w:val="center"/>
          </w:tcPr>
          <w:p>
            <w:pPr>
              <w:spacing w:before="20" w:after="20" w:line="259" w:lineRule="auto"/>
              <w:ind w:firstLine="0"/>
              <w:jc w:val="left"/>
            </w:pPr>
            <w:r>
              <w:rPr>
                <w:rFonts w:ascii="Times New Roman" w:hAnsi="Times New Roman" w:eastAsia="宋体" w:cs="Times New Roman"/>
                <w:b w:val="0"/>
                <w:i w:val="0"/>
                <w:sz w:val="20"/>
              </w:rPr>
              <w:t>带来基线与验证协议，不临时重建全部项目</w:t>
            </w:r>
          </w:p>
        </w:tc>
        <w:tc>
          <w:tcPr>
            <w:tcW w:type="dxa" w:w="2760"/>
            <w:vAlign w:val="center"/>
          </w:tcPr>
          <w:p>
            <w:pPr>
              <w:spacing w:before="20" w:after="20" w:line="259" w:lineRule="auto"/>
              <w:ind w:firstLine="0"/>
              <w:jc w:val="left"/>
            </w:pPr>
            <w:r>
              <w:rPr>
                <w:rFonts w:ascii="Times New Roman" w:hAnsi="Times New Roman" w:eastAsia="宋体" w:cs="Times New Roman"/>
                <w:b w:val="0"/>
                <w:i w:val="0"/>
                <w:sz w:val="20"/>
              </w:rPr>
              <w:t>模型/网络故障时用预计算结果解释同一问题，补交最小运行记录</w:t>
            </w:r>
          </w:p>
        </w:tc>
      </w:tr>
    </w:tbl>
    <w:p>
      <w:pPr>
        <w:ind w:firstLine="480"/>
      </w:pPr>
      <w:r>
        <w:rPr>
          <w:rFonts w:ascii="Times New Roman" w:hAnsi="Times New Roman" w:eastAsia="宋体" w:cs="Times New Roman"/>
          <w:b w:val="0"/>
          <w:i w:val="0"/>
          <w:sz w:val="24"/>
        </w:rPr>
        <w:t>这些是课前建设与验收要求，不代表当前所有包、Notebook和深度模型已经验证可用。当前实物状态见教学总纲。</w:t>
      </w:r>
    </w:p>
    <w:p>
      <w:pPr>
        <w:keepNext/>
        <w:spacing w:before="200" w:after="100"/>
        <w:jc w:val="left"/>
      </w:pPr>
      <w:r>
        <w:rPr>
          <w:rFonts w:ascii="Arial" w:hAnsi="Arial" w:eastAsia="黑体" w:cs="Arial"/>
          <w:b/>
          <w:i w:val="0"/>
          <w:sz w:val="28"/>
        </w:rPr>
        <w:t>二、8周时间线与任务节点</w:t>
      </w:r>
    </w:p>
    <w:p>
      <w:pPr>
        <w:keepNext/>
        <w:spacing w:before="100" w:after="40" w:line="264" w:lineRule="auto"/>
        <w:jc w:val="center"/>
      </w:pPr>
      <w:r>
        <w:rPr>
          <w:rFonts w:ascii="Arial" w:hAnsi="Arial" w:eastAsia="黑体" w:cs="Arial"/>
          <w:b/>
          <w:i w:val="0"/>
          <w:sz w:val="21"/>
        </w:rPr>
        <w:t>表 2　8 周时间线与任务节点</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720"/>
        <w:gridCol w:w="3306"/>
        <w:gridCol w:w="3630"/>
        <w:gridCol w:w="1944"/>
      </w:tblGrid>
      <w:tr>
        <w:trPr>
          <w:cantSplit/>
          <w:tblHeader/>
        </w:trPr>
        <w:tc>
          <w:tcPr>
            <w:tcW w:type="dxa" w:w="720"/>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周</w:t>
            </w:r>
          </w:p>
        </w:tc>
        <w:tc>
          <w:tcPr>
            <w:tcW w:type="dxa" w:w="3306"/>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两个教学单元</w:t>
            </w:r>
          </w:p>
        </w:tc>
        <w:tc>
          <w:tcPr>
            <w:tcW w:type="dxa" w:w="3630"/>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发布/提交</w:t>
            </w:r>
          </w:p>
        </w:tc>
        <w:tc>
          <w:tcPr>
            <w:tcW w:type="dxa" w:w="1944"/>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预计课外钟点小时</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1</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1 导论；2 任务与数据生态</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项目说明、任务卡；确定初步分组与项目数</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2—3</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2</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3 数据；4 成分表示</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发布HW1与论文候选；开始同一数据链</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3—4</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3</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5 结构/图/分子；6 回归与正则化</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第5讲发布HW2；第6讲HW1截止</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4</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7 分类；8 评估与研讨①</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第8讲项目一页计划；研讨①2项交流</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5</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9 集成/解释；10 无监督、中期检查与研讨②</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第10讲HW2、论文评议及讨论记录截止</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6</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11 神经网络/GNN；12 注意力/迁移/生成</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第11讲发布HW3；项目复用已完成基线</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7</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13 推断/GP；14 BO/主动学习</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第13讲HW3截止、发布HW4；第14讲前中期代码反馈</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4—6</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8</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15 PINN与前沿；16 答辩总结</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第15讲HW4截止；第16讲前24小时项目终稿</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5—7</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合计</w:t>
            </w:r>
          </w:p>
        </w:tc>
        <w:tc>
          <w:tcPr>
            <w:tcW w:type="dxa" w:w="3306"/>
            <w:vAlign w:val="center"/>
          </w:tcPr>
          <w:p>
            <w:pPr>
              <w:spacing w:before="20" w:after="20" w:line="259" w:lineRule="auto"/>
              <w:ind w:firstLine="0"/>
              <w:jc w:val="left"/>
            </w:pPr>
            <w:r>
              <w:rPr>
                <w:rFonts w:ascii="Times New Roman" w:hAnsi="Times New Roman" w:eastAsia="宋体" w:cs="Times New Roman"/>
                <w:b w:val="0"/>
                <w:i w:val="0"/>
                <w:sz w:val="20"/>
              </w:rPr>
              <w:t>16讲、32学时</w:t>
            </w:r>
          </w:p>
        </w:tc>
        <w:tc>
          <w:tcPr>
            <w:tcW w:type="dxa" w:w="3630"/>
            <w:vAlign w:val="center"/>
          </w:tcPr>
          <w:p>
            <w:pPr>
              <w:spacing w:before="20" w:after="20" w:line="259" w:lineRule="auto"/>
              <w:ind w:firstLine="0"/>
              <w:jc w:val="left"/>
            </w:pPr>
            <w:r>
              <w:rPr>
                <w:rFonts w:ascii="Times New Roman" w:hAnsi="Times New Roman" w:eastAsia="宋体" w:cs="Times New Roman"/>
                <w:b w:val="0"/>
                <w:i w:val="0"/>
                <w:sz w:val="20"/>
              </w:rPr>
              <w:t>四次作业 + 一篇论文评议 + 一个项目</w:t>
            </w:r>
          </w:p>
        </w:tc>
        <w:tc>
          <w:tcPr>
            <w:tcW w:type="dxa" w:w="1944"/>
            <w:vAlign w:val="center"/>
          </w:tcPr>
          <w:p>
            <w:pPr>
              <w:spacing w:before="20" w:after="20" w:line="259" w:lineRule="auto"/>
              <w:ind w:firstLine="0"/>
              <w:jc w:val="left"/>
            </w:pPr>
            <w:r>
              <w:rPr>
                <w:rFonts w:ascii="Times New Roman" w:hAnsi="Times New Roman" w:eastAsia="宋体" w:cs="Times New Roman"/>
                <w:b w:val="0"/>
                <w:i w:val="0"/>
                <w:sz w:val="20"/>
              </w:rPr>
              <w:t>30—40</w:t>
            </w:r>
          </w:p>
        </w:tc>
      </w:tr>
    </w:tbl>
    <w:p>
      <w:pPr>
        <w:ind w:firstLine="480"/>
      </w:pPr>
      <w:r>
        <w:rPr>
          <w:rFonts w:ascii="Times New Roman" w:hAnsi="Times New Roman" w:eastAsia="宋体" w:cs="Times New Roman"/>
          <w:b w:val="0"/>
          <w:i w:val="0"/>
          <w:sz w:val="24"/>
        </w:rPr>
        <w:t>按讲次公布相对节点，开课后换成真实日期；若每周连续4学时，同周两讲可同日。预习与环境准备已计入周负荷；项目新增工作按复用后的增量估计，不重复计算作业工时。第8周仍有HW4与项目两项截止，教师依据第6、10讲工时反馈减少拓展项，不通过压缩核心验证任务减负。</w:t>
      </w:r>
    </w:p>
    <w:p>
      <w:pPr>
        <w:keepNext/>
        <w:spacing w:before="200" w:after="100"/>
        <w:jc w:val="left"/>
      </w:pPr>
      <w:r>
        <w:rPr>
          <w:rFonts w:ascii="Arial" w:hAnsi="Arial" w:eastAsia="黑体" w:cs="Arial"/>
          <w:b/>
          <w:i w:val="0"/>
          <w:sz w:val="28"/>
        </w:rPr>
        <w:t>三、逐讲实施（每讲90教学分钟）</w:t>
      </w:r>
    </w:p>
    <w:p>
      <w:pPr>
        <w:ind w:firstLine="480"/>
      </w:pPr>
      <w:r>
        <w:rPr>
          <w:rFonts w:ascii="Times New Roman" w:hAnsi="Times New Roman" w:eastAsia="宋体" w:cs="Times New Roman"/>
          <w:b w:val="0"/>
          <w:i w:val="0"/>
          <w:sz w:val="24"/>
        </w:rPr>
        <w:t>表中“讲授”含讲解、示范与讲评，“实践”专指学生完成任务，“研讨”与“答辩”另列。分钟合计均为90；每项实践均有可验收产出。</w:t>
      </w:r>
    </w:p>
    <w:p>
      <w:pPr>
        <w:keepNext/>
        <w:spacing w:before="120" w:after="60"/>
        <w:jc w:val="left"/>
      </w:pPr>
      <w:r>
        <w:rPr>
          <w:rFonts w:ascii="Arial" w:hAnsi="Arial" w:eastAsia="黑体" w:cs="Arial"/>
          <w:b/>
          <w:i w:val="0"/>
          <w:sz w:val="25"/>
        </w:rPr>
        <w:t>第1讲　材料信息学导论与 AI 产业</w:t>
      </w:r>
    </w:p>
    <w:p>
      <w:pPr>
        <w:ind w:firstLine="480"/>
      </w:pPr>
      <w:r>
        <w:rPr>
          <w:rFonts w:ascii="Times New Roman" w:hAnsi="Times New Roman" w:eastAsia="宋体" w:cs="Times New Roman"/>
          <w:b w:val="0"/>
          <w:i w:val="0"/>
          <w:sz w:val="24"/>
        </w:rPr>
        <w:t>第1周｜2学时｜目标：G1/G6｜学生实践：15分钟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：半导体带隙筛选和国内外材料案例中的预测、候选与实验验证。</w:t>
      </w:r>
    </w:p>
    <w:p>
      <w:pPr>
        <w:keepNext/>
        <w:spacing w:before="100" w:after="40" w:line="264" w:lineRule="auto"/>
        <w:jc w:val="center"/>
      </w:pPr>
      <w:r>
        <w:rPr>
          <w:rFonts w:ascii="Arial" w:hAnsi="Arial" w:eastAsia="黑体" w:cs="Arial"/>
          <w:b/>
          <w:i w:val="0"/>
          <w:sz w:val="21"/>
        </w:rPr>
        <w:t>表 3　第 1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35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使用独立课程导论PPT：阅读导航1、教师科研经历8、国内外10例12、教材/论文/工具/课程考核14分钟</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用选定案例解释材料问题、表示、数据与决策；压缩旧产业清单和重复导论页</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数据身份、基线、独立验证；以任务和证据说明AI科研工作流</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MICourse基础预检：运行已有指定片段，记录版本和报错；不现场安装全套依赖</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退出题、贡献与AI使用记录、登记先修困难</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：原环境验收记录与一条可检验研究问题；在已有记录补任务/版本/核验字段，不新增长报告。</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：最小指定为ISLP §2.1.1 Why Estimate f?与§2.2.1 Measuring the Quality of Fit各约3页；第1章、§2.1/§2.2其余内容课上导读，§2.3 Lab按需查阅，参考书Ⅰ第1章背景选读。具体案例论文见导论来源表，不要求全员精读十例。每讲开头阅读导航遵从V5导航表。</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：发布原项目说明和补课清单，课程构成与既有评分不变。旧第1讲完整材料保留为专业导论/补充素材，不把两套PPT全部逐页叠加授课。</w:t>
      </w:r>
    </w:p>
    <w:p>
      <w:pPr>
        <w:keepNext/>
        <w:spacing w:before="120" w:after="60"/>
        <w:jc w:val="left"/>
      </w:pPr>
      <w:r>
        <w:rPr>
          <w:rFonts w:ascii="Arial" w:hAnsi="Arial" w:eastAsia="黑体" w:cs="Arial"/>
          <w:b/>
          <w:i w:val="0"/>
          <w:sz w:val="25"/>
        </w:rPr>
        <w:t>第2讲　机器学习任务类型与材料数据生态</w:t>
      </w:r>
    </w:p>
    <w:p>
      <w:pPr>
        <w:ind w:firstLine="480"/>
      </w:pPr>
      <w:r>
        <w:rPr>
          <w:rFonts w:ascii="Times New Roman" w:hAnsi="Times New Roman" w:eastAsia="宋体" w:cs="Times New Roman"/>
          <w:b w:val="0"/>
          <w:i w:val="0"/>
          <w:sz w:val="24"/>
        </w:rPr>
        <w:t>第1周｜2学时｜目标：G1/G2｜学生实践：20分钟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：钙钛矿的成分—结构—工艺—器件效率链路。</w:t>
      </w:r>
    </w:p>
    <w:p>
      <w:pPr>
        <w:keepNext/>
        <w:spacing w:before="100" w:after="40" w:line="264" w:lineRule="auto"/>
        <w:jc w:val="center"/>
      </w:pPr>
      <w:r>
        <w:rPr>
          <w:rFonts w:ascii="Arial" w:hAnsi="Arial" w:eastAsia="黑体" w:cs="Arial"/>
          <w:b/>
          <w:i w:val="0"/>
          <w:sz w:val="21"/>
        </w:rPr>
        <w:t>表 4　第 2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监督、无监督与决策任务；回归、分类和优化的区别</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把博士课题改写为任务卡：输入、目标、样本单位、可用时点</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材料数据库选源：覆盖、字段语义、许可、访问方式与引用</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多源异构、测量条件、数据保真度；Composition/Structure/Lattice</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提前引入训练集/测试集与简单基线，约定验证红线</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：任务卡 + 数据源选择表。</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：说明为什么同一成分在不同制备或测试条件下不能直接当作同一样本。</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：ISLP 第2章；本地第2讲讲义；原讲义5、6、7。课前只指定本讲用到的页/图，不要求通读所列各章。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：登记选题意向；初步确定项目数与分组，答辩容量目标为不超过10项。</w:t>
      </w:r>
    </w:p>
    <w:p>
      <w:pPr>
        <w:keepNext/>
        <w:spacing w:before="120" w:after="60"/>
        <w:jc w:val="left"/>
      </w:pPr>
      <w:r>
        <w:rPr>
          <w:rFonts w:ascii="Arial" w:hAnsi="Arial" w:eastAsia="黑体" w:cs="Arial"/>
          <w:b/>
          <w:i w:val="0"/>
          <w:sz w:val="25"/>
        </w:rPr>
        <w:t>第3讲　数据获取、处理与剖析</w:t>
      </w:r>
    </w:p>
    <w:p>
      <w:pPr>
        <w:ind w:firstLine="480"/>
      </w:pPr>
      <w:r>
        <w:rPr>
          <w:rFonts w:ascii="Times New Roman" w:hAnsi="Times New Roman" w:eastAsia="宋体" w:cs="Times New Roman"/>
          <w:b w:val="0"/>
          <w:i w:val="0"/>
          <w:sz w:val="24"/>
        </w:rPr>
        <w:t>第2周｜2学时｜目标：G2/G3｜学生实践：30分钟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：光电材料带隙的 eV/J 单位与计算方法差异。</w:t>
      </w:r>
    </w:p>
    <w:p>
      <w:pPr>
        <w:keepNext/>
        <w:spacing w:before="100" w:after="40" w:line="264" w:lineRule="auto"/>
        <w:jc w:val="center"/>
      </w:pPr>
      <w:r>
        <w:rPr>
          <w:rFonts w:ascii="Arial" w:hAnsi="Arial" w:eastAsia="黑体" w:cs="Arial"/>
          <w:b/>
          <w:i w:val="0"/>
          <w:sz w:val="21"/>
        </w:rPr>
        <w:t>表 5　第 3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API 查询、缓存与离线快照；来源、许可、下载时间和单位</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30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读取已有快照或联网查询；完成字段检查、单位核对、重复记录审计</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按材料身份与实验条件去重；同式异构、重复测量与聚合的边界</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MP/NOMAD 数据模式对照；不默认跨库带隙等价</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剖析局限、泄漏和HW1说明；把任务、原始ID/版本和核验记录连到AI辅助工作流</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：数据卡 + 清洗决策日志 + 保留原始ID的数据表。</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：对一组同化学式记录判断保留、分组或聚合，并说明依据。</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：本地第3讲讲义及代码README；MP_API_example、NOMAD_example。课前只指定本讲用到的页/图，不要求通读所列各章。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：发布 HW1；数据访问失败可用同等评分的离线快照。</w:t>
      </w:r>
    </w:p>
    <w:p>
      <w:pPr>
        <w:keepNext/>
        <w:spacing w:before="120" w:after="60"/>
        <w:jc w:val="left"/>
      </w:pPr>
      <w:r>
        <w:rPr>
          <w:rFonts w:ascii="Arial" w:hAnsi="Arial" w:eastAsia="黑体" w:cs="Arial"/>
          <w:b/>
          <w:i w:val="0"/>
          <w:sz w:val="25"/>
        </w:rPr>
        <w:t>第4讲　特征工程（一）：成分特征化</w:t>
      </w:r>
    </w:p>
    <w:p>
      <w:pPr>
        <w:ind w:firstLine="480"/>
      </w:pPr>
      <w:r>
        <w:rPr>
          <w:rFonts w:ascii="Times New Roman" w:hAnsi="Times New Roman" w:eastAsia="宋体" w:cs="Times New Roman"/>
          <w:b w:val="0"/>
          <w:i w:val="0"/>
          <w:sz w:val="24"/>
        </w:rPr>
        <w:t>第2周｜2学时｜目标：G2/G3｜学生实践：25分钟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：同成分光电材料的不同晶型与性能差异。</w:t>
      </w:r>
    </w:p>
    <w:p>
      <w:pPr>
        <w:keepNext/>
        <w:spacing w:before="100" w:after="40" w:line="264" w:lineRule="auto"/>
        <w:jc w:val="center"/>
      </w:pPr>
      <w:r>
        <w:rPr>
          <w:rFonts w:ascii="Arial" w:hAnsi="Arial" w:eastAsia="黑体" w:cs="Arial"/>
          <w:b/>
          <w:i w:val="0"/>
          <w:sz w:val="21"/>
        </w:rPr>
        <w:t>表 6　第 4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化学式解析、原子分数与样本可用信息；区分元素存在编码与分数编码</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元素性质的加权统计；CBFV 与元素嵌入的建模含义</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手算与代码对照一个成分描述符；检查单位、缺失元素与维度</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成分表示的能力边界；共线性、冗余与特征选择</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特征缩放放入训练流程；总结与反例讨论</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：成分特征表 + 一项手算校验 + 表示局限说明。</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：解释何种信息无法由成分向量恢复；不把维数/样本数比例当作硬阈值。</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：本地第4讲讲义与code；原讲义8、9；参考书Ⅰ第11章选段。课前只指定本讲用到的页/图，不要求通读所列各章。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：发布论文候选与统一评分表；每人只需精读1篇，不要求逐讲提交读书报告。</w:t>
      </w:r>
    </w:p>
    <w:p>
      <w:pPr>
        <w:keepNext/>
        <w:spacing w:before="120" w:after="60"/>
        <w:jc w:val="left"/>
      </w:pPr>
      <w:r>
        <w:rPr>
          <w:rFonts w:ascii="Arial" w:hAnsi="Arial" w:eastAsia="黑体" w:cs="Arial"/>
          <w:b/>
          <w:i w:val="0"/>
          <w:sz w:val="25"/>
        </w:rPr>
        <w:t>第5讲　特征工程（二）：结构、图表示与分子</w:t>
      </w:r>
    </w:p>
    <w:p>
      <w:pPr>
        <w:ind w:firstLine="480"/>
      </w:pPr>
      <w:r>
        <w:rPr>
          <w:rFonts w:ascii="Times New Roman" w:hAnsi="Times New Roman" w:eastAsia="宋体" w:cs="Times New Roman"/>
          <w:b w:val="0"/>
          <w:i w:val="0"/>
          <w:sz w:val="24"/>
        </w:rPr>
        <w:t>第3周｜2学时｜目标：G2｜学生实践：20分钟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：氧化物或钙钛矿中的配位环境与带隙差异。</w:t>
      </w:r>
    </w:p>
    <w:p>
      <w:pPr>
        <w:keepNext/>
        <w:spacing w:before="100" w:after="40" w:line="264" w:lineRule="auto"/>
        <w:jc w:val="center"/>
      </w:pPr>
      <w:r>
        <w:rPr>
          <w:rFonts w:ascii="Arial" w:hAnsi="Arial" w:eastAsia="黑体" w:cs="Arial"/>
          <w:b/>
          <w:i w:val="0"/>
          <w:sz w:val="21"/>
        </w:rPr>
        <w:t>表 7　第 5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由同式异构引入结构描述符、邻域与周期性边界</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晶体图的节点、边和周期像；消息—聚合—更新的概念骨架</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构造小型周期图并核对邻居、边特征与重编号前后的一致性</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SMILES/SELFIES、分子描述符与指纹；表征有效不等于可合成</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两点统计与2D/3D/文件/图格式：用途与信息损失</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表示选择与HW2阶段任务；GAT公式及网络训练后置第11讲</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：晶体图检查表 + 分子表示对照卡。</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：分清周期性、邻域截断与模型对称性；图构造规则必须可复述。</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：本地第5讲讲义与code；原讲义10、11两份、12、13；SELFIES论文指定图。课前只指定本讲用到的页/图，不要求通读所列各章。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：发布 HW2，先完成表示与格式部分，模型比较在第8—9讲后完成。</w:t>
      </w:r>
    </w:p>
    <w:p>
      <w:pPr>
        <w:keepNext/>
        <w:spacing w:before="120" w:after="60"/>
        <w:jc w:val="left"/>
      </w:pPr>
      <w:r>
        <w:rPr>
          <w:rFonts w:ascii="Arial" w:hAnsi="Arial" w:eastAsia="黑体" w:cs="Arial"/>
          <w:b/>
          <w:i w:val="0"/>
          <w:sz w:val="25"/>
        </w:rPr>
        <w:t>第6讲　回归、正则化与材料基线</w:t>
      </w:r>
    </w:p>
    <w:p>
      <w:pPr>
        <w:ind w:firstLine="480"/>
      </w:pPr>
      <w:r>
        <w:rPr>
          <w:rFonts w:ascii="Times New Roman" w:hAnsi="Times New Roman" w:eastAsia="宋体" w:cs="Times New Roman"/>
          <w:b w:val="0"/>
          <w:i w:val="0"/>
          <w:sz w:val="24"/>
        </w:rPr>
        <w:t>第3周｜2学时｜目标：G3｜学生实践：25分钟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：带隙—成分回归；与力学Hall–Petch例对照。</w:t>
      </w:r>
    </w:p>
    <w:p>
      <w:pPr>
        <w:keepNext/>
        <w:spacing w:before="100" w:after="40" w:line="264" w:lineRule="auto"/>
        <w:jc w:val="center"/>
      </w:pPr>
      <w:r>
        <w:rPr>
          <w:rFonts w:ascii="Arial" w:hAnsi="Arial" w:eastAsia="黑体" w:cs="Arial"/>
          <w:b/>
          <w:i w:val="0"/>
          <w:sz w:val="21"/>
        </w:rPr>
        <w:t>表 8　第 6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最小二乘与线性于参数；Hall–Petch等材料关系的适用范围</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Ridge/Lasso与偏差—方差；用验证数据选择复杂度</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在固定划分上比较均值基线、线性回归与正则化回归</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残差、单位、误差分布与模型失配；训练高分不是结论</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结果复核与HW1讲评；非线性关系不等于必须用深度模型</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：基线比较表 + 残差图 + 一段误差解释。</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：比较模型时保持同一数据与划分，报告带单位的误差。</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：ISLP 第3、6章选段，第7章为拓展；参考书Ⅰ第2章。课前只指定本讲用到的页/图，不要求通读所列各章。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：HW1 截止；教师反馈聚合规则、数据溯源与特征计算错误。</w:t>
      </w:r>
    </w:p>
    <w:p>
      <w:pPr>
        <w:keepNext/>
        <w:spacing w:before="120" w:after="60"/>
        <w:jc w:val="left"/>
      </w:pPr>
      <w:r>
        <w:rPr>
          <w:rFonts w:ascii="Arial" w:hAnsi="Arial" w:eastAsia="黑体" w:cs="Arial"/>
          <w:b/>
          <w:i w:val="0"/>
          <w:sz w:val="25"/>
        </w:rPr>
        <w:t>第7讲　分类、不平衡数据与决策阈值</w:t>
      </w:r>
    </w:p>
    <w:p>
      <w:pPr>
        <w:ind w:firstLine="480"/>
      </w:pPr>
      <w:r>
        <w:rPr>
          <w:rFonts w:ascii="Times New Roman" w:hAnsi="Times New Roman" w:eastAsia="宋体" w:cs="Times New Roman"/>
          <w:b w:val="0"/>
          <w:i w:val="0"/>
          <w:sz w:val="24"/>
        </w:rPr>
        <w:t>第4周｜2学时｜目标：G3｜学生实践：25分钟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：发光材料缺陷识别或合格光伏配方筛选。</w:t>
      </w:r>
    </w:p>
    <w:p>
      <w:pPr>
        <w:keepNext/>
        <w:spacing w:before="100" w:after="40" w:line="264" w:lineRule="auto"/>
        <w:jc w:val="center"/>
      </w:pPr>
      <w:r>
        <w:rPr>
          <w:rFonts w:ascii="Arial" w:hAnsi="Arial" w:eastAsia="黑体" w:cs="Arial"/>
          <w:b/>
          <w:i w:val="0"/>
          <w:sz w:val="21"/>
        </w:rPr>
        <w:t>表 9　第 7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逻辑回归、概率输出与似然；分类决策和性质优化的区别</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混淆矩阵、精确率、召回率、F1与筛选代价</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改变阈值并计算假阳性/假阴性代价；比较多数类基线</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不平衡、概率校准与样本量；KNN/LDA/朴素贝叶斯仅作方法对照</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阈值在验证集上确定；测试集不参与阈值或超参数选择</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：阈值—代价表 + 分类器适用边界。</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：说明高准确率为何可能对应无效筛选，并给出合适的主指标。</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：ISLP 第4章选段；参考书Ⅰ第3章；logistic_regression。课前只指定本讲用到的页/图，不要求通读所列各章。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：提交项目问题与数据可获得性意向，不新增独立报告。</w:t>
      </w:r>
    </w:p>
    <w:p>
      <w:pPr>
        <w:keepNext/>
        <w:spacing w:before="120" w:after="60"/>
        <w:jc w:val="left"/>
      </w:pPr>
      <w:r>
        <w:rPr>
          <w:rFonts w:ascii="Arial" w:hAnsi="Arial" w:eastAsia="黑体" w:cs="Arial"/>
          <w:b/>
          <w:i w:val="0"/>
          <w:sz w:val="25"/>
        </w:rPr>
        <w:t>第8讲　可信评估、数据划分与外推</w:t>
      </w:r>
    </w:p>
    <w:p>
      <w:pPr>
        <w:ind w:firstLine="480"/>
      </w:pPr>
      <w:r>
        <w:rPr>
          <w:rFonts w:ascii="Times New Roman" w:hAnsi="Times New Roman" w:eastAsia="宋体" w:cs="Times New Roman"/>
          <w:b w:val="0"/>
          <w:i w:val="0"/>
          <w:sz w:val="24"/>
        </w:rPr>
        <w:t>第4周｜2学时｜目标：G3/G6｜学生实践：25分钟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：按化学家族或实验批次留出的带隙预测。</w:t>
      </w:r>
    </w:p>
    <w:p>
      <w:pPr>
        <w:keepNext/>
        <w:spacing w:before="100" w:after="40" w:line="264" w:lineRule="auto"/>
        <w:jc w:val="center"/>
      </w:pPr>
      <w:r>
        <w:rPr>
          <w:rFonts w:ascii="Arial" w:hAnsi="Arial" w:eastAsia="黑体" w:cs="Arial"/>
          <w:b/>
          <w:i w:val="0"/>
          <w:sz w:val="21"/>
        </w:rPr>
        <w:t>表 10　第 8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独立测试、分组/时间划分与研究问题；LOCO为留一簇而非任意分组的别名</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交叉验证与预处理泄漏；调参内层和评估外层的职责</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用同一材料数据比较随机与分组验证；检查Pipeline与分组交叉</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研讨</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论文研讨①：2项，每项7分钟报告与3分钟质询</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bootstrap前提、误差波动、外推边界与项目反馈；检查AI改动是否保持划分与测试隔离</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：两种划分对照表 + 泄漏检查表 + 一页项目计划。</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：解释验证方式如何对应拟应用场景，不能只挑选得分最高的划分。</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：ISLP 第5章；原讲义15、16、17、20；paper_loco_cv与benchmark论文指定段落。课前只指定本讲用到的页/图，不要求通读所列各章。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：项目立项截止；研讨①不另交一篇报告，沿用第10讲统一书面成果。</w:t>
      </w:r>
    </w:p>
    <w:p>
      <w:pPr>
        <w:keepNext/>
        <w:spacing w:before="120" w:after="60"/>
        <w:jc w:val="left"/>
      </w:pPr>
      <w:r>
        <w:rPr>
          <w:rFonts w:ascii="Arial" w:hAnsi="Arial" w:eastAsia="黑体" w:cs="Arial"/>
          <w:b/>
          <w:i w:val="0"/>
          <w:sz w:val="25"/>
        </w:rPr>
        <w:t>第9讲　集成学习、核方法与模型解释</w:t>
      </w:r>
    </w:p>
    <w:p>
      <w:pPr>
        <w:ind w:firstLine="480"/>
      </w:pPr>
      <w:r>
        <w:rPr>
          <w:rFonts w:ascii="Times New Roman" w:hAnsi="Times New Roman" w:eastAsia="宋体" w:cs="Times New Roman"/>
          <w:b w:val="0"/>
          <w:i w:val="0"/>
          <w:sz w:val="24"/>
        </w:rPr>
        <w:t>第5周｜2学时｜目标：G3｜学生实践：25分钟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：发光效率或带隙预测中的成分效应；HEA硬度作迁移对照。</w:t>
      </w:r>
    </w:p>
    <w:p>
      <w:pPr>
        <w:keepNext/>
        <w:spacing w:before="100" w:after="40" w:line="264" w:lineRule="auto"/>
        <w:jc w:val="center"/>
      </w:pPr>
      <w:r>
        <w:rPr>
          <w:rFonts w:ascii="Arial" w:hAnsi="Arial" w:eastAsia="黑体" w:cs="Arial"/>
          <w:b/>
          <w:i w:val="0"/>
          <w:sz w:val="21"/>
        </w:rPr>
        <w:t>表 11　第 9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树、Bagging/RF与梯度提升；AdaBoost按错误重加权的区别</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SVM/SVR的间隔、核与尺度；只保留选型所需原理</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比较RF与已有基线；在训练/验证流程内完成调参及重要性分析</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置换重要性、PDP/SHAP与相关特征；解释不等于因果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外推、选型与冻结测试；核对任务、数据/代码/划分版本和真实输出，留作第15讲工作流审查依据</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：模型选择记录 + 一张解释图 + 可证伪的领域解释。</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：说明为何选择该模型，并列出一种解释图可能误导的情形。</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：ISLP 第8、9章选段；参考书Ⅰ第4、6、12章；random_forest、support_vector_machines。课前只指定本讲用到的页/图，不要求通读所列各章。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：HW2 模型比较部分收尾；复杂集成、完整SHAP推导列为拓展。</w:t>
      </w:r>
    </w:p>
    <w:p>
      <w:pPr>
        <w:keepNext/>
        <w:spacing w:before="120" w:after="60"/>
        <w:jc w:val="left"/>
      </w:pPr>
      <w:r>
        <w:rPr>
          <w:rFonts w:ascii="Arial" w:hAnsi="Arial" w:eastAsia="黑体" w:cs="Arial"/>
          <w:b/>
          <w:i w:val="0"/>
          <w:sz w:val="25"/>
        </w:rPr>
        <w:t>第10讲　无监督学习与研究方案中期检查</w:t>
      </w:r>
    </w:p>
    <w:p>
      <w:pPr>
        <w:ind w:firstLine="480"/>
      </w:pPr>
      <w:r>
        <w:rPr>
          <w:rFonts w:ascii="Times New Roman" w:hAnsi="Times New Roman" w:eastAsia="宋体" w:cs="Times New Roman"/>
          <w:b w:val="0"/>
          <w:i w:val="0"/>
          <w:sz w:val="24"/>
        </w:rPr>
        <w:t>第5周｜2学时｜目标：G3/G6｜学生实践：20分钟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：光谱/成分空间中的材料家族与异常批次。</w:t>
      </w:r>
    </w:p>
    <w:p>
      <w:pPr>
        <w:keepNext/>
        <w:spacing w:before="100" w:after="40" w:line="264" w:lineRule="auto"/>
        <w:jc w:val="center"/>
      </w:pPr>
      <w:r>
        <w:rPr>
          <w:rFonts w:ascii="Arial" w:hAnsi="Arial" w:eastAsia="黑体" w:cs="Arial"/>
          <w:b/>
          <w:i w:val="0"/>
          <w:sz w:val="21"/>
        </w:rPr>
        <w:t>表 12　第 10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PCA的方差视角；标准化、特征尺度与降维局限</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聚类与距离；簇不自动等于物相，UMAP仅作探索展示</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项目中期检查：数据、基线、验证方案与剩余风险</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对同一描述符空间做PCA/聚类，改变尺度并比较结论</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研讨</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论文研讨②：2项，每项7分钟报告与3分钟质询</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：探索图 + 中期风险清单 + 统一论文评议材料。</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：区分数据分布、算法分组和材料相的证据层级。</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：ISLP 第12章；原讲义21；clustering；跨领域可视化论文只作方法对照。课前只指定本讲用到的页/图，不要求通读所列各章。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：HW2、论文书面评议和讨论记录截止；项目检查并入课堂任务，不另交长报告。</w:t>
      </w:r>
    </w:p>
    <w:p>
      <w:pPr>
        <w:keepNext/>
        <w:spacing w:before="120" w:after="60"/>
        <w:jc w:val="left"/>
      </w:pPr>
      <w:r>
        <w:rPr>
          <w:rFonts w:ascii="Arial" w:hAnsi="Arial" w:eastAsia="黑体" w:cs="Arial"/>
          <w:b/>
          <w:i w:val="0"/>
          <w:sz w:val="25"/>
        </w:rPr>
        <w:t>第11讲　神经网络、CNN 与图网络深化</w:t>
      </w:r>
    </w:p>
    <w:p>
      <w:pPr>
        <w:ind w:firstLine="480"/>
      </w:pPr>
      <w:r>
        <w:rPr>
          <w:rFonts w:ascii="Times New Roman" w:hAnsi="Times New Roman" w:eastAsia="宋体" w:cs="Times New Roman"/>
          <w:b w:val="0"/>
          <w:i w:val="0"/>
          <w:sz w:val="24"/>
        </w:rPr>
        <w:t>第6周｜2学时｜目标：G3｜学生实践：25分钟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：显微缺陷识别与晶体带隙预测。</w:t>
      </w:r>
    </w:p>
    <w:p>
      <w:pPr>
        <w:keepNext/>
        <w:spacing w:before="100" w:after="40" w:line="264" w:lineRule="auto"/>
        <w:jc w:val="center"/>
      </w:pPr>
      <w:r>
        <w:rPr>
          <w:rFonts w:ascii="Arial" w:hAnsi="Arial" w:eastAsia="黑体" w:cs="Arial"/>
          <w:b/>
          <w:i w:val="0"/>
          <w:sz w:val="21"/>
        </w:rPr>
        <w:t>表 13　第 11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MLP与表示学习；损失、训练/验证曲线与数据规模</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链式法则、反向传播与自动微分；为PINN准备</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CNN的参数共享与材料图像；RNN/光谱序列仅作适用场景对照</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在给定图/模型上追踪张量、聚合与读出；比较节点重编号结果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小样本诊断、早停与深度模型的使用条件；GAT是消息传递的一种加权方式</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：网络数据流检查表 + 图模型不变性/失效观察。</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：解释图表示和图模型各自负责什么，不把所有GNN与注意力写成等价。</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：ISLP 第10章选段；参考书Ⅰ第9章、Ⅱ第5、7章；MPNN/GAT论文指定图。课前只指定本讲用到的页/图，不要求通读所列各章。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：发布 HW3；CrabNet先验收数据与基线，注意力机制在第12讲补齐。</w:t>
      </w:r>
    </w:p>
    <w:p>
      <w:pPr>
        <w:keepNext/>
        <w:spacing w:before="120" w:after="60"/>
        <w:jc w:val="left"/>
      </w:pPr>
      <w:r>
        <w:rPr>
          <w:rFonts w:ascii="Arial" w:hAnsi="Arial" w:eastAsia="黑体" w:cs="Arial"/>
          <w:b/>
          <w:i w:val="0"/>
          <w:sz w:val="25"/>
        </w:rPr>
        <w:t>第12讲　注意力、迁移学习与生成模型概览</w:t>
      </w:r>
    </w:p>
    <w:p>
      <w:pPr>
        <w:ind w:firstLine="480"/>
      </w:pPr>
      <w:r>
        <w:rPr>
          <w:rFonts w:ascii="Times New Roman" w:hAnsi="Times New Roman" w:eastAsia="宋体" w:cs="Times New Roman"/>
          <w:b w:val="0"/>
          <w:i w:val="0"/>
          <w:sz w:val="24"/>
        </w:rPr>
        <w:t>第6周｜2学时｜目标：G3/G4｜学生实践：20分钟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：跨晶体家族或跨计算/实验来源的带隙预测。</w:t>
      </w:r>
    </w:p>
    <w:p>
      <w:pPr>
        <w:keepNext/>
        <w:spacing w:before="100" w:after="40" w:line="264" w:lineRule="auto"/>
        <w:jc w:val="center"/>
      </w:pPr>
      <w:r>
        <w:rPr>
          <w:rFonts w:ascii="Arial" w:hAnsi="Arial" w:eastAsia="黑体" w:cs="Arial"/>
          <w:b/>
          <w:i w:val="0"/>
          <w:sz w:val="21"/>
        </w:rPr>
        <w:t>表 14　第 12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熵、交叉熵与KL的必要直觉；先解释VAE重构项与KL正则</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Q/K/V与注意力；CrabNet、polyBERT的输入和任务差别</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源域/目标域、冻结与微调；数据保真度、泄漏与负迁移判据</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比较给定迁移方案与从零训练/经典基线；控制相同划分和预算</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VAE/GAN/扩散的目标对照；生成有效性、稳定性与可合成性分开评价</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：迁移方案比较表 + 是否迁移的证据说明。</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：由目标数据和任务关系判断迁移是否有益，不能凭模型规模下结论。</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：参考书Ⅱ第3、8、9、10章选段；Attention与VAE论文指定图；原讲义25—29。课前只指定本讲用到的页/图，不要求通读所列各章。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：HW3不要求从零训练VAE、GAN、扩散和XRD生成模型；这些为等价拓展选项。</w:t>
      </w:r>
    </w:p>
    <w:p>
      <w:pPr>
        <w:keepNext/>
        <w:spacing w:before="120" w:after="60"/>
        <w:jc w:val="left"/>
      </w:pPr>
      <w:r>
        <w:rPr>
          <w:rFonts w:ascii="Arial" w:hAnsi="Arial" w:eastAsia="黑体" w:cs="Arial"/>
          <w:b/>
          <w:i w:val="0"/>
          <w:sz w:val="25"/>
        </w:rPr>
        <w:t>第13讲　贝叶斯推断、高斯过程与不确定性</w:t>
      </w:r>
    </w:p>
    <w:p>
      <w:pPr>
        <w:ind w:firstLine="480"/>
      </w:pPr>
      <w:r>
        <w:rPr>
          <w:rFonts w:ascii="Times New Roman" w:hAnsi="Times New Roman" w:eastAsia="宋体" w:cs="Times New Roman"/>
          <w:b w:val="0"/>
          <w:i w:val="0"/>
          <w:sz w:val="24"/>
        </w:rPr>
        <w:t>第7周｜2学时｜目标：G4｜学生实践：25分钟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：光电材料带隙或薄膜工艺—性能的小样本测量。</w:t>
      </w:r>
    </w:p>
    <w:p>
      <w:pPr>
        <w:keepNext/>
        <w:spacing w:before="100" w:after="40" w:line="264" w:lineRule="auto"/>
        <w:jc w:val="center"/>
      </w:pPr>
      <w:r>
        <w:rPr>
          <w:rFonts w:ascii="Arial" w:hAnsi="Arial" w:eastAsia="黑体" w:cs="Arial"/>
          <w:b/>
          <w:i w:val="0"/>
          <w:sz w:val="21"/>
        </w:rPr>
        <w:t>表 15　第 13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先验、似然、后验与预测分布；用小样本更新连接概率基础</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GP作为函数分布；核、后验均值和方差的直觉</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加入一个新观测并比较GP后验；核/噪声变化与区间覆盖</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观测噪声、认知不确定性与模型失配；高方差不是万能外推检测器</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边际似然与核选择的局限；向下一次测量过渡</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：GP更新图 + 噪声/核敏感性说明。</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：区别参数可信区间、预测区间与模型误差；说明先验敏感性。</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：参考书Ⅰ第7章、Ⅱ第1章；GP专著第2章选段；原讲义30、31。课前只指定本讲用到的页/图，不要求通读所列各章。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：HW3 截止；发布 HW4（GP与BO核心任务），不复制原作业全部理论推导。</w:t>
      </w:r>
    </w:p>
    <w:p>
      <w:pPr>
        <w:keepNext/>
        <w:spacing w:before="120" w:after="60"/>
        <w:jc w:val="left"/>
      </w:pPr>
      <w:r>
        <w:rPr>
          <w:rFonts w:ascii="Arial" w:hAnsi="Arial" w:eastAsia="黑体" w:cs="Arial"/>
          <w:b/>
          <w:i w:val="0"/>
          <w:sz w:val="25"/>
        </w:rPr>
        <w:t>第14讲　贝叶斯优化、主动学习与实验决策</w:t>
      </w:r>
    </w:p>
    <w:p>
      <w:pPr>
        <w:ind w:firstLine="480"/>
      </w:pPr>
      <w:r>
        <w:rPr>
          <w:rFonts w:ascii="Times New Roman" w:hAnsi="Times New Roman" w:eastAsia="宋体" w:cs="Times New Roman"/>
          <w:b w:val="0"/>
          <w:i w:val="0"/>
          <w:sz w:val="24"/>
        </w:rPr>
        <w:t>第7周｜2学时｜目标：G4｜学生实践：30分钟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：薄膜工艺/发光效率优化；HEA硬度文献作决策对照。</w:t>
      </w:r>
    </w:p>
    <w:p>
      <w:pPr>
        <w:keepNext/>
        <w:spacing w:before="100" w:after="40" w:line="264" w:lineRule="auto"/>
        <w:jc w:val="center"/>
      </w:pPr>
      <w:r>
        <w:rPr>
          <w:rFonts w:ascii="Arial" w:hAnsi="Arial" w:eastAsia="黑体" w:cs="Arial"/>
          <w:b/>
          <w:i w:val="0"/>
          <w:sz w:val="21"/>
        </w:rPr>
        <w:t>表 16　第 14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12</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定义目标、硬约束、候选池与预算；主动学习与寻优的差别</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8</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两目标候选、可行域、非支配解与Pareto权衡；不推导多目标采集函数</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UCB/EI/PI的探索—利用；课堂解释UCB/EI，PI作短任务</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30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固定初始设计和预算，逐轮揭示隐藏标签，比较BO与随机；检查候选ID/状态/结果可用时点，失败与待完成结果不得隐匿或提前使用</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Optuna调参示例：明确采用TPE或GP采样器，验证集优化与测试集隔离</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噪声/重复/停止4分钟，保真度与成本判断3分钟，人工回填闭环3分钟；批量/异步及多保真算法实现列拓展</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：沿用采集函数检查、同预算曲线和候选表；在同一表中标明约束/权衡、结果状态和成本解释，不新建独立报告。</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：写清查询时才揭示标签的规则，区分历史数据回放与真实实验闭环。</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：参考书Ⅱ第1章；原讲义32及HEA案例；HW4/data；Bgolearn与Optuna示例。课前只指定本讲用到的页/图，不要求通读所列各章。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：项目中期代码检查在课前反馈，不占BO实践块；不安排实体硬件实验。</w:t>
      </w:r>
    </w:p>
    <w:p>
      <w:pPr>
        <w:keepNext/>
        <w:spacing w:before="120" w:after="60"/>
        <w:jc w:val="left"/>
      </w:pPr>
      <w:r>
        <w:rPr>
          <w:rFonts w:ascii="Arial" w:hAnsi="Arial" w:eastAsia="黑体" w:cs="Arial"/>
          <w:b/>
          <w:i w:val="0"/>
          <w:sz w:val="25"/>
        </w:rPr>
        <w:t>第15讲　物理先验、PINN 与前沿研究判断</w:t>
      </w:r>
    </w:p>
    <w:p>
      <w:pPr>
        <w:ind w:firstLine="480"/>
      </w:pPr>
      <w:r>
        <w:rPr>
          <w:rFonts w:ascii="Times New Roman" w:hAnsi="Times New Roman" w:eastAsia="宋体" w:cs="Times New Roman"/>
          <w:b w:val="0"/>
          <w:i w:val="0"/>
          <w:sz w:val="24"/>
        </w:rPr>
        <w:t>第8周｜2学时｜目标：G5/G6｜学生实践：30分钟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：薄膜/器件热传导与扩散；文献中光电性能的条件抽取。</w:t>
      </w:r>
    </w:p>
    <w:p>
      <w:pPr>
        <w:keepNext/>
        <w:spacing w:before="100" w:after="40" w:line="264" w:lineRule="auto"/>
        <w:jc w:val="center"/>
      </w:pPr>
      <w:r>
        <w:rPr>
          <w:rFonts w:ascii="Arial" w:hAnsi="Arial" w:eastAsia="黑体" w:cs="Arial"/>
          <w:b/>
          <w:i w:val="0"/>
          <w:sz w:val="21"/>
        </w:rPr>
        <w:t>表 17　第 15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169"/>
        <w:gridCol w:w="7445"/>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4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复习自动微分；热传导方程的量纲、初边值条件与物理残差</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23</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PINN损失与权重、正问题和参数反演；与数值解/解析解基准比较</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30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实践</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完成PINN残差与边界误差诊断；比较不同权重，提交物理一致性记录</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12</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KnowMat文献抽取案例：核查来源片段、单位、条件及幻觉</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讲授</w:t>
            </w:r>
          </w:p>
        </w:tc>
        <w:tc>
          <w:tcPr>
            <w:tcW w:type="dxa" w:w="7445"/>
            <w:vAlign w:val="center"/>
          </w:tcPr>
          <w:p>
            <w:pPr>
              <w:keepNext/>
              <w:spacing w:before="20" w:after="20" w:line="259" w:lineRule="auto"/>
              <w:ind w:firstLine="0"/>
              <w:jc w:val="left"/>
            </w:pPr>
            <w:r>
              <w:rPr>
                <w:rFonts w:ascii="Times New Roman" w:hAnsi="Times New Roman" w:eastAsia="宋体" w:cs="Times New Roman"/>
                <w:b w:val="0"/>
                <w:i w:val="0"/>
                <w:sz w:val="20"/>
              </w:rPr>
              <w:t>AI科研工作流审查：任务/工具/版本化结果3分钟，核查离线日志与文件差异4分钟，人工测量/自动执行/科学验证边界3分钟</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445"/>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：全体PINN诊断单与原带来源的前沿判断；用既有README/项目记录说明一项AI改动的独立核验，不增作业或分值。</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：训练损失下降不等于满足物理；用独立边界点和参考解检验。</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：参考书Ⅱ第11章；KnowMat论文（本地文件KnowMat2.pdf）；SDL论文选段。课前只指定本讲用到的页/图，不要求通读所列各章。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：HW4 截止；本讲新内容不设为期末项目必须临时追加的方法。</w:t>
      </w:r>
    </w:p>
    <w:p>
      <w:pPr>
        <w:keepNext/>
        <w:spacing w:before="120" w:after="60"/>
        <w:jc w:val="left"/>
      </w:pPr>
      <w:r>
        <w:rPr>
          <w:rFonts w:ascii="Arial" w:hAnsi="Arial" w:eastAsia="黑体" w:cs="Arial"/>
          <w:b/>
          <w:i w:val="0"/>
          <w:sz w:val="25"/>
        </w:rPr>
        <w:t>第16讲　期末项目答辩、方法复盘与课程总结</w:t>
      </w:r>
    </w:p>
    <w:p>
      <w:pPr>
        <w:ind w:firstLine="480"/>
      </w:pPr>
      <w:r>
        <w:rPr>
          <w:rFonts w:ascii="Times New Roman" w:hAnsi="Times New Roman" w:eastAsia="宋体" w:cs="Times New Roman"/>
          <w:b w:val="0"/>
          <w:i w:val="0"/>
          <w:sz w:val="24"/>
        </w:rPr>
        <w:t>第8周｜2学时｜目标：G1—G6｜学生实践：0分钟</w:t>
      </w:r>
    </w:p>
    <w:p>
      <w:pPr>
        <w:ind w:firstLine="480"/>
      </w:pPr>
      <w:r>
        <w:rPr>
          <w:rFonts w:ascii="Times New Roman" w:hAnsi="Times New Roman" w:eastAsia="宋体" w:cs="Times New Roman"/>
          <w:b/>
          <w:i w:val="0"/>
          <w:sz w:val="24"/>
        </w:rPr>
        <w:t>材料问题/光电案例</w:t>
      </w:r>
      <w:r>
        <w:rPr>
          <w:rFonts w:ascii="Times New Roman" w:hAnsi="Times New Roman" w:eastAsia="宋体" w:cs="Times New Roman"/>
          <w:b w:val="0"/>
          <w:i w:val="0"/>
          <w:sz w:val="24"/>
        </w:rPr>
        <w:t>：鼓励光电材料项目；其他材料方向按同一证据标准评价。</w:t>
      </w:r>
    </w:p>
    <w:p>
      <w:pPr>
        <w:keepNext/>
        <w:spacing w:before="100" w:after="40" w:line="264" w:lineRule="auto"/>
        <w:jc w:val="center"/>
      </w:pPr>
      <w:r>
        <w:rPr>
          <w:rFonts w:ascii="Arial" w:hAnsi="Arial" w:eastAsia="黑体" w:cs="Arial"/>
          <w:b/>
          <w:i w:val="0"/>
          <w:sz w:val="21"/>
        </w:rPr>
        <w:t>表 18　第 16 讲教学分钟安排</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86"/>
        <w:gridCol w:w="1241"/>
        <w:gridCol w:w="7373"/>
      </w:tblGrid>
      <w:tr>
        <w:trPr>
          <w:cantSplit/>
          <w:tblHeader/>
        </w:trPr>
        <w:tc>
          <w:tcPr>
            <w:tcW w:type="dxa" w:w="98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分钟</w:t>
            </w:r>
          </w:p>
        </w:tc>
        <w:tc>
          <w:tcPr>
            <w:tcW w:type="dxa" w:w="1241"/>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形式</w:t>
            </w:r>
          </w:p>
        </w:tc>
        <w:tc>
          <w:tcPr>
            <w:tcW w:type="dxa" w:w="7373"/>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教学内容与动作</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5</w:t>
            </w:r>
          </w:p>
        </w:tc>
        <w:tc>
          <w:tcPr>
            <w:tcW w:type="dxa" w:w="1241"/>
            <w:vAlign w:val="center"/>
          </w:tcPr>
          <w:p>
            <w:pPr>
              <w:keepNext/>
              <w:spacing w:before="20" w:after="20" w:line="259" w:lineRule="auto"/>
              <w:ind w:firstLine="0"/>
              <w:jc w:val="left"/>
            </w:pPr>
            <w:r>
              <w:rPr>
                <w:rFonts w:ascii="Times New Roman" w:hAnsi="Times New Roman" w:eastAsia="宋体" w:cs="Times New Roman"/>
                <w:b w:val="0"/>
                <w:i w:val="0"/>
                <w:sz w:val="20"/>
              </w:rPr>
              <w:t>答辩/总结</w:t>
            </w:r>
          </w:p>
        </w:tc>
        <w:tc>
          <w:tcPr>
            <w:tcW w:type="dxa" w:w="7373"/>
            <w:vAlign w:val="center"/>
          </w:tcPr>
          <w:p>
            <w:pPr>
              <w:keepNext/>
              <w:spacing w:before="20" w:after="20" w:line="259" w:lineRule="auto"/>
              <w:ind w:firstLine="0"/>
              <w:jc w:val="left"/>
            </w:pPr>
            <w:r>
              <w:rPr>
                <w:rFonts w:ascii="Times New Roman" w:hAnsi="Times New Roman" w:eastAsia="宋体" w:cs="Times New Roman"/>
                <w:b w:val="0"/>
                <w:i w:val="0"/>
                <w:sz w:val="20"/>
              </w:rPr>
              <w:t>说明统一评分、个人贡献和计时规则</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70</w:t>
            </w:r>
          </w:p>
        </w:tc>
        <w:tc>
          <w:tcPr>
            <w:tcW w:type="dxa" w:w="1241"/>
            <w:vAlign w:val="center"/>
          </w:tcPr>
          <w:p>
            <w:pPr>
              <w:keepNext/>
              <w:spacing w:before="20" w:after="20" w:line="259" w:lineRule="auto"/>
              <w:ind w:firstLine="0"/>
              <w:jc w:val="left"/>
            </w:pPr>
            <w:r>
              <w:rPr>
                <w:rFonts w:ascii="Times New Roman" w:hAnsi="Times New Roman" w:eastAsia="宋体" w:cs="Times New Roman"/>
                <w:b w:val="0"/>
                <w:i w:val="0"/>
                <w:sz w:val="20"/>
              </w:rPr>
              <w:t>答辩/总结</w:t>
            </w:r>
          </w:p>
        </w:tc>
        <w:tc>
          <w:tcPr>
            <w:tcW w:type="dxa" w:w="7373"/>
            <w:vAlign w:val="center"/>
          </w:tcPr>
          <w:p>
            <w:pPr>
              <w:keepNext/>
              <w:spacing w:before="20" w:after="20" w:line="259" w:lineRule="auto"/>
              <w:ind w:firstLine="0"/>
              <w:jc w:val="left"/>
            </w:pPr>
            <w:r>
              <w:rPr>
                <w:rFonts w:ascii="Times New Roman" w:hAnsi="Times New Roman" w:eastAsia="宋体" w:cs="Times New Roman"/>
                <w:b w:val="0"/>
                <w:i w:val="0"/>
                <w:sz w:val="20"/>
              </w:rPr>
              <w:t>项目答辩与质询；项目少时余时用于同类失败案例和交叉点评</w:t>
            </w:r>
          </w:p>
        </w:tc>
      </w:tr>
      <w:tr>
        <w:trPr>
          <w:cantSplit/>
        </w:trPr>
        <w:tc>
          <w:tcPr>
            <w:tcW w:type="dxa" w:w="986"/>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1241"/>
            <w:vAlign w:val="center"/>
          </w:tcPr>
          <w:p>
            <w:pPr>
              <w:keepNext/>
              <w:spacing w:before="20" w:after="20" w:line="259" w:lineRule="auto"/>
              <w:ind w:firstLine="0"/>
              <w:jc w:val="left"/>
            </w:pPr>
            <w:r>
              <w:rPr>
                <w:rFonts w:ascii="Times New Roman" w:hAnsi="Times New Roman" w:eastAsia="宋体" w:cs="Times New Roman"/>
                <w:b w:val="0"/>
                <w:i w:val="0"/>
                <w:sz w:val="20"/>
              </w:rPr>
              <w:t>答辩/总结</w:t>
            </w:r>
          </w:p>
        </w:tc>
        <w:tc>
          <w:tcPr>
            <w:tcW w:type="dxa" w:w="7373"/>
            <w:vAlign w:val="center"/>
          </w:tcPr>
          <w:p>
            <w:pPr>
              <w:keepNext/>
              <w:spacing w:before="20" w:after="20" w:line="259" w:lineRule="auto"/>
              <w:ind w:firstLine="0"/>
              <w:jc w:val="left"/>
            </w:pPr>
            <w:r>
              <w:rPr>
                <w:rFonts w:ascii="Times New Roman" w:hAnsi="Times New Roman" w:eastAsia="宋体" w:cs="Times New Roman"/>
                <w:b w:val="0"/>
                <w:i w:val="0"/>
                <w:sz w:val="20"/>
              </w:rPr>
              <w:t>归纳数据—表示—评估—决策链；反馈与后续研究路线</w:t>
            </w:r>
          </w:p>
        </w:tc>
      </w:tr>
      <w:tr>
        <w:trPr>
          <w:cantSplit/>
        </w:trPr>
        <w:tc>
          <w:tcPr>
            <w:tcW w:type="dxa" w:w="986"/>
            <w:vAlign w:val="center"/>
          </w:tcPr>
          <w:p>
            <w:pPr>
              <w:spacing w:before="20" w:after="20" w:line="259" w:lineRule="auto"/>
              <w:ind w:firstLine="0"/>
              <w:jc w:val="left"/>
            </w:pPr>
            <w:r>
              <w:rPr>
                <w:rFonts w:ascii="Times New Roman" w:hAnsi="Times New Roman" w:eastAsia="宋体" w:cs="Times New Roman"/>
                <w:b/>
                <w:i w:val="0"/>
                <w:sz w:val="20"/>
              </w:rPr>
              <w:t>90</w:t>
            </w:r>
          </w:p>
        </w:tc>
        <w:tc>
          <w:tcPr>
            <w:tcW w:type="dxa" w:w="1241"/>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7373"/>
            <w:vAlign w:val="center"/>
          </w:tcPr>
          <w:p>
            <w:pPr>
              <w:spacing w:before="20" w:after="20" w:line="259" w:lineRule="auto"/>
              <w:ind w:firstLine="0"/>
              <w:jc w:val="left"/>
            </w:pPr>
            <w:r>
              <w:rPr>
                <w:rFonts w:ascii="Times New Roman" w:hAnsi="Times New Roman" w:eastAsia="宋体" w:cs="Times New Roman"/>
                <w:b/>
                <w:i w:val="0"/>
                <w:sz w:val="20"/>
              </w:rPr>
              <w:t>2学时</w:t>
            </w:r>
          </w:p>
        </w:tc>
      </w:tr>
    </w:tbl>
    <w:p>
      <w:pPr>
        <w:ind w:firstLine="480"/>
      </w:pPr>
      <w:r>
        <w:rPr>
          <w:rFonts w:ascii="Times New Roman" w:hAnsi="Times New Roman" w:eastAsia="宋体" w:cs="Times New Roman"/>
          <w:b/>
          <w:i w:val="0"/>
          <w:sz w:val="24"/>
        </w:rPr>
        <w:t>课堂产出</w:t>
      </w:r>
      <w:r>
        <w:rPr>
          <w:rFonts w:ascii="Times New Roman" w:hAnsi="Times New Roman" w:eastAsia="宋体" w:cs="Times New Roman"/>
          <w:b w:val="0"/>
          <w:i w:val="0"/>
          <w:sz w:val="24"/>
        </w:rPr>
        <w:t>：项目报告、可复现材料、答辩PPT及个人贡献说明。</w:t>
      </w:r>
    </w:p>
    <w:p>
      <w:pPr>
        <w:ind w:firstLine="480"/>
      </w:pPr>
      <w:r>
        <w:rPr>
          <w:rFonts w:ascii="Times New Roman" w:hAnsi="Times New Roman" w:eastAsia="宋体" w:cs="Times New Roman"/>
          <w:b/>
          <w:i w:val="0"/>
          <w:sz w:val="24"/>
        </w:rPr>
        <w:t>验收焦点</w:t>
      </w:r>
      <w:r>
        <w:rPr>
          <w:rFonts w:ascii="Times New Roman" w:hAnsi="Times New Roman" w:eastAsia="宋体" w:cs="Times New Roman"/>
          <w:b w:val="0"/>
          <w:i w:val="0"/>
          <w:sz w:val="24"/>
        </w:rPr>
        <w:t>：用证据回答材料问题，并明确一项结论局限和下一次实验/计算建议。</w:t>
      </w:r>
    </w:p>
    <w:p>
      <w:pPr>
        <w:ind w:firstLine="480"/>
      </w:pPr>
      <w:r>
        <w:rPr>
          <w:rFonts w:ascii="Times New Roman" w:hAnsi="Times New Roman" w:eastAsia="宋体" w:cs="Times New Roman"/>
          <w:b/>
          <w:i w:val="0"/>
          <w:sz w:val="24"/>
        </w:rPr>
        <w:t>准备/阅读</w:t>
      </w:r>
      <w:r>
        <w:rPr>
          <w:rFonts w:ascii="Times New Roman" w:hAnsi="Times New Roman" w:eastAsia="宋体" w:cs="Times New Roman"/>
          <w:b w:val="0"/>
          <w:i w:val="0"/>
          <w:sz w:val="24"/>
        </w:rPr>
        <w:t>：本人项目记录；课程方法清单。课前只指定本讲用到的页/图，不要求通读所列各章。</w:t>
      </w:r>
    </w:p>
    <w:p>
      <w:pPr>
        <w:ind w:firstLine="480"/>
      </w:pPr>
      <w:r>
        <w:rPr>
          <w:rFonts w:ascii="Times New Roman" w:hAnsi="Times New Roman" w:eastAsia="宋体" w:cs="Times New Roman"/>
          <w:b/>
          <w:i w:val="0"/>
          <w:sz w:val="24"/>
        </w:rPr>
        <w:t>节点</w:t>
      </w:r>
      <w:r>
        <w:rPr>
          <w:rFonts w:ascii="Times New Roman" w:hAnsi="Times New Roman" w:eastAsia="宋体" w:cs="Times New Roman"/>
          <w:b w:val="0"/>
          <w:i w:val="0"/>
          <w:sz w:val="24"/>
        </w:rPr>
        <w:t>：项目材料于本讲前24小时提交；答辩仅纠错补交，不新增第五次作业。</w:t>
      </w:r>
    </w:p>
    <w:p>
      <w:pPr>
        <w:keepNext/>
        <w:spacing w:before="200" w:after="100"/>
        <w:jc w:val="left"/>
      </w:pPr>
      <w:r>
        <w:rPr>
          <w:rFonts w:ascii="Arial" w:hAnsi="Arial" w:eastAsia="黑体" w:cs="Arial"/>
          <w:b/>
          <w:i w:val="0"/>
          <w:sz w:val="28"/>
        </w:rPr>
        <w:t>四、四次作业的实施与评分</w:t>
      </w:r>
    </w:p>
    <w:p>
      <w:pPr>
        <w:ind w:firstLine="480"/>
      </w:pPr>
      <w:r>
        <w:rPr>
          <w:rFonts w:ascii="Times New Roman" w:hAnsi="Times New Roman" w:eastAsia="宋体" w:cs="Times New Roman"/>
          <w:b w:val="0"/>
          <w:i w:val="0"/>
          <w:sz w:val="24"/>
        </w:rPr>
        <w:t>四次作业各占总评7.5%，每次满分100。本节是V5本地重组范围，旧英文HW说明作素材和拓展题库；不得同时要求学生完成旧版全部任务。</w:t>
      </w:r>
    </w:p>
    <w:p>
      <w:pPr>
        <w:keepNext/>
        <w:spacing w:before="100" w:after="40" w:line="264" w:lineRule="auto"/>
        <w:jc w:val="center"/>
      </w:pPr>
      <w:r>
        <w:rPr>
          <w:rFonts w:ascii="Arial" w:hAnsi="Arial" w:eastAsia="黑体" w:cs="Arial"/>
          <w:b/>
          <w:i w:val="0"/>
          <w:sz w:val="21"/>
        </w:rPr>
        <w:t>表 19　四次作业的实施与评分</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720"/>
        <w:gridCol w:w="945"/>
        <w:gridCol w:w="945"/>
        <w:gridCol w:w="4325"/>
        <w:gridCol w:w="1128"/>
        <w:gridCol w:w="1537"/>
      </w:tblGrid>
      <w:tr>
        <w:trPr>
          <w:cantSplit/>
          <w:tblHeader/>
        </w:trPr>
        <w:tc>
          <w:tcPr>
            <w:tcW w:type="dxa" w:w="72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作业</w:t>
            </w:r>
          </w:p>
        </w:tc>
        <w:tc>
          <w:tcPr>
            <w:tcW w:type="dxa" w:w="9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发布</w:t>
            </w:r>
          </w:p>
        </w:tc>
        <w:tc>
          <w:tcPr>
            <w:tcW w:type="dxa" w:w="9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截止</w:t>
            </w:r>
          </w:p>
        </w:tc>
        <w:tc>
          <w:tcPr>
            <w:tcW w:type="dxa" w:w="432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必做任务/内部得分</w:t>
            </w:r>
          </w:p>
        </w:tc>
        <w:tc>
          <w:tcPr>
            <w:tcW w:type="dxa" w:w="1128"/>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总评占比</w:t>
            </w:r>
          </w:p>
        </w:tc>
        <w:tc>
          <w:tcPr>
            <w:tcW w:type="dxa" w:w="1537"/>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预计课外小时</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HW1</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第3讲</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第6讲</w:t>
            </w:r>
          </w:p>
        </w:tc>
        <w:tc>
          <w:tcPr>
            <w:tcW w:type="dxa" w:w="4325"/>
            <w:vAlign w:val="center"/>
          </w:tcPr>
          <w:p>
            <w:pPr>
              <w:keepNext/>
              <w:spacing w:before="20" w:after="20" w:line="259" w:lineRule="auto"/>
              <w:ind w:firstLine="0"/>
              <w:jc w:val="left"/>
            </w:pPr>
            <w:r>
              <w:rPr>
                <w:rFonts w:ascii="Times New Roman" w:hAnsi="Times New Roman" w:eastAsia="宋体" w:cs="Times New Roman"/>
                <w:b w:val="0"/>
                <w:i w:val="0"/>
                <w:sz w:val="20"/>
              </w:rPr>
              <w:t>来源单位30、清洗决策30、成分特征25、多源语义15</w:t>
            </w:r>
          </w:p>
        </w:tc>
        <w:tc>
          <w:tcPr>
            <w:tcW w:type="dxa" w:w="1128"/>
            <w:vAlign w:val="center"/>
          </w:tcPr>
          <w:p>
            <w:pPr>
              <w:keepNext/>
              <w:spacing w:before="20" w:after="20" w:line="259" w:lineRule="auto"/>
              <w:ind w:firstLine="0"/>
              <w:jc w:val="left"/>
            </w:pPr>
            <w:r>
              <w:rPr>
                <w:rFonts w:ascii="Times New Roman" w:hAnsi="Times New Roman" w:eastAsia="宋体" w:cs="Times New Roman"/>
                <w:b w:val="0"/>
                <w:i w:val="0"/>
                <w:sz w:val="20"/>
              </w:rPr>
              <w:t>7.5%</w:t>
            </w:r>
          </w:p>
        </w:tc>
        <w:tc>
          <w:tcPr>
            <w:tcW w:type="dxa" w:w="1537"/>
            <w:vAlign w:val="center"/>
          </w:tcPr>
          <w:p>
            <w:pPr>
              <w:keepNext/>
              <w:spacing w:before="20" w:after="20" w:line="259" w:lineRule="auto"/>
              <w:ind w:firstLine="0"/>
              <w:jc w:val="left"/>
            </w:pPr>
            <w:r>
              <w:rPr>
                <w:rFonts w:ascii="Times New Roman" w:hAnsi="Times New Roman" w:eastAsia="宋体" w:cs="Times New Roman"/>
                <w:b w:val="0"/>
                <w:i w:val="0"/>
                <w:sz w:val="20"/>
              </w:rPr>
              <w:t>3—4</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HW2</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第5讲</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第10讲</w:t>
            </w:r>
          </w:p>
        </w:tc>
        <w:tc>
          <w:tcPr>
            <w:tcW w:type="dxa" w:w="4325"/>
            <w:vAlign w:val="center"/>
          </w:tcPr>
          <w:p>
            <w:pPr>
              <w:keepNext/>
              <w:spacing w:before="20" w:after="20" w:line="259" w:lineRule="auto"/>
              <w:ind w:firstLine="0"/>
              <w:jc w:val="left"/>
            </w:pPr>
            <w:r>
              <w:rPr>
                <w:rFonts w:ascii="Times New Roman" w:hAnsi="Times New Roman" w:eastAsia="宋体" w:cs="Times New Roman"/>
                <w:b w:val="0"/>
                <w:i w:val="0"/>
                <w:sz w:val="20"/>
              </w:rPr>
              <w:t>分子表示/格式40、模型及分组验证40、解释与复现20</w:t>
            </w:r>
          </w:p>
        </w:tc>
        <w:tc>
          <w:tcPr>
            <w:tcW w:type="dxa" w:w="1128"/>
            <w:vAlign w:val="center"/>
          </w:tcPr>
          <w:p>
            <w:pPr>
              <w:keepNext/>
              <w:spacing w:before="20" w:after="20" w:line="259" w:lineRule="auto"/>
              <w:ind w:firstLine="0"/>
              <w:jc w:val="left"/>
            </w:pPr>
            <w:r>
              <w:rPr>
                <w:rFonts w:ascii="Times New Roman" w:hAnsi="Times New Roman" w:eastAsia="宋体" w:cs="Times New Roman"/>
                <w:b w:val="0"/>
                <w:i w:val="0"/>
                <w:sz w:val="20"/>
              </w:rPr>
              <w:t>7.5%</w:t>
            </w:r>
          </w:p>
        </w:tc>
        <w:tc>
          <w:tcPr>
            <w:tcW w:type="dxa" w:w="1537"/>
            <w:vAlign w:val="center"/>
          </w:tcPr>
          <w:p>
            <w:pPr>
              <w:keepNext/>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HW3</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第11讲</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第13讲</w:t>
            </w:r>
          </w:p>
        </w:tc>
        <w:tc>
          <w:tcPr>
            <w:tcW w:type="dxa" w:w="4325"/>
            <w:vAlign w:val="center"/>
          </w:tcPr>
          <w:p>
            <w:pPr>
              <w:keepNext/>
              <w:spacing w:before="20" w:after="20" w:line="259" w:lineRule="auto"/>
              <w:ind w:firstLine="0"/>
              <w:jc w:val="left"/>
            </w:pPr>
            <w:r>
              <w:rPr>
                <w:rFonts w:ascii="Times New Roman" w:hAnsi="Times New Roman" w:eastAsia="宋体" w:cs="Times New Roman"/>
                <w:b w:val="0"/>
                <w:i w:val="0"/>
                <w:sz w:val="20"/>
              </w:rPr>
              <w:t>CrabNet运行/推理分析40、同协议基线30、迁移/表示消融20、成本复现10</w:t>
            </w:r>
          </w:p>
        </w:tc>
        <w:tc>
          <w:tcPr>
            <w:tcW w:type="dxa" w:w="1128"/>
            <w:vAlign w:val="center"/>
          </w:tcPr>
          <w:p>
            <w:pPr>
              <w:keepNext/>
              <w:spacing w:before="20" w:after="20" w:line="259" w:lineRule="auto"/>
              <w:ind w:firstLine="0"/>
              <w:jc w:val="left"/>
            </w:pPr>
            <w:r>
              <w:rPr>
                <w:rFonts w:ascii="Times New Roman" w:hAnsi="Times New Roman" w:eastAsia="宋体" w:cs="Times New Roman"/>
                <w:b w:val="0"/>
                <w:i w:val="0"/>
                <w:sz w:val="20"/>
              </w:rPr>
              <w:t>7.5%</w:t>
            </w:r>
          </w:p>
        </w:tc>
        <w:tc>
          <w:tcPr>
            <w:tcW w:type="dxa" w:w="1537"/>
            <w:vAlign w:val="center"/>
          </w:tcPr>
          <w:p>
            <w:pPr>
              <w:keepNext/>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HW4</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第13讲</w:t>
            </w:r>
          </w:p>
        </w:tc>
        <w:tc>
          <w:tcPr>
            <w:tcW w:type="dxa" w:w="945"/>
            <w:vAlign w:val="center"/>
          </w:tcPr>
          <w:p>
            <w:pPr>
              <w:keepNext/>
              <w:spacing w:before="20" w:after="20" w:line="259" w:lineRule="auto"/>
              <w:ind w:firstLine="0"/>
              <w:jc w:val="left"/>
            </w:pPr>
            <w:r>
              <w:rPr>
                <w:rFonts w:ascii="Times New Roman" w:hAnsi="Times New Roman" w:eastAsia="宋体" w:cs="Times New Roman"/>
                <w:b w:val="0"/>
                <w:i w:val="0"/>
                <w:sz w:val="20"/>
              </w:rPr>
              <w:t>第15讲</w:t>
            </w:r>
          </w:p>
        </w:tc>
        <w:tc>
          <w:tcPr>
            <w:tcW w:type="dxa" w:w="4325"/>
            <w:vAlign w:val="center"/>
          </w:tcPr>
          <w:p>
            <w:pPr>
              <w:keepNext/>
              <w:spacing w:before="20" w:after="20" w:line="259" w:lineRule="auto"/>
              <w:ind w:firstLine="0"/>
              <w:jc w:val="left"/>
            </w:pPr>
            <w:r>
              <w:rPr>
                <w:rFonts w:ascii="Times New Roman" w:hAnsi="Times New Roman" w:eastAsia="宋体" w:cs="Times New Roman"/>
                <w:b w:val="0"/>
                <w:i w:val="0"/>
                <w:sz w:val="20"/>
              </w:rPr>
              <w:t>推断与GP30、采集函数/同预算回放40、Optuna隔离15、决策约束15</w:t>
            </w:r>
          </w:p>
        </w:tc>
        <w:tc>
          <w:tcPr>
            <w:tcW w:type="dxa" w:w="1128"/>
            <w:vAlign w:val="center"/>
          </w:tcPr>
          <w:p>
            <w:pPr>
              <w:keepNext/>
              <w:spacing w:before="20" w:after="20" w:line="259" w:lineRule="auto"/>
              <w:ind w:firstLine="0"/>
              <w:jc w:val="left"/>
            </w:pPr>
            <w:r>
              <w:rPr>
                <w:rFonts w:ascii="Times New Roman" w:hAnsi="Times New Roman" w:eastAsia="宋体" w:cs="Times New Roman"/>
                <w:b w:val="0"/>
                <w:i w:val="0"/>
                <w:sz w:val="20"/>
              </w:rPr>
              <w:t>7.5%</w:t>
            </w:r>
          </w:p>
        </w:tc>
        <w:tc>
          <w:tcPr>
            <w:tcW w:type="dxa" w:w="1537"/>
            <w:vAlign w:val="center"/>
          </w:tcPr>
          <w:p>
            <w:pPr>
              <w:keepNext/>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合计</w:t>
            </w:r>
          </w:p>
        </w:tc>
        <w:tc>
          <w:tcPr>
            <w:tcW w:type="dxa" w:w="945"/>
            <w:vAlign w:val="center"/>
          </w:tcPr>
          <w:p>
            <w:pPr>
              <w:spacing w:before="20" w:after="20" w:line="259" w:lineRule="auto"/>
              <w:ind w:firstLine="0"/>
              <w:jc w:val="left"/>
            </w:pPr>
            <w:r>
              <w:rPr>
                <w:rFonts w:ascii="Times New Roman" w:hAnsi="Times New Roman" w:eastAsia="宋体" w:cs="Times New Roman"/>
                <w:b w:val="0"/>
                <w:i w:val="0"/>
                <w:sz w:val="20"/>
              </w:rPr>
              <w:t>—</w:t>
            </w:r>
          </w:p>
        </w:tc>
        <w:tc>
          <w:tcPr>
            <w:tcW w:type="dxa" w:w="945"/>
            <w:vAlign w:val="center"/>
          </w:tcPr>
          <w:p>
            <w:pPr>
              <w:spacing w:before="20" w:after="20" w:line="259" w:lineRule="auto"/>
              <w:ind w:firstLine="0"/>
              <w:jc w:val="left"/>
            </w:pPr>
            <w:r>
              <w:rPr>
                <w:rFonts w:ascii="Times New Roman" w:hAnsi="Times New Roman" w:eastAsia="宋体" w:cs="Times New Roman"/>
                <w:b w:val="0"/>
                <w:i w:val="0"/>
                <w:sz w:val="20"/>
              </w:rPr>
              <w:t>—</w:t>
            </w:r>
          </w:p>
        </w:tc>
        <w:tc>
          <w:tcPr>
            <w:tcW w:type="dxa" w:w="4325"/>
            <w:vAlign w:val="center"/>
          </w:tcPr>
          <w:p>
            <w:pPr>
              <w:spacing w:before="20" w:after="20" w:line="259" w:lineRule="auto"/>
              <w:ind w:firstLine="0"/>
              <w:jc w:val="left"/>
            </w:pPr>
            <w:r>
              <w:rPr>
                <w:rFonts w:ascii="Times New Roman" w:hAnsi="Times New Roman" w:eastAsia="宋体" w:cs="Times New Roman"/>
                <w:b w:val="0"/>
                <w:i w:val="0"/>
                <w:sz w:val="20"/>
              </w:rPr>
              <w:t>四次作业各100分</w:t>
            </w:r>
          </w:p>
        </w:tc>
        <w:tc>
          <w:tcPr>
            <w:tcW w:type="dxa" w:w="1128"/>
            <w:vAlign w:val="center"/>
          </w:tcPr>
          <w:p>
            <w:pPr>
              <w:spacing w:before="20" w:after="20" w:line="259" w:lineRule="auto"/>
              <w:ind w:firstLine="0"/>
              <w:jc w:val="left"/>
            </w:pPr>
            <w:r>
              <w:rPr>
                <w:rFonts w:ascii="Times New Roman" w:hAnsi="Times New Roman" w:eastAsia="宋体" w:cs="Times New Roman"/>
                <w:b w:val="0"/>
                <w:i w:val="0"/>
                <w:sz w:val="20"/>
              </w:rPr>
              <w:t>30%</w:t>
            </w:r>
          </w:p>
        </w:tc>
        <w:tc>
          <w:tcPr>
            <w:tcW w:type="dxa" w:w="1537"/>
            <w:vAlign w:val="center"/>
          </w:tcPr>
          <w:p>
            <w:pPr>
              <w:spacing w:before="20" w:after="20" w:line="259" w:lineRule="auto"/>
              <w:ind w:firstLine="0"/>
              <w:jc w:val="left"/>
            </w:pPr>
            <w:r>
              <w:rPr>
                <w:rFonts w:ascii="Times New Roman" w:hAnsi="Times New Roman" w:eastAsia="宋体" w:cs="Times New Roman"/>
                <w:b w:val="0"/>
                <w:i w:val="0"/>
                <w:sz w:val="20"/>
              </w:rPr>
              <w:t>15—19</w:t>
            </w:r>
          </w:p>
        </w:tc>
      </w:tr>
    </w:tbl>
    <w:p>
      <w:pPr>
        <w:keepNext/>
        <w:spacing w:before="120" w:after="60"/>
        <w:jc w:val="left"/>
      </w:pPr>
      <w:r>
        <w:rPr>
          <w:rFonts w:ascii="Arial" w:hAnsi="Arial" w:eastAsia="黑体" w:cs="Arial"/>
          <w:b/>
          <w:i w:val="0"/>
          <w:sz w:val="25"/>
        </w:rPr>
        <w:t>共同交付</w:t>
      </w:r>
    </w:p>
    <w:p>
      <w:pPr>
        <w:ind w:firstLine="480"/>
      </w:pPr>
      <w:r>
        <w:rPr>
          <w:rFonts w:ascii="Times New Roman" w:hAnsi="Times New Roman" w:eastAsia="宋体" w:cs="Times New Roman"/>
          <w:b w:val="0"/>
          <w:i w:val="0"/>
          <w:sz w:val="24"/>
        </w:rPr>
        <w:t>提交一个可从头运行的Notebook或脚本、必要的本地数据说明与运行步骤、结果图表和短分析。可复用代码应标明来源；提交AI辅助任务、输入/代码/数据/划分版本、真实输出与独立核验记录；说明失败和人工修改，不能用AI自称成功替代复核。不得提交API密钥或未经授权的原始科研数据。默认使用教师公布的统一随机种子和划分；额外种子仅作稳健性分析，不选择最好结果代替报告。</w:t>
      </w:r>
    </w:p>
    <w:p>
      <w:pPr>
        <w:keepNext/>
        <w:spacing w:before="120" w:after="60"/>
        <w:jc w:val="left"/>
      </w:pPr>
      <w:r>
        <w:rPr>
          <w:rFonts w:ascii="Arial" w:hAnsi="Arial" w:eastAsia="黑体" w:cs="Arial"/>
          <w:b/>
          <w:i w:val="0"/>
          <w:sz w:val="25"/>
        </w:rPr>
        <w:t>每次最低验收</w:t>
      </w:r>
    </w:p>
    <w:p>
      <w:pPr>
        <w:spacing w:before="0" w:after="0"/>
        <w:ind w:left="480" w:hanging="240"/>
      </w:pPr>
      <w:r>
        <w:rPr>
          <w:rFonts w:ascii="Times New Roman" w:hAnsi="Times New Roman" w:eastAsia="宋体" w:cs="Times New Roman"/>
          <w:b w:val="0"/>
          <w:i w:val="0"/>
          <w:sz w:val="24"/>
        </w:rPr>
        <w:t xml:space="preserve">·  </w:t>
      </w:r>
      <w:r>
        <w:rPr>
          <w:rFonts w:ascii="Times New Roman" w:hAnsi="Times New Roman" w:eastAsia="宋体" w:cs="Times New Roman"/>
          <w:b/>
          <w:i w:val="0"/>
          <w:sz w:val="24"/>
        </w:rPr>
        <w:t>HW1</w:t>
      </w:r>
      <w:r>
        <w:rPr>
          <w:rFonts w:ascii="Times New Roman" w:hAnsi="Times New Roman" w:eastAsia="宋体" w:cs="Times New Roman"/>
          <w:b w:val="0"/>
          <w:i w:val="0"/>
          <w:sz w:val="24"/>
        </w:rPr>
        <w:t>：保留原始ID；标注带隙等物理量单位；说明完全重复、同式异构、相同条件重复测量三者的不同处理。聚合阈值应由物理条件和误差依据决定，不统一规定“同式取均值”。</w:t>
      </w:r>
    </w:p>
    <w:p>
      <w:pPr>
        <w:spacing w:before="0" w:after="0"/>
        <w:ind w:left="480" w:hanging="240"/>
      </w:pPr>
      <w:r>
        <w:rPr>
          <w:rFonts w:ascii="Times New Roman" w:hAnsi="Times New Roman" w:eastAsia="宋体" w:cs="Times New Roman"/>
          <w:b w:val="0"/>
          <w:i w:val="0"/>
          <w:sz w:val="24"/>
        </w:rPr>
        <w:t xml:space="preserve">·  </w:t>
      </w:r>
      <w:r>
        <w:rPr>
          <w:rFonts w:ascii="Times New Roman" w:hAnsi="Times New Roman" w:eastAsia="宋体" w:cs="Times New Roman"/>
          <w:b/>
          <w:i w:val="0"/>
          <w:sz w:val="24"/>
        </w:rPr>
        <w:t>HW2</w:t>
      </w:r>
      <w:r>
        <w:rPr>
          <w:rFonts w:ascii="Times New Roman" w:hAnsi="Times New Roman" w:eastAsia="宋体" w:cs="Times New Roman"/>
          <w:b w:val="0"/>
          <w:i w:val="0"/>
          <w:sz w:val="24"/>
        </w:rPr>
        <w:t>：表示40分中，描述符/指纹20、2D/3D/文件/图格式比较20；模型及验证40分中，基线15、无泄漏分组/随机比较25。分组与应用场景相符；全部拟合型预处理只在训练折内完成。聚类和UMAP图用于探索，不能替代测试分数。</w:t>
      </w:r>
    </w:p>
    <w:p>
      <w:pPr>
        <w:spacing w:before="0" w:after="0"/>
        <w:ind w:left="480" w:hanging="240"/>
      </w:pPr>
      <w:r>
        <w:rPr>
          <w:rFonts w:ascii="Times New Roman" w:hAnsi="Times New Roman" w:eastAsia="宋体" w:cs="Times New Roman"/>
          <w:b w:val="0"/>
          <w:i w:val="0"/>
          <w:sz w:val="24"/>
        </w:rPr>
        <w:t xml:space="preserve">·  </w:t>
      </w:r>
      <w:r>
        <w:rPr>
          <w:rFonts w:ascii="Times New Roman" w:hAnsi="Times New Roman" w:eastAsia="宋体" w:cs="Times New Roman"/>
          <w:b/>
          <w:i w:val="0"/>
          <w:sz w:val="24"/>
        </w:rPr>
        <w:t>HW3</w:t>
      </w:r>
      <w:r>
        <w:rPr>
          <w:rFonts w:ascii="Times New Roman" w:hAnsi="Times New Roman" w:eastAsia="宋体" w:cs="Times New Roman"/>
          <w:b w:val="0"/>
          <w:i w:val="0"/>
          <w:sz w:val="24"/>
        </w:rPr>
        <w:t>：在同一数据、划分与预算下比较CrabNet和经典/MLP基线；可用教师统一权重完成推理、失败案例和泄漏审查，等价评分。权重须记录来源及训练数据与评估集的重叠情况；训练来源不明时只能作演示性分析，不声称独立泛化验证。无论采用哪条路径，都须提交源域/目标域关系、可用信息与负迁移风险的判断；有依据地否决迁移也是合格结论。自选完整VAE/XRD训练替代本地表示消融时须事先说明任务等价，分值仍封顶100。</w:t>
      </w:r>
    </w:p>
    <w:p>
      <w:pPr>
        <w:spacing w:before="0" w:after="0"/>
        <w:ind w:left="480" w:hanging="240"/>
      </w:pPr>
      <w:r>
        <w:rPr>
          <w:rFonts w:ascii="Times New Roman" w:hAnsi="Times New Roman" w:eastAsia="宋体" w:cs="Times New Roman"/>
          <w:b w:val="0"/>
          <w:i w:val="0"/>
          <w:sz w:val="24"/>
        </w:rPr>
        <w:t xml:space="preserve">·  </w:t>
      </w:r>
      <w:r>
        <w:rPr>
          <w:rFonts w:ascii="Times New Roman" w:hAnsi="Times New Roman" w:eastAsia="宋体" w:cs="Times New Roman"/>
          <w:b/>
          <w:i w:val="0"/>
          <w:sz w:val="24"/>
        </w:rPr>
        <w:t>HW4</w:t>
      </w:r>
      <w:r>
        <w:rPr>
          <w:rFonts w:ascii="Times New Roman" w:hAnsi="Times New Roman" w:eastAsia="宋体" w:cs="Times New Roman"/>
          <w:b w:val="0"/>
          <w:i w:val="0"/>
          <w:sz w:val="24"/>
        </w:rPr>
        <w:t>：采集函数40分中，UCB/EI/PI数值与边界检查15、同预算回放和对照25。同一初始点、候选池和查询预算；未查询标签在决策前不可见；报告多次初始划分或明确单次结果的局限。Optuna目标使用验证集/内层CV，最终测试集只用于冻结模型后的评估。显式记录采样器；TPE与GP采样器不混称。</w:t>
      </w:r>
    </w:p>
    <w:p>
      <w:pPr>
        <w:ind w:firstLine="480"/>
      </w:pPr>
      <w:r>
        <w:rPr>
          <w:rFonts w:ascii="Times New Roman" w:hAnsi="Times New Roman" w:eastAsia="宋体" w:cs="Times New Roman"/>
          <w:b w:val="0"/>
          <w:i w:val="0"/>
          <w:sz w:val="24"/>
        </w:rPr>
        <w:t>全课程的最低学习目标不要求从零推导Fisher信息/ELBO、实现全部生成模型或运行大规模超参数搜索。V5中文作业包和评分表需依本节制作，当前不将它们标为已完成。</w:t>
      </w:r>
    </w:p>
    <w:p>
      <w:pPr>
        <w:keepNext/>
        <w:spacing w:before="200" w:after="100"/>
        <w:jc w:val="left"/>
      </w:pPr>
      <w:r>
        <w:rPr>
          <w:rFonts w:ascii="Arial" w:hAnsi="Arial" w:eastAsia="黑体" w:cs="Arial"/>
          <w:b/>
          <w:i w:val="0"/>
          <w:sz w:val="28"/>
        </w:rPr>
        <w:t>五、论文研讨与项目答辩</w:t>
      </w:r>
    </w:p>
    <w:p>
      <w:pPr>
        <w:keepNext/>
        <w:spacing w:before="120" w:after="60"/>
        <w:jc w:val="left"/>
      </w:pPr>
      <w:r>
        <w:rPr>
          <w:rFonts w:ascii="Arial" w:hAnsi="Arial" w:eastAsia="黑体" w:cs="Arial"/>
          <w:b/>
          <w:i w:val="0"/>
          <w:sz w:val="25"/>
        </w:rPr>
        <w:t>论文评议：全员同标准</w:t>
      </w:r>
    </w:p>
    <w:p>
      <w:pPr>
        <w:ind w:firstLine="480"/>
      </w:pPr>
      <w:r>
        <w:rPr>
          <w:rFonts w:ascii="Times New Roman" w:hAnsi="Times New Roman" w:eastAsia="宋体" w:cs="Times New Roman"/>
          <w:b w:val="0"/>
          <w:i w:val="0"/>
          <w:sz w:val="24"/>
        </w:rPr>
        <w:t>第4讲发布经文件核验的候选，每人选1篇。第8、10讲各20分钟、各2项，固定每项7分钟报告+3分钟质询；两场合计40分钟，已经计入相应课次。全体提交1000—1500字评议及约300字讨论记录，于第10讲截止。书面评议占研讨环节80%、讨论记录20%，研讨环节占课程20%。</w:t>
      </w:r>
    </w:p>
    <w:p>
      <w:pPr>
        <w:ind w:firstLine="480"/>
      </w:pPr>
      <w:r>
        <w:rPr>
          <w:rFonts w:ascii="Times New Roman" w:hAnsi="Times New Roman" w:eastAsia="宋体" w:cs="Times New Roman"/>
          <w:b w:val="0"/>
          <w:i w:val="0"/>
          <w:sz w:val="24"/>
        </w:rPr>
        <w:t>现场仅为交流训练，选中与否不产生分数差。未上台者可在讨论记录中比较两个报告的验证设计或给出有证据的质疑。各类论文共同评价“核心假设—证据—局限—可检验改进”，不因论文模型复杂而加分。</w:t>
      </w:r>
    </w:p>
    <w:p>
      <w:pPr>
        <w:keepNext/>
        <w:spacing w:before="120" w:after="60"/>
        <w:jc w:val="left"/>
      </w:pPr>
      <w:r>
        <w:rPr>
          <w:rFonts w:ascii="Arial" w:hAnsi="Arial" w:eastAsia="黑体" w:cs="Arial"/>
          <w:b/>
          <w:i w:val="0"/>
          <w:sz w:val="25"/>
        </w:rPr>
        <w:t>项目：研究问题优先</w:t>
      </w:r>
    </w:p>
    <w:p>
      <w:pPr>
        <w:keepNext/>
        <w:spacing w:before="100" w:after="40" w:line="264" w:lineRule="auto"/>
        <w:jc w:val="center"/>
      </w:pPr>
      <w:r>
        <w:rPr>
          <w:rFonts w:ascii="Arial" w:hAnsi="Arial" w:eastAsia="黑体" w:cs="Arial"/>
          <w:b/>
          <w:i w:val="0"/>
          <w:sz w:val="21"/>
        </w:rPr>
        <w:t>表 20　项目节点、最低产出与教师反馈</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781"/>
        <w:gridCol w:w="3975"/>
        <w:gridCol w:w="3844"/>
      </w:tblGrid>
      <w:tr>
        <w:trPr>
          <w:cantSplit/>
          <w:tblHeader/>
        </w:trPr>
        <w:tc>
          <w:tcPr>
            <w:tcW w:type="dxa" w:w="1781"/>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节点</w:t>
            </w:r>
          </w:p>
        </w:tc>
        <w:tc>
          <w:tcPr>
            <w:tcW w:type="dxa" w:w="397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最低产出</w:t>
            </w:r>
          </w:p>
        </w:tc>
        <w:tc>
          <w:tcPr>
            <w:tcW w:type="dxa" w:w="3844"/>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教师反馈</w:t>
            </w:r>
          </w:p>
        </w:tc>
      </w:tr>
      <w:tr>
        <w:trPr>
          <w:cantSplit/>
        </w:trPr>
        <w:tc>
          <w:tcPr>
            <w:tcW w:type="dxa" w:w="1781"/>
            <w:vAlign w:val="center"/>
          </w:tcPr>
          <w:p>
            <w:pPr>
              <w:keepNext/>
              <w:spacing w:before="20" w:after="20" w:line="259" w:lineRule="auto"/>
              <w:ind w:firstLine="0"/>
              <w:jc w:val="left"/>
            </w:pPr>
            <w:r>
              <w:rPr>
                <w:rFonts w:ascii="Times New Roman" w:hAnsi="Times New Roman" w:eastAsia="宋体" w:cs="Times New Roman"/>
                <w:b w:val="0"/>
                <w:i w:val="0"/>
                <w:sz w:val="20"/>
              </w:rPr>
              <w:t>第2讲</w:t>
            </w:r>
          </w:p>
        </w:tc>
        <w:tc>
          <w:tcPr>
            <w:tcW w:type="dxa" w:w="3975"/>
            <w:vAlign w:val="center"/>
          </w:tcPr>
          <w:p>
            <w:pPr>
              <w:keepNext/>
              <w:spacing w:before="20" w:after="20" w:line="259" w:lineRule="auto"/>
              <w:ind w:firstLine="0"/>
              <w:jc w:val="left"/>
            </w:pPr>
            <w:r>
              <w:rPr>
                <w:rFonts w:ascii="Times New Roman" w:hAnsi="Times New Roman" w:eastAsia="宋体" w:cs="Times New Roman"/>
                <w:b w:val="0"/>
                <w:i w:val="0"/>
                <w:sz w:val="20"/>
              </w:rPr>
              <w:t>选题意向、数据可获得性、初步组队</w:t>
            </w:r>
          </w:p>
        </w:tc>
        <w:tc>
          <w:tcPr>
            <w:tcW w:type="dxa" w:w="3844"/>
            <w:vAlign w:val="center"/>
          </w:tcPr>
          <w:p>
            <w:pPr>
              <w:keepNext/>
              <w:spacing w:before="20" w:after="20" w:line="259" w:lineRule="auto"/>
              <w:ind w:firstLine="0"/>
              <w:jc w:val="left"/>
            </w:pPr>
            <w:r>
              <w:rPr>
                <w:rFonts w:ascii="Times New Roman" w:hAnsi="Times New Roman" w:eastAsia="宋体" w:cs="Times New Roman"/>
                <w:b w:val="0"/>
                <w:i w:val="0"/>
                <w:sz w:val="20"/>
              </w:rPr>
              <w:t>确认项目总数与可支持的数据/计算条件</w:t>
            </w:r>
          </w:p>
        </w:tc>
      </w:tr>
      <w:tr>
        <w:trPr>
          <w:cantSplit/>
        </w:trPr>
        <w:tc>
          <w:tcPr>
            <w:tcW w:type="dxa" w:w="1781"/>
            <w:vAlign w:val="center"/>
          </w:tcPr>
          <w:p>
            <w:pPr>
              <w:keepNext/>
              <w:spacing w:before="20" w:after="20" w:line="259" w:lineRule="auto"/>
              <w:ind w:firstLine="0"/>
              <w:jc w:val="left"/>
            </w:pPr>
            <w:r>
              <w:rPr>
                <w:rFonts w:ascii="Times New Roman" w:hAnsi="Times New Roman" w:eastAsia="宋体" w:cs="Times New Roman"/>
                <w:b w:val="0"/>
                <w:i w:val="0"/>
                <w:sz w:val="20"/>
              </w:rPr>
              <w:t>第8讲</w:t>
            </w:r>
          </w:p>
        </w:tc>
        <w:tc>
          <w:tcPr>
            <w:tcW w:type="dxa" w:w="3975"/>
            <w:vAlign w:val="center"/>
          </w:tcPr>
          <w:p>
            <w:pPr>
              <w:keepNext/>
              <w:spacing w:before="20" w:after="20" w:line="259" w:lineRule="auto"/>
              <w:ind w:firstLine="0"/>
              <w:jc w:val="left"/>
            </w:pPr>
            <w:r>
              <w:rPr>
                <w:rFonts w:ascii="Times New Roman" w:hAnsi="Times New Roman" w:eastAsia="宋体" w:cs="Times New Roman"/>
                <w:b w:val="0"/>
                <w:i w:val="0"/>
                <w:sz w:val="20"/>
              </w:rPr>
              <w:t>一页计划：问题、样本单位、数据、基线、验证、风险与分工</w:t>
            </w:r>
          </w:p>
        </w:tc>
        <w:tc>
          <w:tcPr>
            <w:tcW w:type="dxa" w:w="3844"/>
            <w:vAlign w:val="center"/>
          </w:tcPr>
          <w:p>
            <w:pPr>
              <w:keepNext/>
              <w:spacing w:before="20" w:after="20" w:line="259" w:lineRule="auto"/>
              <w:ind w:firstLine="0"/>
              <w:jc w:val="left"/>
            </w:pPr>
            <w:r>
              <w:rPr>
                <w:rFonts w:ascii="Times New Roman" w:hAnsi="Times New Roman" w:eastAsia="宋体" w:cs="Times New Roman"/>
                <w:b w:val="0"/>
                <w:i w:val="0"/>
                <w:sz w:val="20"/>
              </w:rPr>
              <w:t>对数据不可得、目标不明或验证不匹配者及时缩小范围</w:t>
            </w:r>
          </w:p>
        </w:tc>
      </w:tr>
      <w:tr>
        <w:trPr>
          <w:cantSplit/>
        </w:trPr>
        <w:tc>
          <w:tcPr>
            <w:tcW w:type="dxa" w:w="1781"/>
            <w:vAlign w:val="center"/>
          </w:tcPr>
          <w:p>
            <w:pPr>
              <w:keepNext/>
              <w:spacing w:before="20" w:after="20" w:line="259" w:lineRule="auto"/>
              <w:ind w:firstLine="0"/>
              <w:jc w:val="left"/>
            </w:pPr>
            <w:r>
              <w:rPr>
                <w:rFonts w:ascii="Times New Roman" w:hAnsi="Times New Roman" w:eastAsia="宋体" w:cs="Times New Roman"/>
                <w:b w:val="0"/>
                <w:i w:val="0"/>
                <w:sz w:val="20"/>
              </w:rPr>
              <w:t>第10讲</w:t>
            </w:r>
          </w:p>
        </w:tc>
        <w:tc>
          <w:tcPr>
            <w:tcW w:type="dxa" w:w="3975"/>
            <w:vAlign w:val="center"/>
          </w:tcPr>
          <w:p>
            <w:pPr>
              <w:keepNext/>
              <w:spacing w:before="20" w:after="20" w:line="259" w:lineRule="auto"/>
              <w:ind w:firstLine="0"/>
              <w:jc w:val="left"/>
            </w:pPr>
            <w:r>
              <w:rPr>
                <w:rFonts w:ascii="Times New Roman" w:hAnsi="Times New Roman" w:eastAsia="宋体" w:cs="Times New Roman"/>
                <w:b w:val="0"/>
                <w:i w:val="0"/>
                <w:sz w:val="20"/>
              </w:rPr>
              <w:t>课堂中期风险清单，复用HW1/HW2成果</w:t>
            </w:r>
          </w:p>
        </w:tc>
        <w:tc>
          <w:tcPr>
            <w:tcW w:type="dxa" w:w="3844"/>
            <w:vAlign w:val="center"/>
          </w:tcPr>
          <w:p>
            <w:pPr>
              <w:keepNext/>
              <w:spacing w:before="20" w:after="20" w:line="259" w:lineRule="auto"/>
              <w:ind w:firstLine="0"/>
              <w:jc w:val="left"/>
            </w:pPr>
            <w:r>
              <w:rPr>
                <w:rFonts w:ascii="Times New Roman" w:hAnsi="Times New Roman" w:eastAsia="宋体" w:cs="Times New Roman"/>
                <w:b w:val="0"/>
                <w:i w:val="0"/>
                <w:sz w:val="20"/>
              </w:rPr>
              <w:t>检查泄漏、指标与解释是否成立，不另收长报告</w:t>
            </w:r>
          </w:p>
        </w:tc>
      </w:tr>
      <w:tr>
        <w:trPr>
          <w:cantSplit/>
        </w:trPr>
        <w:tc>
          <w:tcPr>
            <w:tcW w:type="dxa" w:w="1781"/>
            <w:vAlign w:val="center"/>
          </w:tcPr>
          <w:p>
            <w:pPr>
              <w:keepNext/>
              <w:spacing w:before="20" w:after="20" w:line="259" w:lineRule="auto"/>
              <w:ind w:firstLine="0"/>
              <w:jc w:val="left"/>
            </w:pPr>
            <w:r>
              <w:rPr>
                <w:rFonts w:ascii="Times New Roman" w:hAnsi="Times New Roman" w:eastAsia="宋体" w:cs="Times New Roman"/>
                <w:b w:val="0"/>
                <w:i w:val="0"/>
                <w:sz w:val="20"/>
              </w:rPr>
              <w:t>第14讲前</w:t>
            </w:r>
          </w:p>
        </w:tc>
        <w:tc>
          <w:tcPr>
            <w:tcW w:type="dxa" w:w="3975"/>
            <w:vAlign w:val="center"/>
          </w:tcPr>
          <w:p>
            <w:pPr>
              <w:keepNext/>
              <w:spacing w:before="20" w:after="20" w:line="259" w:lineRule="auto"/>
              <w:ind w:firstLine="0"/>
              <w:jc w:val="left"/>
            </w:pPr>
            <w:r>
              <w:rPr>
                <w:rFonts w:ascii="Times New Roman" w:hAnsi="Times New Roman" w:eastAsia="宋体" w:cs="Times New Roman"/>
                <w:b w:val="0"/>
                <w:i w:val="0"/>
                <w:sz w:val="20"/>
              </w:rPr>
              <w:t>当前运行入口与数据清单</w:t>
            </w:r>
          </w:p>
        </w:tc>
        <w:tc>
          <w:tcPr>
            <w:tcW w:type="dxa" w:w="3844"/>
            <w:vAlign w:val="center"/>
          </w:tcPr>
          <w:p>
            <w:pPr>
              <w:keepNext/>
              <w:spacing w:before="20" w:after="20" w:line="259" w:lineRule="auto"/>
              <w:ind w:firstLine="0"/>
              <w:jc w:val="left"/>
            </w:pPr>
            <w:r>
              <w:rPr>
                <w:rFonts w:ascii="Times New Roman" w:hAnsi="Times New Roman" w:eastAsia="宋体" w:cs="Times New Roman"/>
                <w:b w:val="0"/>
                <w:i w:val="0"/>
                <w:sz w:val="20"/>
              </w:rPr>
              <w:t>检查最小运行链与依赖；复杂模型不可跑通者保留基线闭环</w:t>
            </w:r>
          </w:p>
        </w:tc>
      </w:tr>
      <w:tr>
        <w:trPr>
          <w:cantSplit/>
        </w:trPr>
        <w:tc>
          <w:tcPr>
            <w:tcW w:type="dxa" w:w="1781"/>
            <w:vAlign w:val="center"/>
          </w:tcPr>
          <w:p>
            <w:pPr>
              <w:keepNext/>
              <w:spacing w:before="20" w:after="20" w:line="259" w:lineRule="auto"/>
              <w:ind w:firstLine="0"/>
              <w:jc w:val="left"/>
            </w:pPr>
            <w:r>
              <w:rPr>
                <w:rFonts w:ascii="Times New Roman" w:hAnsi="Times New Roman" w:eastAsia="宋体" w:cs="Times New Roman"/>
                <w:b w:val="0"/>
                <w:i w:val="0"/>
                <w:sz w:val="20"/>
              </w:rPr>
              <w:t>第16讲前24小时</w:t>
            </w:r>
          </w:p>
        </w:tc>
        <w:tc>
          <w:tcPr>
            <w:tcW w:type="dxa" w:w="3975"/>
            <w:vAlign w:val="center"/>
          </w:tcPr>
          <w:p>
            <w:pPr>
              <w:keepNext/>
              <w:spacing w:before="20" w:after="20" w:line="259" w:lineRule="auto"/>
              <w:ind w:firstLine="0"/>
              <w:jc w:val="left"/>
            </w:pPr>
            <w:r>
              <w:rPr>
                <w:rFonts w:ascii="Times New Roman" w:hAnsi="Times New Roman" w:eastAsia="宋体" w:cs="Times New Roman"/>
                <w:b w:val="0"/>
                <w:i w:val="0"/>
                <w:sz w:val="20"/>
              </w:rPr>
              <w:t>最终报告、代码/数据说明、结果、PPT和个人贡献</w:t>
            </w:r>
          </w:p>
        </w:tc>
        <w:tc>
          <w:tcPr>
            <w:tcW w:type="dxa" w:w="3844"/>
            <w:vAlign w:val="center"/>
          </w:tcPr>
          <w:p>
            <w:pPr>
              <w:keepNext/>
              <w:spacing w:before="20" w:after="20" w:line="259" w:lineRule="auto"/>
              <w:ind w:firstLine="0"/>
              <w:jc w:val="left"/>
            </w:pPr>
            <w:r>
              <w:rPr>
                <w:rFonts w:ascii="Times New Roman" w:hAnsi="Times New Roman" w:eastAsia="宋体" w:cs="Times New Roman"/>
                <w:b w:val="0"/>
                <w:i w:val="0"/>
                <w:sz w:val="20"/>
              </w:rPr>
              <w:t>按同一评分表预审，准备针对证据的质询</w:t>
            </w:r>
          </w:p>
        </w:tc>
      </w:tr>
      <w:tr>
        <w:trPr>
          <w:cantSplit/>
        </w:trPr>
        <w:tc>
          <w:tcPr>
            <w:tcW w:type="dxa" w:w="1781"/>
            <w:vAlign w:val="center"/>
          </w:tcPr>
          <w:p>
            <w:pPr>
              <w:spacing w:before="20" w:after="20" w:line="259" w:lineRule="auto"/>
              <w:ind w:firstLine="0"/>
              <w:jc w:val="left"/>
            </w:pPr>
            <w:r>
              <w:rPr>
                <w:rFonts w:ascii="Times New Roman" w:hAnsi="Times New Roman" w:eastAsia="宋体" w:cs="Times New Roman"/>
                <w:b w:val="0"/>
                <w:i w:val="0"/>
                <w:sz w:val="20"/>
              </w:rPr>
              <w:t>第16讲</w:t>
            </w:r>
          </w:p>
        </w:tc>
        <w:tc>
          <w:tcPr>
            <w:tcW w:type="dxa" w:w="3975"/>
            <w:vAlign w:val="center"/>
          </w:tcPr>
          <w:p>
            <w:pPr>
              <w:spacing w:before="20" w:after="20" w:line="259" w:lineRule="auto"/>
              <w:ind w:firstLine="0"/>
              <w:jc w:val="left"/>
            </w:pPr>
            <w:r>
              <w:rPr>
                <w:rFonts w:ascii="Times New Roman" w:hAnsi="Times New Roman" w:eastAsia="宋体" w:cs="Times New Roman"/>
                <w:b w:val="0"/>
                <w:i w:val="0"/>
                <w:sz w:val="20"/>
              </w:rPr>
              <w:t>答辩及必要纠错说明</w:t>
            </w:r>
          </w:p>
        </w:tc>
        <w:tc>
          <w:tcPr>
            <w:tcW w:type="dxa" w:w="3844"/>
            <w:vAlign w:val="center"/>
          </w:tcPr>
          <w:p>
            <w:pPr>
              <w:spacing w:before="20" w:after="20" w:line="259" w:lineRule="auto"/>
              <w:ind w:firstLine="0"/>
              <w:jc w:val="left"/>
            </w:pPr>
            <w:r>
              <w:rPr>
                <w:rFonts w:ascii="Times New Roman" w:hAnsi="Times New Roman" w:eastAsia="宋体" w:cs="Times New Roman"/>
                <w:b w:val="0"/>
                <w:i w:val="0"/>
                <w:sz w:val="20"/>
              </w:rPr>
              <w:t>评分、方法反馈与持续改进记录</w:t>
            </w:r>
          </w:p>
        </w:tc>
      </w:tr>
    </w:tbl>
    <w:p>
      <w:pPr>
        <w:ind w:firstLine="480"/>
      </w:pPr>
      <w:r>
        <w:rPr>
          <w:rFonts w:ascii="Times New Roman" w:hAnsi="Times New Roman" w:eastAsia="宋体" w:cs="Times New Roman"/>
          <w:b w:val="0"/>
          <w:i w:val="0"/>
          <w:sz w:val="24"/>
        </w:rPr>
        <w:t>A自主课题、B HEA案例复现采用相同标准。B的HEA综述用于提出问题与判断证据，不保证附有完整数据；立项前必须实际打开数据、确认标签与许可。候选优化可以采用历史数据的隐藏标签回放，必须明确“模拟回放”，不能称作已经实施实验验证。分类概率不能直接冒充硬度等连续性能。</w:t>
      </w:r>
    </w:p>
    <w:p>
      <w:pPr>
        <w:ind w:firstLine="480"/>
      </w:pPr>
      <w:r>
        <w:rPr>
          <w:rFonts w:ascii="Times New Roman" w:hAnsi="Times New Roman" w:eastAsia="宋体" w:cs="Times New Roman"/>
          <w:b w:val="0"/>
          <w:i w:val="0"/>
          <w:sz w:val="24"/>
        </w:rPr>
        <w:t>项目评分为：问题价值20、方法规范30、结果分析25、复现15、表达与贡献10。方法30分至少记录数据流程10、应用匹配的评估10、物理/单位及决策边界10；结果25分至少记录误差/局限15、下一次实验/计算建议10，以便计算G3—G5达成度。共享成果占项目90分，个人表达与贡献10分按各人记录和质询评分。</w:t>
      </w:r>
    </w:p>
    <w:p>
      <w:pPr>
        <w:keepNext/>
        <w:spacing w:before="120" w:after="60"/>
        <w:jc w:val="left"/>
      </w:pPr>
      <w:r>
        <w:rPr>
          <w:rFonts w:ascii="Arial" w:hAnsi="Arial" w:eastAsia="黑体" w:cs="Arial"/>
          <w:b/>
          <w:i w:val="0"/>
          <w:sz w:val="25"/>
        </w:rPr>
        <w:t>第16讲容量规则</w:t>
      </w:r>
    </w:p>
    <w:p>
      <w:pPr>
        <w:ind w:firstLine="480"/>
      </w:pPr>
      <w:r>
        <w:rPr>
          <w:rFonts w:ascii="Times New Roman" w:hAnsi="Times New Roman" w:eastAsia="宋体" w:cs="Times New Roman"/>
          <w:b w:val="0"/>
          <w:i w:val="0"/>
          <w:sz w:val="24"/>
        </w:rPr>
        <w:t>本班11—30人可按2—3人组队形成约4—10项；允许个人选题，但须在第8讲前确定可执行展示模式，不临时增加并行教室和评委。</w:t>
      </w:r>
    </w:p>
    <w:p>
      <w:pPr>
        <w:keepNext/>
        <w:spacing w:before="100" w:after="40" w:line="264" w:lineRule="auto"/>
        <w:jc w:val="center"/>
      </w:pPr>
      <w:r>
        <w:rPr>
          <w:rFonts w:ascii="Arial" w:hAnsi="Arial" w:eastAsia="黑体" w:cs="Arial"/>
          <w:b/>
          <w:i w:val="0"/>
          <w:sz w:val="21"/>
        </w:rPr>
        <w:t>表 21　第 16 讲答辩容量规则</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169"/>
        <w:gridCol w:w="3017"/>
        <w:gridCol w:w="5414"/>
      </w:tblGrid>
      <w:tr>
        <w:trPr>
          <w:cantSplit/>
          <w:tblHeader/>
        </w:trPr>
        <w:tc>
          <w:tcPr>
            <w:tcW w:type="dxa" w:w="11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项目数N</w:t>
            </w:r>
          </w:p>
        </w:tc>
        <w:tc>
          <w:tcPr>
            <w:tcW w:type="dxa" w:w="3017"/>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课堂模式</w:t>
            </w:r>
          </w:p>
        </w:tc>
        <w:tc>
          <w:tcPr>
            <w:tcW w:type="dxa" w:w="5414"/>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时间核算</w:t>
            </w:r>
          </w:p>
        </w:tc>
      </w:tr>
      <w:tr>
        <w:trPr>
          <w:cantSplit/>
        </w:trPr>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N≤7</w:t>
            </w:r>
          </w:p>
        </w:tc>
        <w:tc>
          <w:tcPr>
            <w:tcW w:type="dxa" w:w="3017"/>
            <w:vAlign w:val="center"/>
          </w:tcPr>
          <w:p>
            <w:pPr>
              <w:keepNext/>
              <w:spacing w:before="20" w:after="20" w:line="259" w:lineRule="auto"/>
              <w:ind w:firstLine="0"/>
              <w:jc w:val="left"/>
            </w:pPr>
            <w:r>
              <w:rPr>
                <w:rFonts w:ascii="Times New Roman" w:hAnsi="Times New Roman" w:eastAsia="宋体" w:cs="Times New Roman"/>
                <w:b w:val="0"/>
                <w:i w:val="0"/>
                <w:sz w:val="20"/>
              </w:rPr>
              <w:t>现场报告与质询；每项最多10分钟</w:t>
            </w:r>
          </w:p>
        </w:tc>
        <w:tc>
          <w:tcPr>
            <w:tcW w:type="dxa" w:w="5414"/>
            <w:vAlign w:val="center"/>
          </w:tcPr>
          <w:p>
            <w:pPr>
              <w:keepNext/>
              <w:spacing w:before="20" w:after="20" w:line="259" w:lineRule="auto"/>
              <w:ind w:firstLine="0"/>
              <w:jc w:val="left"/>
            </w:pPr>
            <w:r>
              <w:rPr>
                <w:rFonts w:ascii="Times New Roman" w:hAnsi="Times New Roman" w:eastAsia="宋体" w:cs="Times New Roman"/>
                <w:b w:val="0"/>
                <w:i w:val="0"/>
                <w:sz w:val="20"/>
              </w:rPr>
              <w:t>N×10≤70；余时用于交叉点评</w:t>
            </w:r>
          </w:p>
        </w:tc>
      </w:tr>
      <w:tr>
        <w:trPr>
          <w:cantSplit/>
        </w:trPr>
        <w:tc>
          <w:tcPr>
            <w:tcW w:type="dxa" w:w="1169"/>
            <w:vAlign w:val="center"/>
          </w:tcPr>
          <w:p>
            <w:pPr>
              <w:keepNext/>
              <w:spacing w:before="20" w:after="20" w:line="259" w:lineRule="auto"/>
              <w:ind w:firstLine="0"/>
              <w:jc w:val="left"/>
            </w:pPr>
            <w:r>
              <w:rPr>
                <w:rFonts w:ascii="Times New Roman" w:hAnsi="Times New Roman" w:eastAsia="宋体" w:cs="Times New Roman"/>
                <w:b w:val="0"/>
                <w:i w:val="0"/>
                <w:sz w:val="20"/>
              </w:rPr>
              <w:t>8≤N≤10</w:t>
            </w:r>
          </w:p>
        </w:tc>
        <w:tc>
          <w:tcPr>
            <w:tcW w:type="dxa" w:w="3017"/>
            <w:vAlign w:val="center"/>
          </w:tcPr>
          <w:p>
            <w:pPr>
              <w:keepNext/>
              <w:spacing w:before="20" w:after="20" w:line="259" w:lineRule="auto"/>
              <w:ind w:firstLine="0"/>
              <w:jc w:val="left"/>
            </w:pPr>
            <w:r>
              <w:rPr>
                <w:rFonts w:ascii="Times New Roman" w:hAnsi="Times New Roman" w:eastAsia="宋体" w:cs="Times New Roman"/>
                <w:b w:val="0"/>
                <w:i w:val="0"/>
                <w:sz w:val="20"/>
              </w:rPr>
              <w:t>每项总时段70/N分钟</w:t>
            </w:r>
          </w:p>
        </w:tc>
        <w:tc>
          <w:tcPr>
            <w:tcW w:type="dxa" w:w="5414"/>
            <w:vAlign w:val="center"/>
          </w:tcPr>
          <w:p>
            <w:pPr>
              <w:keepNext/>
              <w:spacing w:before="20" w:after="20" w:line="259" w:lineRule="auto"/>
              <w:ind w:firstLine="0"/>
              <w:jc w:val="left"/>
            </w:pPr>
            <w:r>
              <w:rPr>
                <w:rFonts w:ascii="Times New Roman" w:hAnsi="Times New Roman" w:eastAsia="宋体" w:cs="Times New Roman"/>
                <w:b w:val="0"/>
                <w:i w:val="0"/>
                <w:sz w:val="20"/>
              </w:rPr>
              <w:t>报告占60%、质询30%、切换10%；总计70分钟</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N&gt;10</w:t>
            </w:r>
          </w:p>
        </w:tc>
        <w:tc>
          <w:tcPr>
            <w:tcW w:type="dxa" w:w="3017"/>
            <w:vAlign w:val="center"/>
          </w:tcPr>
          <w:p>
            <w:pPr>
              <w:spacing w:before="20" w:after="20" w:line="259" w:lineRule="auto"/>
              <w:ind w:firstLine="0"/>
              <w:jc w:val="left"/>
            </w:pPr>
            <w:r>
              <w:rPr>
                <w:rFonts w:ascii="Times New Roman" w:hAnsi="Times New Roman" w:eastAsia="宋体" w:cs="Times New Roman"/>
                <w:b w:val="0"/>
                <w:i w:val="0"/>
                <w:sz w:val="20"/>
              </w:rPr>
              <w:t>统一提交不超过6分钟报告录像，课堂重点质询</w:t>
            </w:r>
          </w:p>
        </w:tc>
        <w:tc>
          <w:tcPr>
            <w:tcW w:type="dxa" w:w="5414"/>
            <w:vAlign w:val="center"/>
          </w:tcPr>
          <w:p>
            <w:pPr>
              <w:spacing w:before="20" w:after="20" w:line="259" w:lineRule="auto"/>
              <w:ind w:firstLine="0"/>
              <w:jc w:val="left"/>
            </w:pPr>
            <w:r>
              <w:rPr>
                <w:rFonts w:ascii="Times New Roman" w:hAnsi="Times New Roman" w:eastAsia="宋体" w:cs="Times New Roman"/>
                <w:b w:val="0"/>
                <w:i w:val="0"/>
                <w:sz w:val="20"/>
              </w:rPr>
              <w:t>课堂每项70/N分钟；录像替代现场主报告，教师课前审阅；人数与项目数均须第8讲前固定</w:t>
            </w:r>
          </w:p>
        </w:tc>
      </w:tr>
    </w:tbl>
    <w:p>
      <w:pPr>
        <w:ind w:firstLine="480"/>
      </w:pPr>
      <w:r>
        <w:rPr>
          <w:rFonts w:ascii="Times New Roman" w:hAnsi="Times New Roman" w:eastAsia="宋体" w:cs="Times New Roman"/>
          <w:b w:val="0"/>
          <w:i w:val="0"/>
          <w:sz w:val="24"/>
        </w:rPr>
        <w:t>全课统一5分钟流程说明、70分钟项目块、15分钟总结=90分钟。小组每位成员须有个人贡献证据并接受质询或课前核验；不使用与项目数矛盾的固定档位表。</w:t>
      </w:r>
    </w:p>
    <w:p>
      <w:pPr>
        <w:keepNext/>
        <w:spacing w:before="200" w:after="100"/>
        <w:jc w:val="left"/>
      </w:pPr>
      <w:r>
        <w:rPr>
          <w:rFonts w:ascii="Arial" w:hAnsi="Arial" w:eastAsia="黑体" w:cs="Arial"/>
          <w:b/>
          <w:i w:val="0"/>
          <w:sz w:val="28"/>
        </w:rPr>
        <w:t>六、教学分钟与实践核算</w:t>
      </w:r>
    </w:p>
    <w:p>
      <w:pPr>
        <w:keepNext/>
        <w:spacing w:before="100" w:after="40" w:line="264" w:lineRule="auto"/>
        <w:jc w:val="center"/>
      </w:pPr>
      <w:r>
        <w:rPr>
          <w:rFonts w:ascii="Arial" w:hAnsi="Arial" w:eastAsia="黑体" w:cs="Arial"/>
          <w:b/>
          <w:i w:val="0"/>
          <w:sz w:val="21"/>
        </w:rPr>
        <w:t>表 22　教学分钟与实践核算</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169"/>
        <w:gridCol w:w="1210"/>
        <w:gridCol w:w="1536"/>
        <w:gridCol w:w="1536"/>
        <w:gridCol w:w="1649"/>
        <w:gridCol w:w="2500"/>
      </w:tblGrid>
      <w:tr>
        <w:trPr>
          <w:cantSplit/>
          <w:tblHeader/>
        </w:trPr>
        <w:tc>
          <w:tcPr>
            <w:tcW w:type="dxa" w:w="1169"/>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讲</w:t>
            </w:r>
          </w:p>
        </w:tc>
        <w:tc>
          <w:tcPr>
            <w:tcW w:type="dxa" w:w="1210"/>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教学分钟</w:t>
            </w:r>
          </w:p>
        </w:tc>
        <w:tc>
          <w:tcPr>
            <w:tcW w:type="dxa" w:w="1536"/>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学生实践分钟</w:t>
            </w:r>
          </w:p>
        </w:tc>
        <w:tc>
          <w:tcPr>
            <w:tcW w:type="dxa" w:w="1536"/>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论文研讨分钟</w:t>
            </w:r>
          </w:p>
        </w:tc>
        <w:tc>
          <w:tcPr>
            <w:tcW w:type="dxa" w:w="1649"/>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讲授/讲评分钟</w:t>
            </w:r>
          </w:p>
        </w:tc>
        <w:tc>
          <w:tcPr>
            <w:tcW w:type="dxa" w:w="2500"/>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答辩/总结分钟</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15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75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2</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70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3</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30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4</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5</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70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6</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7</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8</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45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9</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10</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50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11</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12</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70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13</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25</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65</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14</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30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15</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30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60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val="0"/>
                <w:i w:val="0"/>
                <w:sz w:val="20"/>
              </w:rPr>
              <w:t>16</w:t>
            </w:r>
          </w:p>
        </w:tc>
        <w:tc>
          <w:tcPr>
            <w:tcW w:type="dxa" w:w="1210"/>
            <w:vAlign w:val="center"/>
          </w:tcPr>
          <w:p>
            <w:pPr>
              <w:spacing w:before="20" w:after="20" w:line="259" w:lineRule="auto"/>
              <w:ind w:firstLine="0"/>
              <w:jc w:val="left"/>
            </w:pPr>
            <w:r>
              <w:rPr>
                <w:rFonts w:ascii="Times New Roman" w:hAnsi="Times New Roman" w:eastAsia="宋体" w:cs="Times New Roman"/>
                <w:b w:val="0"/>
                <w:i w:val="0"/>
                <w:sz w:val="20"/>
              </w:rPr>
              <w:t>90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1649"/>
            <w:vAlign w:val="center"/>
          </w:tcPr>
          <w:p>
            <w:pPr>
              <w:spacing w:before="20" w:after="20" w:line="259" w:lineRule="auto"/>
              <w:ind w:firstLine="0"/>
              <w:jc w:val="left"/>
            </w:pPr>
            <w:r>
              <w:rPr>
                <w:rFonts w:ascii="Times New Roman" w:hAnsi="Times New Roman" w:eastAsia="宋体" w:cs="Times New Roman"/>
                <w:b w:val="0"/>
                <w:i w:val="0"/>
                <w:sz w:val="20"/>
              </w:rPr>
              <w:t>0</w:t>
            </w:r>
          </w:p>
        </w:tc>
        <w:tc>
          <w:tcPr>
            <w:tcW w:type="dxa" w:w="2500"/>
            <w:vAlign w:val="center"/>
          </w:tcPr>
          <w:p>
            <w:pPr>
              <w:spacing w:before="20" w:after="20" w:line="259" w:lineRule="auto"/>
              <w:ind w:firstLine="0"/>
              <w:jc w:val="left"/>
            </w:pPr>
            <w:r>
              <w:rPr>
                <w:rFonts w:ascii="Times New Roman" w:hAnsi="Times New Roman" w:eastAsia="宋体" w:cs="Times New Roman"/>
                <w:b w:val="0"/>
                <w:i w:val="0"/>
                <w:sz w:val="20"/>
              </w:rPr>
              <w:t>90</w:t>
            </w:r>
          </w:p>
        </w:tc>
      </w:tr>
      <w:tr>
        <w:trPr>
          <w:cantSplit/>
        </w:trPr>
        <w:tc>
          <w:tcPr>
            <w:tcW w:type="dxa" w:w="1169"/>
            <w:vAlign w:val="center"/>
          </w:tcPr>
          <w:p>
            <w:pPr>
              <w:spacing w:before="20" w:after="20" w:line="259" w:lineRule="auto"/>
              <w:ind w:firstLine="0"/>
              <w:jc w:val="left"/>
            </w:pPr>
            <w:r>
              <w:rPr>
                <w:rFonts w:ascii="Times New Roman" w:hAnsi="Times New Roman" w:eastAsia="宋体" w:cs="Times New Roman"/>
                <w:b/>
                <w:i w:val="0"/>
                <w:sz w:val="20"/>
              </w:rPr>
              <w:t>合计</w:t>
            </w:r>
          </w:p>
        </w:tc>
        <w:tc>
          <w:tcPr>
            <w:tcW w:type="dxa" w:w="1210"/>
            <w:vAlign w:val="center"/>
          </w:tcPr>
          <w:p>
            <w:pPr>
              <w:spacing w:before="20" w:after="20" w:line="259" w:lineRule="auto"/>
              <w:ind w:firstLine="0"/>
              <w:jc w:val="left"/>
            </w:pPr>
            <w:r>
              <w:rPr>
                <w:rFonts w:ascii="Times New Roman" w:hAnsi="Times New Roman" w:eastAsia="宋体" w:cs="Times New Roman"/>
                <w:b/>
                <w:i w:val="0"/>
                <w:sz w:val="20"/>
              </w:rPr>
              <w:t>1440</w:t>
            </w:r>
          </w:p>
        </w:tc>
        <w:tc>
          <w:tcPr>
            <w:tcW w:type="dxa" w:w="1536"/>
            <w:vAlign w:val="center"/>
          </w:tcPr>
          <w:p>
            <w:pPr>
              <w:spacing w:before="20" w:after="20" w:line="259" w:lineRule="auto"/>
              <w:ind w:firstLine="0"/>
              <w:jc w:val="left"/>
            </w:pPr>
            <w:r>
              <w:rPr>
                <w:rFonts w:ascii="Times New Roman" w:hAnsi="Times New Roman" w:eastAsia="宋体" w:cs="Times New Roman"/>
                <w:b/>
                <w:i w:val="0"/>
                <w:sz w:val="20"/>
              </w:rPr>
              <w:t>360</w:t>
            </w:r>
          </w:p>
        </w:tc>
        <w:tc>
          <w:tcPr>
            <w:tcW w:type="dxa" w:w="1536"/>
            <w:vAlign w:val="center"/>
          </w:tcPr>
          <w:p>
            <w:pPr>
              <w:spacing w:before="20" w:after="20" w:line="259" w:lineRule="auto"/>
              <w:ind w:firstLine="0"/>
              <w:jc w:val="left"/>
            </w:pPr>
            <w:r>
              <w:rPr>
                <w:rFonts w:ascii="Times New Roman" w:hAnsi="Times New Roman" w:eastAsia="宋体" w:cs="Times New Roman"/>
                <w:b/>
                <w:i w:val="0"/>
                <w:sz w:val="20"/>
              </w:rPr>
              <w:t>40</w:t>
            </w:r>
          </w:p>
        </w:tc>
        <w:tc>
          <w:tcPr>
            <w:tcW w:type="dxa" w:w="1649"/>
            <w:vAlign w:val="center"/>
          </w:tcPr>
          <w:p>
            <w:pPr>
              <w:spacing w:before="20" w:after="20" w:line="259" w:lineRule="auto"/>
              <w:ind w:firstLine="0"/>
              <w:jc w:val="left"/>
            </w:pPr>
            <w:r>
              <w:rPr>
                <w:rFonts w:ascii="Times New Roman" w:hAnsi="Times New Roman" w:eastAsia="宋体" w:cs="Times New Roman"/>
                <w:b/>
                <w:i w:val="0"/>
                <w:sz w:val="20"/>
              </w:rPr>
              <w:t>950</w:t>
            </w:r>
          </w:p>
        </w:tc>
        <w:tc>
          <w:tcPr>
            <w:tcW w:type="dxa" w:w="2500"/>
            <w:vAlign w:val="center"/>
          </w:tcPr>
          <w:p>
            <w:pPr>
              <w:spacing w:before="20" w:after="20" w:line="259" w:lineRule="auto"/>
              <w:ind w:firstLine="0"/>
              <w:jc w:val="left"/>
            </w:pPr>
            <w:r>
              <w:rPr>
                <w:rFonts w:ascii="Times New Roman" w:hAnsi="Times New Roman" w:eastAsia="宋体" w:cs="Times New Roman"/>
                <w:b/>
                <w:i w:val="0"/>
                <w:sz w:val="20"/>
              </w:rPr>
              <w:t>90</w:t>
            </w:r>
          </w:p>
        </w:tc>
      </w:tr>
    </w:tbl>
    <w:p>
      <w:pPr>
        <w:ind w:firstLine="480"/>
      </w:pPr>
      <w:r>
        <w:rPr>
          <w:rFonts w:ascii="Times New Roman" w:hAnsi="Times New Roman" w:eastAsia="宋体" w:cs="Times New Roman"/>
          <w:b w:val="0"/>
          <w:i w:val="0"/>
          <w:sz w:val="24"/>
        </w:rPr>
        <w:t>1440/45=32学时；360/45=8学时；学生实践占25%。研讨及答辩在总量中只计一次。图相关课堂为第5讲45分钟+第11讲25分钟=70分钟；迁移内容第12讲45分钟；PINN第15讲68分钟。</w:t>
      </w:r>
    </w:p>
    <w:p>
      <w:pPr>
        <w:keepNext/>
        <w:spacing w:before="200" w:after="100"/>
        <w:jc w:val="left"/>
      </w:pPr>
      <w:r>
        <w:rPr>
          <w:rFonts w:ascii="Arial" w:hAnsi="Arial" w:eastAsia="黑体" w:cs="Arial"/>
          <w:b/>
          <w:i w:val="0"/>
          <w:sz w:val="28"/>
        </w:rPr>
        <w:t>七、故障、进度与资料使用预案</w:t>
      </w:r>
    </w:p>
    <w:p>
      <w:pPr>
        <w:keepNext/>
        <w:spacing w:before="100" w:after="40" w:line="264" w:lineRule="auto"/>
        <w:jc w:val="center"/>
      </w:pPr>
      <w:r>
        <w:rPr>
          <w:rFonts w:ascii="Arial" w:hAnsi="Arial" w:eastAsia="黑体" w:cs="Arial"/>
          <w:b/>
          <w:i w:val="0"/>
          <w:sz w:val="21"/>
        </w:rPr>
        <w:t>表 23　故障、进度与资料使用预案</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681"/>
        <w:gridCol w:w="4366"/>
        <w:gridCol w:w="3553"/>
      </w:tblGrid>
      <w:tr>
        <w:trPr>
          <w:cantSplit/>
          <w:tblHeader/>
        </w:trPr>
        <w:tc>
          <w:tcPr>
            <w:tcW w:type="dxa" w:w="1681"/>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情况</w:t>
            </w:r>
          </w:p>
        </w:tc>
        <w:tc>
          <w:tcPr>
            <w:tcW w:type="dxa" w:w="436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当堂处理</w:t>
            </w:r>
          </w:p>
        </w:tc>
        <w:tc>
          <w:tcPr>
            <w:tcW w:type="dxa" w:w="3553"/>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课后闭环</w:t>
            </w:r>
          </w:p>
        </w:tc>
      </w:tr>
      <w:tr>
        <w:trPr>
          <w:cantSplit/>
        </w:trPr>
        <w:tc>
          <w:tcPr>
            <w:tcW w:type="dxa" w:w="1681"/>
            <w:vAlign w:val="center"/>
          </w:tcPr>
          <w:p>
            <w:pPr>
              <w:keepNext/>
              <w:spacing w:before="20" w:after="20" w:line="259" w:lineRule="auto"/>
              <w:ind w:firstLine="0"/>
              <w:jc w:val="left"/>
            </w:pPr>
            <w:r>
              <w:rPr>
                <w:rFonts w:ascii="Times New Roman" w:hAnsi="Times New Roman" w:eastAsia="宋体" w:cs="Times New Roman"/>
                <w:b w:val="0"/>
                <w:i w:val="0"/>
                <w:sz w:val="20"/>
              </w:rPr>
              <w:t>API不可用或字段变化</w:t>
            </w:r>
          </w:p>
        </w:tc>
        <w:tc>
          <w:tcPr>
            <w:tcW w:type="dxa" w:w="4366"/>
            <w:vAlign w:val="center"/>
          </w:tcPr>
          <w:p>
            <w:pPr>
              <w:keepNext/>
              <w:spacing w:before="20" w:after="20" w:line="259" w:lineRule="auto"/>
              <w:ind w:firstLine="0"/>
              <w:jc w:val="left"/>
            </w:pPr>
            <w:r>
              <w:rPr>
                <w:rFonts w:ascii="Times New Roman" w:hAnsi="Times New Roman" w:eastAsia="宋体" w:cs="Times New Roman"/>
                <w:b w:val="0"/>
                <w:i w:val="0"/>
                <w:sz w:val="20"/>
              </w:rPr>
              <w:t>切换已核验快照，保留同一单位/来源审查要求</w:t>
            </w:r>
          </w:p>
        </w:tc>
        <w:tc>
          <w:tcPr>
            <w:tcW w:type="dxa" w:w="3553"/>
            <w:vAlign w:val="center"/>
          </w:tcPr>
          <w:p>
            <w:pPr>
              <w:keepNext/>
              <w:spacing w:before="20" w:after="20" w:line="259" w:lineRule="auto"/>
              <w:ind w:firstLine="0"/>
              <w:jc w:val="left"/>
            </w:pPr>
            <w:r>
              <w:rPr>
                <w:rFonts w:ascii="Times New Roman" w:hAnsi="Times New Roman" w:eastAsia="宋体" w:cs="Times New Roman"/>
                <w:b w:val="0"/>
                <w:i w:val="0"/>
                <w:sz w:val="20"/>
              </w:rPr>
              <w:t>更新查询脚本、记录字段/版本；不能要求学生提交凭据证明</w:t>
            </w:r>
          </w:p>
        </w:tc>
      </w:tr>
      <w:tr>
        <w:trPr>
          <w:cantSplit/>
        </w:trPr>
        <w:tc>
          <w:tcPr>
            <w:tcW w:type="dxa" w:w="1681"/>
            <w:vAlign w:val="center"/>
          </w:tcPr>
          <w:p>
            <w:pPr>
              <w:keepNext/>
              <w:spacing w:before="20" w:after="20" w:line="259" w:lineRule="auto"/>
              <w:ind w:firstLine="0"/>
              <w:jc w:val="left"/>
            </w:pPr>
            <w:r>
              <w:rPr>
                <w:rFonts w:ascii="Times New Roman" w:hAnsi="Times New Roman" w:eastAsia="宋体" w:cs="Times New Roman"/>
                <w:b w:val="0"/>
                <w:i w:val="0"/>
                <w:sz w:val="20"/>
              </w:rPr>
              <w:t>包冲突、CPU训练超时</w:t>
            </w:r>
          </w:p>
        </w:tc>
        <w:tc>
          <w:tcPr>
            <w:tcW w:type="dxa" w:w="4366"/>
            <w:vAlign w:val="center"/>
          </w:tcPr>
          <w:p>
            <w:pPr>
              <w:keepNext/>
              <w:spacing w:before="20" w:after="20" w:line="259" w:lineRule="auto"/>
              <w:ind w:firstLine="0"/>
              <w:jc w:val="left"/>
            </w:pPr>
            <w:r>
              <w:rPr>
                <w:rFonts w:ascii="Times New Roman" w:hAnsi="Times New Roman" w:eastAsia="宋体" w:cs="Times New Roman"/>
                <w:b w:val="0"/>
                <w:i w:val="0"/>
                <w:sz w:val="20"/>
              </w:rPr>
              <w:t>统一预训练权重或预计算日志，做等价分析</w:t>
            </w:r>
          </w:p>
        </w:tc>
        <w:tc>
          <w:tcPr>
            <w:tcW w:type="dxa" w:w="3553"/>
            <w:vAlign w:val="center"/>
          </w:tcPr>
          <w:p>
            <w:pPr>
              <w:keepNext/>
              <w:spacing w:before="20" w:after="20" w:line="259" w:lineRule="auto"/>
              <w:ind w:firstLine="0"/>
              <w:jc w:val="left"/>
            </w:pPr>
            <w:r>
              <w:rPr>
                <w:rFonts w:ascii="Times New Roman" w:hAnsi="Times New Roman" w:eastAsia="宋体" w:cs="Times New Roman"/>
                <w:b w:val="0"/>
                <w:i w:val="0"/>
                <w:sz w:val="20"/>
              </w:rPr>
              <w:t>补跑最小片段，按理解与证据评分</w:t>
            </w:r>
          </w:p>
        </w:tc>
      </w:tr>
      <w:tr>
        <w:trPr>
          <w:cantSplit/>
        </w:trPr>
        <w:tc>
          <w:tcPr>
            <w:tcW w:type="dxa" w:w="1681"/>
            <w:vAlign w:val="center"/>
          </w:tcPr>
          <w:p>
            <w:pPr>
              <w:keepNext/>
              <w:spacing w:before="20" w:after="20" w:line="259" w:lineRule="auto"/>
              <w:ind w:firstLine="0"/>
              <w:jc w:val="left"/>
            </w:pPr>
            <w:r>
              <w:rPr>
                <w:rFonts w:ascii="Times New Roman" w:hAnsi="Times New Roman" w:eastAsia="宋体" w:cs="Times New Roman"/>
                <w:b w:val="0"/>
                <w:i w:val="0"/>
                <w:sz w:val="20"/>
              </w:rPr>
              <w:t>第5讲超时</w:t>
            </w:r>
          </w:p>
        </w:tc>
        <w:tc>
          <w:tcPr>
            <w:tcW w:type="dxa" w:w="4366"/>
            <w:vAlign w:val="center"/>
          </w:tcPr>
          <w:p>
            <w:pPr>
              <w:keepNext/>
              <w:spacing w:before="20" w:after="20" w:line="259" w:lineRule="auto"/>
              <w:ind w:firstLine="0"/>
              <w:jc w:val="left"/>
            </w:pPr>
            <w:r>
              <w:rPr>
                <w:rFonts w:ascii="Times New Roman" w:hAnsi="Times New Roman" w:eastAsia="宋体" w:cs="Times New Roman"/>
                <w:b w:val="0"/>
                <w:i w:val="0"/>
                <w:sz w:val="20"/>
              </w:rPr>
              <w:t>先保障周期图构造与检查；中心性细节、两点统计推导、GAT公式改补充阅读</w:t>
            </w:r>
          </w:p>
        </w:tc>
        <w:tc>
          <w:tcPr>
            <w:tcW w:type="dxa" w:w="3553"/>
            <w:vAlign w:val="center"/>
          </w:tcPr>
          <w:p>
            <w:pPr>
              <w:keepNext/>
              <w:spacing w:before="20" w:after="20" w:line="259" w:lineRule="auto"/>
              <w:ind w:firstLine="0"/>
              <w:jc w:val="left"/>
            </w:pPr>
            <w:r>
              <w:rPr>
                <w:rFonts w:ascii="Times New Roman" w:hAnsi="Times New Roman" w:eastAsia="宋体" w:cs="Times New Roman"/>
                <w:b w:val="0"/>
                <w:i w:val="0"/>
                <w:sz w:val="20"/>
              </w:rPr>
              <w:t>后续在第11讲回扣，不临时挤占实践</w:t>
            </w:r>
          </w:p>
        </w:tc>
      </w:tr>
      <w:tr>
        <w:trPr>
          <w:cantSplit/>
        </w:trPr>
        <w:tc>
          <w:tcPr>
            <w:tcW w:type="dxa" w:w="1681"/>
            <w:vAlign w:val="center"/>
          </w:tcPr>
          <w:p>
            <w:pPr>
              <w:keepNext/>
              <w:spacing w:before="20" w:after="20" w:line="259" w:lineRule="auto"/>
              <w:ind w:firstLine="0"/>
              <w:jc w:val="left"/>
            </w:pPr>
            <w:r>
              <w:rPr>
                <w:rFonts w:ascii="Times New Roman" w:hAnsi="Times New Roman" w:eastAsia="宋体" w:cs="Times New Roman"/>
                <w:b w:val="0"/>
                <w:i w:val="0"/>
                <w:sz w:val="20"/>
              </w:rPr>
              <w:t>后半程内容超时</w:t>
            </w:r>
          </w:p>
        </w:tc>
        <w:tc>
          <w:tcPr>
            <w:tcW w:type="dxa" w:w="4366"/>
            <w:vAlign w:val="center"/>
          </w:tcPr>
          <w:p>
            <w:pPr>
              <w:keepNext/>
              <w:spacing w:before="20" w:after="20" w:line="259" w:lineRule="auto"/>
              <w:ind w:firstLine="0"/>
              <w:jc w:val="left"/>
            </w:pPr>
            <w:r>
              <w:rPr>
                <w:rFonts w:ascii="Times New Roman" w:hAnsi="Times New Roman" w:eastAsia="宋体" w:cs="Times New Roman"/>
                <w:b w:val="0"/>
                <w:i w:val="0"/>
                <w:sz w:val="20"/>
              </w:rPr>
              <w:t>优先删扩展推导、架构罗列、产业列表，不删评估、GP/BO实践与PINN诊断</w:t>
            </w:r>
          </w:p>
        </w:tc>
        <w:tc>
          <w:tcPr>
            <w:tcW w:type="dxa" w:w="3553"/>
            <w:vAlign w:val="center"/>
          </w:tcPr>
          <w:p>
            <w:pPr>
              <w:keepNext/>
              <w:spacing w:before="20" w:after="20" w:line="259" w:lineRule="auto"/>
              <w:ind w:firstLine="0"/>
              <w:jc w:val="left"/>
            </w:pPr>
            <w:r>
              <w:rPr>
                <w:rFonts w:ascii="Times New Roman" w:hAnsi="Times New Roman" w:eastAsia="宋体" w:cs="Times New Roman"/>
                <w:b w:val="0"/>
                <w:i w:val="0"/>
                <w:sz w:val="20"/>
              </w:rPr>
              <w:t>将被删片段登记为拓展；保留完整32学时的实际教学记录</w:t>
            </w:r>
          </w:p>
        </w:tc>
      </w:tr>
      <w:tr>
        <w:trPr>
          <w:cantSplit/>
        </w:trPr>
        <w:tc>
          <w:tcPr>
            <w:tcW w:type="dxa" w:w="1681"/>
            <w:vAlign w:val="center"/>
          </w:tcPr>
          <w:p>
            <w:pPr>
              <w:keepNext/>
              <w:spacing w:before="20" w:after="20" w:line="259" w:lineRule="auto"/>
              <w:ind w:firstLine="0"/>
              <w:jc w:val="left"/>
            </w:pPr>
            <w:r>
              <w:rPr>
                <w:rFonts w:ascii="Times New Roman" w:hAnsi="Times New Roman" w:eastAsia="宋体" w:cs="Times New Roman"/>
                <w:b w:val="0"/>
                <w:i w:val="0"/>
                <w:sz w:val="20"/>
              </w:rPr>
              <w:t>节假日或学校调课</w:t>
            </w:r>
          </w:p>
        </w:tc>
        <w:tc>
          <w:tcPr>
            <w:tcW w:type="dxa" w:w="4366"/>
            <w:vAlign w:val="center"/>
          </w:tcPr>
          <w:p>
            <w:pPr>
              <w:keepNext/>
              <w:spacing w:before="20" w:after="20" w:line="259" w:lineRule="auto"/>
              <w:ind w:firstLine="0"/>
              <w:jc w:val="left"/>
            </w:pPr>
            <w:r>
              <w:rPr>
                <w:rFonts w:ascii="Times New Roman" w:hAnsi="Times New Roman" w:eastAsia="宋体" w:cs="Times New Roman"/>
                <w:b w:val="0"/>
                <w:i w:val="0"/>
                <w:sz w:val="20"/>
              </w:rPr>
              <w:t>依学校安排补足相应教学单元；预先发导学材料</w:t>
            </w:r>
          </w:p>
        </w:tc>
        <w:tc>
          <w:tcPr>
            <w:tcW w:type="dxa" w:w="3553"/>
            <w:vAlign w:val="center"/>
          </w:tcPr>
          <w:p>
            <w:pPr>
              <w:keepNext/>
              <w:spacing w:before="20" w:after="20" w:line="259" w:lineRule="auto"/>
              <w:ind w:firstLine="0"/>
              <w:jc w:val="left"/>
            </w:pPr>
            <w:r>
              <w:rPr>
                <w:rFonts w:ascii="Times New Roman" w:hAnsi="Times New Roman" w:eastAsia="宋体" w:cs="Times New Roman"/>
                <w:b w:val="0"/>
                <w:i w:val="0"/>
                <w:sz w:val="20"/>
              </w:rPr>
              <w:t>不能将16讲直接压成15讲并继续声称已完成32学时</w:t>
            </w:r>
          </w:p>
        </w:tc>
      </w:tr>
      <w:tr>
        <w:trPr>
          <w:cantSplit/>
        </w:trPr>
        <w:tc>
          <w:tcPr>
            <w:tcW w:type="dxa" w:w="1681"/>
            <w:vAlign w:val="center"/>
          </w:tcPr>
          <w:p>
            <w:pPr>
              <w:spacing w:before="20" w:after="20" w:line="259" w:lineRule="auto"/>
              <w:ind w:firstLine="0"/>
              <w:jc w:val="left"/>
            </w:pPr>
            <w:r>
              <w:rPr>
                <w:rFonts w:ascii="Times New Roman" w:hAnsi="Times New Roman" w:eastAsia="宋体" w:cs="Times New Roman"/>
                <w:b w:val="0"/>
                <w:i w:val="0"/>
                <w:sz w:val="20"/>
              </w:rPr>
              <w:t>前沿占位文档/失效PDF</w:t>
            </w:r>
          </w:p>
        </w:tc>
        <w:tc>
          <w:tcPr>
            <w:tcW w:type="dxa" w:w="4366"/>
            <w:vAlign w:val="center"/>
          </w:tcPr>
          <w:p>
            <w:pPr>
              <w:spacing w:before="20" w:after="20" w:line="259" w:lineRule="auto"/>
              <w:ind w:firstLine="0"/>
              <w:jc w:val="left"/>
            </w:pPr>
            <w:r>
              <w:rPr>
                <w:rFonts w:ascii="Times New Roman" w:hAnsi="Times New Roman" w:eastAsia="宋体" w:cs="Times New Roman"/>
                <w:b w:val="0"/>
                <w:i w:val="0"/>
                <w:sz w:val="20"/>
              </w:rPr>
              <w:t>使用已核验文献与教师导读；失效文件不列必读</w:t>
            </w:r>
          </w:p>
        </w:tc>
        <w:tc>
          <w:tcPr>
            <w:tcW w:type="dxa" w:w="3553"/>
            <w:vAlign w:val="center"/>
          </w:tcPr>
          <w:p>
            <w:pPr>
              <w:spacing w:before="20" w:after="20" w:line="259" w:lineRule="auto"/>
              <w:ind w:firstLine="0"/>
              <w:jc w:val="left"/>
            </w:pPr>
            <w:r>
              <w:rPr>
                <w:rFonts w:ascii="Times New Roman" w:hAnsi="Times New Roman" w:eastAsia="宋体" w:cs="Times New Roman"/>
                <w:b w:val="0"/>
                <w:i w:val="0"/>
                <w:sz w:val="20"/>
              </w:rPr>
              <w:t>后续补源，当前矩阵标注状态</w:t>
            </w:r>
          </w:p>
        </w:tc>
      </w:tr>
    </w:tbl>
    <w:p>
      <w:pPr>
        <w:ind w:firstLine="480"/>
      </w:pPr>
      <w:r>
        <w:rPr>
          <w:rFonts w:ascii="Times New Roman" w:hAnsi="Times New Roman" w:eastAsia="宋体" w:cs="Times New Roman"/>
          <w:b w:val="0"/>
          <w:i w:val="0"/>
          <w:sz w:val="24"/>
        </w:rPr>
        <w:t>原课程worked_examples只按模块建立索引，课前需逐个检查所选Notebook的输入、依赖、数据与输出；目录存在不等于可运行。正式PPT、讲义及代码由WorkBuddy按任务书制作或修订，当前实物/验收及待修范围见总纲与执行记录；制定本计划不等于全部材料已运行或修复。原始课程资源与历史版本保留。</w:t>
      </w:r>
    </w:p>
    <w:p>
      <w:pPr>
        <w:keepNext/>
        <w:spacing w:before="200" w:after="100"/>
        <w:jc w:val="left"/>
      </w:pPr>
      <w:r>
        <w:rPr>
          <w:rFonts w:ascii="Arial" w:hAnsi="Arial" w:eastAsia="黑体" w:cs="Arial"/>
          <w:b/>
          <w:i w:val="0"/>
          <w:sz w:val="28"/>
        </w:rPr>
        <w:t>八、V5统一资源入口与剩余制作约束</w:t>
      </w:r>
    </w:p>
    <w:p>
      <w:pPr>
        <w:ind w:firstLine="480"/>
      </w:pPr>
      <w:r>
        <w:rPr>
          <w:rFonts w:ascii="Times New Roman" w:hAnsi="Times New Roman" w:eastAsia="宋体" w:cs="Times New Roman"/>
          <w:b w:val="0"/>
          <w:i w:val="0"/>
          <w:sz w:val="24"/>
        </w:rPr>
        <w:t>每讲封面后、专业内容前加入1页“本讲阅读导航”（必要时2页）：教材/参考书章节与节名、涉及论文作者/年份/短题名/DOI、指定/选读及本讲用途。章节表见《逐讲教材章节与论文导航-V5.md》，制作时核对实际PDF版本；没有直接章节如实说明。该页计入原开场分钟，不新增教学分钟、不挤占独立实践，也不能代替证据页备注的逐项引用。</w:t>
      </w:r>
    </w:p>
    <w:p>
      <w:pPr>
        <w:ind w:firstLine="480"/>
      </w:pPr>
      <w:r>
        <w:rPr>
          <w:rFonts w:ascii="Times New Roman" w:hAnsi="Times New Roman" w:eastAsia="宋体" w:cs="Times New Roman"/>
          <w:b w:val="0"/>
          <w:i w:val="0"/>
          <w:sz w:val="24"/>
        </w:rPr>
        <w:t>开课单位“材料与化学学院”、授课教师“计算机科学与技术学院何刚教授”用于导论、每讲封面及课程说明；页脚可保留教师单位，但不能暗示其为开课单位。已有1—9讲以原验收为V4基线，本轮仅作明确的公共元数据/导航及已识别事实修订，另存V5并记录映射，原验收不覆盖新改动。第10讲先完成原返修03并执行V5公共规则；第11—16讲正式开工前读本计划和V5剩余材料约束表。</w:t>
      </w:r>
    </w:p>
    <w:p>
      <w:pPr>
        <w:ind w:firstLine="480"/>
      </w:pPr>
      <w:r>
        <w:rPr>
          <w:rFonts w:ascii="Times New Roman" w:hAnsi="Times New Roman" w:eastAsia="宋体" w:cs="Times New Roman"/>
          <w:b w:val="0"/>
          <w:i w:val="0"/>
          <w:sz w:val="24"/>
        </w:rPr>
        <w:t>研究工作流、Pareto及约束识别为本轮核心。初始设计/成本/保真度/人工回填仅到有证据的判断层；多目标采集函数、多保真GP、真实并行/硬件/远程智能体部署列拓展。无付费API、GPU、网络或线上账号仍可完成等价核心任务。总评及作业节点不变，不按新工具数量加分。</w:t>
      </w:r>
    </w:p>
    <w:sectPr w:rsidR="00FC693F" w:rsidRPr="0006063C" w:rsidSect="00034616">
      <w:footerReference w:type="default" r:id="rId9"/>
      <w:pgSz w:w="11906" w:h="16838"/>
      <w:pgMar w:top="1440" w:right="850" w:bottom="1672" w:left="1417" w:header="850"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5"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