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88" w:lineRule="auto"/>
        <w:jc w:val="center"/>
      </w:pPr>
      <w:r>
        <w:rPr>
          <w:rFonts w:ascii="Arial" w:hAnsi="Arial" w:eastAsia="黑体" w:cs="Arial"/>
          <w:b/>
          <w:i w:val="0"/>
          <w:sz w:val="36"/>
        </w:rPr>
        <w:t>《AI在材料科学中的应用》课程教学大纲</w:t>
      </w:r>
    </w:p>
    <w:p>
      <w:pPr>
        <w:spacing w:after="200" w:line="288" w:lineRule="auto"/>
        <w:jc w:val="center"/>
      </w:pPr>
      <w:r>
        <w:rPr>
          <w:rFonts w:ascii="Arial" w:hAnsi="Arial" w:eastAsia="黑体" w:cs="Arial"/>
          <w:b/>
          <w:i w:val="0"/>
          <w:sz w:val="30"/>
        </w:rPr>
        <w:t>Applications of Artificial Intelligence in Materials Science</w:t>
      </w:r>
    </w:p>
    <w:p>
      <w:pPr>
        <w:keepNext/>
        <w:spacing w:before="200" w:after="100"/>
        <w:jc w:val="left"/>
      </w:pPr>
      <w:r>
        <w:rPr>
          <w:rFonts w:ascii="Arial" w:hAnsi="Arial" w:eastAsia="黑体" w:cs="Arial"/>
          <w:b/>
          <w:i w:val="0"/>
          <w:sz w:val="28"/>
        </w:rPr>
        <w:t>一、课程基本信息</w:t>
      </w:r>
    </w:p>
    <w:p>
      <w:r>
        <w:rPr>
          <w:rFonts w:ascii="Times New Roman" w:hAnsi="Times New Roman" w:eastAsia="宋体" w:cs="Times New Roman"/>
          <w:b w:val="0"/>
          <w:i w:val="0"/>
          <w:sz w:val="24"/>
        </w:rPr>
        <w:t>1．课程编号／课程代码：1012680110｜开课单位：材料与化学学院</w:t>
      </w:r>
    </w:p>
    <w:p>
      <w:r>
        <w:rPr>
          <w:rFonts w:ascii="Times New Roman" w:hAnsi="Times New Roman" w:eastAsia="宋体" w:cs="Times New Roman"/>
          <w:b w:val="0"/>
          <w:i w:val="0"/>
          <w:sz w:val="24"/>
        </w:rPr>
        <w:t>2．学分/学时：2/32｜考核：考查｜组织：8周，每周4学时，按16个2学时教学单元设计</w:t>
      </w:r>
    </w:p>
    <w:p>
      <w:r>
        <w:rPr>
          <w:rFonts w:ascii="Times New Roman" w:hAnsi="Times New Roman" w:eastAsia="宋体" w:cs="Times New Roman"/>
          <w:b w:val="0"/>
          <w:i w:val="0"/>
          <w:sz w:val="24"/>
        </w:rPr>
        <w:t>3．对象：材料科学与工程博士研究生；专业选修课（培养方案模块四）</w:t>
      </w:r>
    </w:p>
    <w:p>
      <w:r>
        <w:rPr>
          <w:rFonts w:ascii="Times New Roman" w:hAnsi="Times New Roman" w:eastAsia="宋体" w:cs="Times New Roman"/>
          <w:b w:val="0"/>
          <w:i w:val="0"/>
          <w:sz w:val="24"/>
        </w:rPr>
        <w:t>4．学生自带电脑；班级规模按11—30人设计；每学时按45教学分钟编排，课间休息另计。</w:t>
      </w:r>
    </w:p>
    <w:p>
      <w:r>
        <w:rPr>
          <w:rFonts w:ascii="Times New Roman" w:hAnsi="Times New Roman" w:eastAsia="宋体" w:cs="Times New Roman"/>
          <w:b w:val="0"/>
          <w:i w:val="0"/>
          <w:sz w:val="24"/>
        </w:rPr>
        <w:t>5．开课季节：秋季学期（第 1 学期）</w:t>
      </w:r>
    </w:p>
    <w:p>
      <w:r>
        <w:rPr>
          <w:rFonts w:ascii="Times New Roman" w:hAnsi="Times New Roman" w:eastAsia="宋体" w:cs="Times New Roman"/>
          <w:b w:val="0"/>
          <w:i w:val="0"/>
          <w:sz w:val="24"/>
        </w:rPr>
        <w:t>6．课程类型：理论+实践课（课堂讲授＋上机实操＋文献研讨＋项目答辩）</w:t>
      </w:r>
    </w:p>
    <w:p>
      <w:r>
        <w:rPr>
          <w:rFonts w:ascii="Times New Roman" w:hAnsi="Times New Roman" w:eastAsia="宋体" w:cs="Times New Roman"/>
          <w:b w:val="0"/>
          <w:i w:val="0"/>
          <w:sz w:val="24"/>
        </w:rPr>
        <w:t>7．适用专业（领域）：材料科学与工程；材料相关学科研究生经任课教师同意可选修</w:t>
      </w:r>
    </w:p>
    <w:p>
      <w:r>
        <w:rPr>
          <w:rFonts w:ascii="Times New Roman" w:hAnsi="Times New Roman" w:eastAsia="宋体" w:cs="Times New Roman"/>
          <w:b w:val="0"/>
          <w:i w:val="0"/>
          <w:sz w:val="24"/>
        </w:rPr>
        <w:t>授课教师：计算机科学与技术学院　何刚　教授</w:t>
      </w:r>
    </w:p>
    <w:p>
      <w:r>
        <w:rPr>
          <w:rFonts w:ascii="Times New Roman" w:hAnsi="Times New Roman" w:eastAsia="宋体" w:cs="Times New Roman"/>
          <w:b w:val="0"/>
          <w:i w:val="0"/>
          <w:sz w:val="24"/>
        </w:rPr>
        <w:t>版本：V5 · 科研工作流与决策整合版｜编制日期：2026-10-24</w:t>
      </w:r>
    </w:p>
    <w:p>
      <w:pPr>
        <w:keepNext/>
        <w:spacing w:before="200" w:after="100"/>
        <w:jc w:val="left"/>
      </w:pPr>
      <w:r>
        <w:rPr>
          <w:rFonts w:ascii="Arial" w:hAnsi="Arial" w:eastAsia="黑体" w:cs="Arial"/>
          <w:b/>
          <w:i w:val="0"/>
          <w:sz w:val="28"/>
        </w:rPr>
        <w:t>二、课程简介与定位</w:t>
      </w:r>
    </w:p>
    <w:p>
      <w:pPr>
        <w:ind w:firstLine="480"/>
      </w:pPr>
      <w:r>
        <w:rPr>
          <w:rFonts w:ascii="Times New Roman" w:hAnsi="Times New Roman" w:eastAsia="宋体" w:cs="Times New Roman"/>
          <w:b w:val="0"/>
          <w:i w:val="0"/>
          <w:sz w:val="24"/>
        </w:rPr>
        <w:t>本课程围绕博士研究中的材料问题，组织“问题定义—数据获取—材料表示—可信建模—不确定性—实验决策—物理与文献验证”方法链。以成分、晶体结构和分子表示为基础，重点训练小样本条件下的模型选择、分组验证、迁移判断与贝叶斯优化。学生通过课堂任务、四次作业、一次论文评议和自主项目，形成可追溯、可复核的材料研究结论。深度模型和前沿工具服务于材料问题；模型分数、生成候选及自动抽取结果均须接受物理与独立证据检验。</w:t>
      </w:r>
    </w:p>
    <w:p>
      <w:pPr>
        <w:ind w:firstLine="480"/>
      </w:pPr>
      <w:r>
        <w:rPr>
          <w:rFonts w:ascii="Times New Roman" w:hAnsi="Times New Roman" w:eastAsia="宋体" w:cs="Times New Roman"/>
          <w:b w:val="0"/>
          <w:i w:val="0"/>
          <w:sz w:val="24"/>
        </w:rPr>
        <w:t>英文名称：Applications of Artificial Intelligence in Materials Science。</w:t>
      </w:r>
    </w:p>
    <w:p>
      <w:pPr>
        <w:ind w:firstLine="480"/>
      </w:pPr>
      <w:r>
        <w:rPr>
          <w:rFonts w:ascii="Times New Roman" w:hAnsi="Times New Roman" w:eastAsia="宋体" w:cs="Times New Roman"/>
          <w:b w:val="0"/>
          <w:i w:val="0"/>
          <w:sz w:val="24"/>
        </w:rPr>
        <w:t>Course description: This doctoral elective follows the materials research workflow from problem formulation and data curation to representation, trustworthy modeling, uncertainty, and experimental decision-making. It emphasizes small-data methods, materials-aware validation, transfer learning, Bayesian optimization, and physical consistency. Hands-on tasks, paper appraisal, and a research project develop reproducible and critically assessed research outcomes.</w:t>
      </w:r>
    </w:p>
    <w:p>
      <w:pPr>
        <w:ind w:firstLine="480"/>
      </w:pPr>
      <w:r>
        <w:rPr>
          <w:rFonts w:ascii="Times New Roman" w:hAnsi="Times New Roman" w:eastAsia="宋体" w:cs="Times New Roman"/>
          <w:b w:val="0"/>
          <w:i w:val="0"/>
          <w:sz w:val="24"/>
        </w:rPr>
        <w:t>课程支撑培养方案中“系统掌握专门知识、独立研究、学术交流与诚信”的要求，并以光电材料方向为特色案例线；其他材料研究方向可以使用本领域数据完成同等任务。培养方案的对应依据为本地博士培养方案第1—2页的培养目标及研究方向、第5页的课程设置表。</w:t>
      </w:r>
    </w:p>
    <w:p>
      <w:pPr>
        <w:keepNext/>
        <w:spacing w:before="200" w:after="100"/>
        <w:jc w:val="left"/>
      </w:pPr>
      <w:r>
        <w:rPr>
          <w:rFonts w:ascii="Arial" w:hAnsi="Arial" w:eastAsia="黑体" w:cs="Arial"/>
          <w:b/>
          <w:i w:val="0"/>
          <w:sz w:val="28"/>
        </w:rPr>
        <w:t>三、先修要求与入课准备</w:t>
      </w:r>
    </w:p>
    <w:p>
      <w:pPr>
        <w:keepNext/>
        <w:spacing w:before="100" w:after="40" w:line="264" w:lineRule="auto"/>
        <w:jc w:val="center"/>
      </w:pPr>
      <w:r>
        <w:rPr>
          <w:rFonts w:ascii="Arial" w:hAnsi="Arial" w:eastAsia="黑体" w:cs="Arial"/>
          <w:b/>
          <w:i w:val="0"/>
          <w:sz w:val="21"/>
        </w:rPr>
        <w:t>表 1　先修要求与入课准备的支持方式</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1128"/>
        <w:gridCol w:w="3769"/>
        <w:gridCol w:w="4703"/>
      </w:tblGrid>
      <w:tr>
        <w:trPr>
          <w:cantSplit/>
          <w:tblHeader/>
        </w:trPr>
        <w:tc>
          <w:tcPr>
            <w:tcW w:type="dxa" w:w="1128"/>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方面</w:t>
            </w:r>
          </w:p>
        </w:tc>
        <w:tc>
          <w:tcPr>
            <w:tcW w:type="dxa" w:w="3769"/>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最低要求</w:t>
            </w:r>
          </w:p>
        </w:tc>
        <w:tc>
          <w:tcPr>
            <w:tcW w:type="dxa" w:w="4703"/>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支持方式</w:t>
            </w:r>
          </w:p>
        </w:tc>
      </w:tr>
      <w:tr>
        <w:trPr>
          <w:cantSplit/>
        </w:trPr>
        <w:tc>
          <w:tcPr>
            <w:tcW w:type="dxa" w:w="1128"/>
            <w:vAlign w:val="center"/>
          </w:tcPr>
          <w:p>
            <w:pPr>
              <w:keepNext/>
              <w:spacing w:before="20" w:after="20" w:line="259" w:lineRule="auto"/>
              <w:ind w:firstLine="0"/>
              <w:jc w:val="left"/>
            </w:pPr>
            <w:r>
              <w:rPr>
                <w:rFonts w:ascii="Times New Roman" w:hAnsi="Times New Roman" w:eastAsia="宋体" w:cs="Times New Roman"/>
                <w:b w:val="0"/>
                <w:i w:val="0"/>
                <w:sz w:val="20"/>
              </w:rPr>
              <w:t>材料基础</w:t>
            </w:r>
          </w:p>
        </w:tc>
        <w:tc>
          <w:tcPr>
            <w:tcW w:type="dxa" w:w="3769"/>
            <w:vAlign w:val="center"/>
          </w:tcPr>
          <w:p>
            <w:pPr>
              <w:keepNext/>
              <w:spacing w:before="20" w:after="20" w:line="259" w:lineRule="auto"/>
              <w:ind w:firstLine="0"/>
              <w:jc w:val="left"/>
            </w:pPr>
            <w:r>
              <w:rPr>
                <w:rFonts w:ascii="Times New Roman" w:hAnsi="Times New Roman" w:eastAsia="宋体" w:cs="Times New Roman"/>
                <w:b w:val="0"/>
                <w:i w:val="0"/>
                <w:sz w:val="20"/>
              </w:rPr>
              <w:t>理解成分、晶体结构、工艺和性能的区别，了解本人研究问题</w:t>
            </w:r>
          </w:p>
        </w:tc>
        <w:tc>
          <w:tcPr>
            <w:tcW w:type="dxa" w:w="4703"/>
            <w:vAlign w:val="center"/>
          </w:tcPr>
          <w:p>
            <w:pPr>
              <w:keepNext/>
              <w:spacing w:before="20" w:after="20" w:line="259" w:lineRule="auto"/>
              <w:ind w:firstLine="0"/>
              <w:jc w:val="left"/>
            </w:pPr>
            <w:r>
              <w:rPr>
                <w:rFonts w:ascii="Times New Roman" w:hAnsi="Times New Roman" w:eastAsia="宋体" w:cs="Times New Roman"/>
                <w:b w:val="0"/>
                <w:i w:val="0"/>
                <w:sz w:val="20"/>
              </w:rPr>
              <w:t>用光电、合金与热传导案例回顾；不要求跨方向知识齐备</w:t>
            </w:r>
          </w:p>
        </w:tc>
      </w:tr>
      <w:tr>
        <w:trPr>
          <w:cantSplit/>
        </w:trPr>
        <w:tc>
          <w:tcPr>
            <w:tcW w:type="dxa" w:w="1128"/>
            <w:vAlign w:val="center"/>
          </w:tcPr>
          <w:p>
            <w:pPr>
              <w:keepNext/>
              <w:spacing w:before="20" w:after="20" w:line="259" w:lineRule="auto"/>
              <w:ind w:firstLine="0"/>
              <w:jc w:val="left"/>
            </w:pPr>
            <w:r>
              <w:rPr>
                <w:rFonts w:ascii="Times New Roman" w:hAnsi="Times New Roman" w:eastAsia="宋体" w:cs="Times New Roman"/>
                <w:b w:val="0"/>
                <w:i w:val="0"/>
                <w:sz w:val="20"/>
              </w:rPr>
              <w:t>数学</w:t>
            </w:r>
          </w:p>
        </w:tc>
        <w:tc>
          <w:tcPr>
            <w:tcW w:type="dxa" w:w="3769"/>
            <w:vAlign w:val="center"/>
          </w:tcPr>
          <w:p>
            <w:pPr>
              <w:keepNext/>
              <w:spacing w:before="20" w:after="20" w:line="259" w:lineRule="auto"/>
              <w:ind w:firstLine="0"/>
              <w:jc w:val="left"/>
            </w:pPr>
            <w:r>
              <w:rPr>
                <w:rFonts w:ascii="Times New Roman" w:hAnsi="Times New Roman" w:eastAsia="宋体" w:cs="Times New Roman"/>
                <w:b w:val="0"/>
                <w:i w:val="0"/>
                <w:sz w:val="20"/>
              </w:rPr>
              <w:t>能读矩阵与函数，具有均值、方差和条件概率直觉</w:t>
            </w:r>
          </w:p>
        </w:tc>
        <w:tc>
          <w:tcPr>
            <w:tcW w:type="dxa" w:w="4703"/>
            <w:vAlign w:val="center"/>
          </w:tcPr>
          <w:p>
            <w:pPr>
              <w:keepNext/>
              <w:spacing w:before="20" w:after="20" w:line="259" w:lineRule="auto"/>
              <w:ind w:firstLine="0"/>
              <w:jc w:val="left"/>
            </w:pPr>
            <w:r>
              <w:rPr>
                <w:rFonts w:ascii="Times New Roman" w:hAnsi="Times New Roman" w:eastAsia="宋体" w:cs="Times New Roman"/>
                <w:b w:val="0"/>
                <w:i w:val="0"/>
                <w:sz w:val="20"/>
              </w:rPr>
              <w:t>课前短材料；第6、11、12、13讲按需回顾</w:t>
            </w:r>
          </w:p>
        </w:tc>
      </w:tr>
      <w:tr>
        <w:trPr>
          <w:cantSplit/>
        </w:trPr>
        <w:tc>
          <w:tcPr>
            <w:tcW w:type="dxa" w:w="1128"/>
            <w:vAlign w:val="center"/>
          </w:tcPr>
          <w:p>
            <w:pPr>
              <w:keepNext/>
              <w:spacing w:before="20" w:after="20" w:line="259" w:lineRule="auto"/>
              <w:ind w:firstLine="0"/>
              <w:jc w:val="left"/>
            </w:pPr>
            <w:r>
              <w:rPr>
                <w:rFonts w:ascii="Times New Roman" w:hAnsi="Times New Roman" w:eastAsia="宋体" w:cs="Times New Roman"/>
                <w:b w:val="0"/>
                <w:i w:val="0"/>
                <w:sz w:val="20"/>
              </w:rPr>
              <w:t>编程</w:t>
            </w:r>
          </w:p>
        </w:tc>
        <w:tc>
          <w:tcPr>
            <w:tcW w:type="dxa" w:w="3769"/>
            <w:vAlign w:val="center"/>
          </w:tcPr>
          <w:p>
            <w:pPr>
              <w:keepNext/>
              <w:spacing w:before="20" w:after="20" w:line="259" w:lineRule="auto"/>
              <w:ind w:firstLine="0"/>
              <w:jc w:val="left"/>
            </w:pPr>
            <w:r>
              <w:rPr>
                <w:rFonts w:ascii="Times New Roman" w:hAnsi="Times New Roman" w:eastAsia="宋体" w:cs="Times New Roman"/>
                <w:b w:val="0"/>
                <w:i w:val="0"/>
                <w:sz w:val="20"/>
              </w:rPr>
              <w:t>能运行并修改Python脚本或Notebook、读CSV和画基本图</w:t>
            </w:r>
          </w:p>
        </w:tc>
        <w:tc>
          <w:tcPr>
            <w:tcW w:type="dxa" w:w="4703"/>
            <w:vAlign w:val="center"/>
          </w:tcPr>
          <w:p>
            <w:pPr>
              <w:keepNext/>
              <w:spacing w:before="20" w:after="20" w:line="259" w:lineRule="auto"/>
              <w:ind w:firstLine="0"/>
              <w:jc w:val="left"/>
            </w:pPr>
            <w:r>
              <w:rPr>
                <w:rFonts w:ascii="Times New Roman" w:hAnsi="Times New Roman" w:eastAsia="宋体" w:cs="Times New Roman"/>
                <w:b w:val="0"/>
                <w:i w:val="0"/>
                <w:sz w:val="20"/>
              </w:rPr>
              <w:t>课前环境清单及ISLP第2章实验；第1讲做验收，不承诺11分钟完成Python速成</w:t>
            </w:r>
          </w:p>
        </w:tc>
      </w:tr>
      <w:tr>
        <w:trPr>
          <w:cantSplit/>
        </w:trPr>
        <w:tc>
          <w:tcPr>
            <w:tcW w:type="dxa" w:w="1128"/>
            <w:vAlign w:val="center"/>
          </w:tcPr>
          <w:p>
            <w:pPr>
              <w:spacing w:before="20" w:after="20" w:line="259" w:lineRule="auto"/>
              <w:ind w:firstLine="0"/>
              <w:jc w:val="left"/>
            </w:pPr>
            <w:r>
              <w:rPr>
                <w:rFonts w:ascii="Times New Roman" w:hAnsi="Times New Roman" w:eastAsia="宋体" w:cs="Times New Roman"/>
                <w:b w:val="0"/>
                <w:i w:val="0"/>
                <w:sz w:val="20"/>
              </w:rPr>
              <w:t>计算环境</w:t>
            </w:r>
          </w:p>
        </w:tc>
        <w:tc>
          <w:tcPr>
            <w:tcW w:type="dxa" w:w="3769"/>
            <w:vAlign w:val="center"/>
          </w:tcPr>
          <w:p>
            <w:pPr>
              <w:spacing w:before="20" w:after="20" w:line="259" w:lineRule="auto"/>
              <w:ind w:firstLine="0"/>
              <w:jc w:val="left"/>
            </w:pPr>
            <w:r>
              <w:rPr>
                <w:rFonts w:ascii="Times New Roman" w:hAnsi="Times New Roman" w:eastAsia="宋体" w:cs="Times New Roman"/>
                <w:b w:val="0"/>
                <w:i w:val="0"/>
                <w:sz w:val="20"/>
              </w:rPr>
              <w:t>自带电脑，课程标准环境名MICourse；基础任务可在CPU完成</w:t>
            </w:r>
          </w:p>
        </w:tc>
        <w:tc>
          <w:tcPr>
            <w:tcW w:type="dxa" w:w="4703"/>
            <w:vAlign w:val="center"/>
          </w:tcPr>
          <w:p>
            <w:pPr>
              <w:spacing w:before="20" w:after="20" w:line="259" w:lineRule="auto"/>
              <w:ind w:firstLine="0"/>
              <w:jc w:val="left"/>
            </w:pPr>
            <w:r>
              <w:rPr>
                <w:rFonts w:ascii="Times New Roman" w:hAnsi="Times New Roman" w:eastAsia="宋体" w:cs="Times New Roman"/>
                <w:b w:val="0"/>
                <w:i w:val="0"/>
                <w:sz w:val="20"/>
              </w:rPr>
              <w:t>分层依赖；深度模型提供小数据、短训练或已训练模型的等价分析路径</w:t>
            </w:r>
          </w:p>
        </w:tc>
      </w:tr>
    </w:tbl>
    <w:p>
      <w:pPr>
        <w:ind w:firstLine="480"/>
      </w:pPr>
      <w:r>
        <w:rPr>
          <w:rFonts w:ascii="Times New Roman" w:hAnsi="Times New Roman" w:eastAsia="宋体" w:cs="Times New Roman"/>
          <w:b w:val="0"/>
          <w:i w:val="0"/>
          <w:sz w:val="24"/>
        </w:rPr>
        <w:t>统一采用MICourse环境，uv仅作熟悉者的等价选项，不在课堂同时教授两套部署。API账号及密钥在课前自行申请；课堂与考核提供离线数据替代路径，网络条件、GPU和付费服务不影响评分。</w:t>
      </w:r>
    </w:p>
    <w:p>
      <w:pPr>
        <w:keepNext/>
        <w:spacing w:before="200" w:after="100"/>
        <w:jc w:val="left"/>
      </w:pPr>
      <w:r>
        <w:rPr>
          <w:rFonts w:ascii="Arial" w:hAnsi="Arial" w:eastAsia="黑体" w:cs="Arial"/>
          <w:b/>
          <w:i w:val="0"/>
          <w:sz w:val="28"/>
        </w:rPr>
        <w:t>四、课程教学目标及学生应达到的能力</w:t>
      </w:r>
    </w:p>
    <w:p>
      <w:pPr>
        <w:keepNext/>
        <w:spacing w:before="100" w:after="40" w:line="264" w:lineRule="auto"/>
        <w:jc w:val="center"/>
      </w:pPr>
      <w:r>
        <w:rPr>
          <w:rFonts w:ascii="Arial" w:hAnsi="Arial" w:eastAsia="黑体" w:cs="Arial"/>
          <w:b/>
          <w:i w:val="0"/>
          <w:sz w:val="21"/>
        </w:rPr>
        <w:t>表 2　课程目标、学习结果、支撑讲次与评价证据</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1382"/>
        <w:gridCol w:w="4430"/>
        <w:gridCol w:w="1365"/>
        <w:gridCol w:w="2423"/>
      </w:tblGrid>
      <w:tr>
        <w:trPr>
          <w:cantSplit/>
          <w:tblHeader/>
        </w:trPr>
        <w:tc>
          <w:tcPr>
            <w:tcW w:type="dxa" w:w="1382"/>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目标</w:t>
            </w:r>
          </w:p>
        </w:tc>
        <w:tc>
          <w:tcPr>
            <w:tcW w:type="dxa" w:w="4430"/>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可观察、可评价的学习结果</w:t>
            </w:r>
          </w:p>
        </w:tc>
        <w:tc>
          <w:tcPr>
            <w:tcW w:type="dxa" w:w="136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主要讲次</w:t>
            </w:r>
          </w:p>
        </w:tc>
        <w:tc>
          <w:tcPr>
            <w:tcW w:type="dxa" w:w="2423"/>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必须留存的评价证据</w:t>
            </w:r>
          </w:p>
        </w:tc>
      </w:tr>
      <w:tr>
        <w:trPr>
          <w:cantSplit/>
        </w:trPr>
        <w:tc>
          <w:tcPr>
            <w:tcW w:type="dxa" w:w="1382"/>
            <w:vAlign w:val="center"/>
          </w:tcPr>
          <w:p>
            <w:pPr>
              <w:keepNext/>
              <w:spacing w:before="20" w:after="20" w:line="259" w:lineRule="auto"/>
              <w:ind w:firstLine="0"/>
              <w:jc w:val="left"/>
            </w:pPr>
            <w:r>
              <w:rPr>
                <w:rFonts w:ascii="Times New Roman" w:hAnsi="Times New Roman" w:eastAsia="宋体" w:cs="Times New Roman"/>
                <w:b w:val="0"/>
                <w:i w:val="0"/>
                <w:sz w:val="20"/>
              </w:rPr>
              <w:t>G1 问题与数据意识</w:t>
            </w:r>
          </w:p>
        </w:tc>
        <w:tc>
          <w:tcPr>
            <w:tcW w:type="dxa" w:w="4430"/>
            <w:vAlign w:val="center"/>
          </w:tcPr>
          <w:p>
            <w:pPr>
              <w:keepNext/>
              <w:spacing w:before="20" w:after="20" w:line="259" w:lineRule="auto"/>
              <w:ind w:firstLine="0"/>
              <w:jc w:val="left"/>
            </w:pPr>
            <w:r>
              <w:rPr>
                <w:rFonts w:ascii="Times New Roman" w:hAnsi="Times New Roman" w:eastAsia="宋体" w:cs="Times New Roman"/>
                <w:b w:val="0"/>
                <w:i w:val="0"/>
                <w:sz w:val="20"/>
              </w:rPr>
              <w:t>把博士课题改写为输入、目标、样本单位、可用时点和验证标准；辨别预测与发现</w:t>
            </w:r>
          </w:p>
        </w:tc>
        <w:tc>
          <w:tcPr>
            <w:tcW w:type="dxa" w:w="1365"/>
            <w:vAlign w:val="center"/>
          </w:tcPr>
          <w:p>
            <w:pPr>
              <w:keepNext/>
              <w:spacing w:before="20" w:after="20" w:line="259" w:lineRule="auto"/>
              <w:ind w:firstLine="0"/>
              <w:jc w:val="left"/>
            </w:pPr>
            <w:r>
              <w:rPr>
                <w:rFonts w:ascii="Times New Roman" w:hAnsi="Times New Roman" w:eastAsia="宋体" w:cs="Times New Roman"/>
                <w:b w:val="0"/>
                <w:i w:val="0"/>
                <w:sz w:val="20"/>
              </w:rPr>
              <w:t>1—3、16</w:t>
            </w:r>
          </w:p>
        </w:tc>
        <w:tc>
          <w:tcPr>
            <w:tcW w:type="dxa" w:w="2423"/>
            <w:vAlign w:val="center"/>
          </w:tcPr>
          <w:p>
            <w:pPr>
              <w:keepNext/>
              <w:spacing w:before="20" w:after="20" w:line="259" w:lineRule="auto"/>
              <w:ind w:firstLine="0"/>
              <w:jc w:val="left"/>
            </w:pPr>
            <w:r>
              <w:rPr>
                <w:rFonts w:ascii="Times New Roman" w:hAnsi="Times New Roman" w:eastAsia="宋体" w:cs="Times New Roman"/>
                <w:b w:val="0"/>
                <w:i w:val="0"/>
                <w:sz w:val="20"/>
              </w:rPr>
              <w:t>任务卡；项目问题定义及验证证据说明</w:t>
            </w:r>
          </w:p>
        </w:tc>
      </w:tr>
      <w:tr>
        <w:trPr>
          <w:cantSplit/>
        </w:trPr>
        <w:tc>
          <w:tcPr>
            <w:tcW w:type="dxa" w:w="1382"/>
            <w:vAlign w:val="center"/>
          </w:tcPr>
          <w:p>
            <w:pPr>
              <w:keepNext/>
              <w:spacing w:before="20" w:after="20" w:line="259" w:lineRule="auto"/>
              <w:ind w:firstLine="0"/>
              <w:jc w:val="left"/>
            </w:pPr>
            <w:r>
              <w:rPr>
                <w:rFonts w:ascii="Times New Roman" w:hAnsi="Times New Roman" w:eastAsia="宋体" w:cs="Times New Roman"/>
                <w:b w:val="0"/>
                <w:i w:val="0"/>
                <w:sz w:val="20"/>
              </w:rPr>
              <w:t>G2 材料表示</w:t>
            </w:r>
          </w:p>
        </w:tc>
        <w:tc>
          <w:tcPr>
            <w:tcW w:type="dxa" w:w="4430"/>
            <w:vAlign w:val="center"/>
          </w:tcPr>
          <w:p>
            <w:pPr>
              <w:keepNext/>
              <w:spacing w:before="20" w:after="20" w:line="259" w:lineRule="auto"/>
              <w:ind w:firstLine="0"/>
              <w:jc w:val="left"/>
            </w:pPr>
            <w:r>
              <w:rPr>
                <w:rFonts w:ascii="Times New Roman" w:hAnsi="Times New Roman" w:eastAsia="宋体" w:cs="Times New Roman"/>
                <w:b w:val="0"/>
                <w:i w:val="0"/>
                <w:sz w:val="20"/>
              </w:rPr>
              <w:t>完成来源与单位审计，计算成分特征、检查周期图并比较分子表示</w:t>
            </w:r>
          </w:p>
        </w:tc>
        <w:tc>
          <w:tcPr>
            <w:tcW w:type="dxa" w:w="1365"/>
            <w:vAlign w:val="center"/>
          </w:tcPr>
          <w:p>
            <w:pPr>
              <w:keepNext/>
              <w:spacing w:before="20" w:after="20" w:line="259" w:lineRule="auto"/>
              <w:ind w:firstLine="0"/>
              <w:jc w:val="left"/>
            </w:pPr>
            <w:r>
              <w:rPr>
                <w:rFonts w:ascii="Times New Roman" w:hAnsi="Times New Roman" w:eastAsia="宋体" w:cs="Times New Roman"/>
                <w:b w:val="0"/>
                <w:i w:val="0"/>
                <w:sz w:val="20"/>
              </w:rPr>
              <w:t>3—5</w:t>
            </w:r>
          </w:p>
        </w:tc>
        <w:tc>
          <w:tcPr>
            <w:tcW w:type="dxa" w:w="2423"/>
            <w:vAlign w:val="center"/>
          </w:tcPr>
          <w:p>
            <w:pPr>
              <w:keepNext/>
              <w:spacing w:before="20" w:after="20" w:line="259" w:lineRule="auto"/>
              <w:ind w:firstLine="0"/>
              <w:jc w:val="left"/>
            </w:pPr>
            <w:r>
              <w:rPr>
                <w:rFonts w:ascii="Times New Roman" w:hAnsi="Times New Roman" w:eastAsia="宋体" w:cs="Times New Roman"/>
                <w:b w:val="0"/>
                <w:i w:val="0"/>
                <w:sz w:val="20"/>
              </w:rPr>
              <w:t>HW1；HW2表示部分；第5讲图检查表</w:t>
            </w:r>
          </w:p>
        </w:tc>
      </w:tr>
      <w:tr>
        <w:trPr>
          <w:cantSplit/>
        </w:trPr>
        <w:tc>
          <w:tcPr>
            <w:tcW w:type="dxa" w:w="1382"/>
            <w:vAlign w:val="center"/>
          </w:tcPr>
          <w:p>
            <w:pPr>
              <w:keepNext/>
              <w:spacing w:before="20" w:after="20" w:line="259" w:lineRule="auto"/>
              <w:ind w:firstLine="0"/>
              <w:jc w:val="left"/>
            </w:pPr>
            <w:r>
              <w:rPr>
                <w:rFonts w:ascii="Times New Roman" w:hAnsi="Times New Roman" w:eastAsia="宋体" w:cs="Times New Roman"/>
                <w:b w:val="0"/>
                <w:i w:val="0"/>
                <w:sz w:val="20"/>
              </w:rPr>
              <w:t>G3 可信建模</w:t>
            </w:r>
          </w:p>
        </w:tc>
        <w:tc>
          <w:tcPr>
            <w:tcW w:type="dxa" w:w="4430"/>
            <w:vAlign w:val="center"/>
          </w:tcPr>
          <w:p>
            <w:pPr>
              <w:keepNext/>
              <w:spacing w:before="20" w:after="20" w:line="259" w:lineRule="auto"/>
              <w:ind w:firstLine="0"/>
              <w:jc w:val="left"/>
            </w:pPr>
            <w:r>
              <w:rPr>
                <w:rFonts w:ascii="Times New Roman" w:hAnsi="Times New Roman" w:eastAsia="宋体" w:cs="Times New Roman"/>
                <w:b w:val="0"/>
                <w:i w:val="0"/>
                <w:sz w:val="20"/>
              </w:rPr>
              <w:t>建立基线，按应用场景选择划分与指标，在无泄漏流程内比较模型、解释误差，并核验AI生成分析对固定协议的遵守情况</w:t>
            </w:r>
          </w:p>
        </w:tc>
        <w:tc>
          <w:tcPr>
            <w:tcW w:type="dxa" w:w="1365"/>
            <w:vAlign w:val="center"/>
          </w:tcPr>
          <w:p>
            <w:pPr>
              <w:keepNext/>
              <w:spacing w:before="20" w:after="20" w:line="259" w:lineRule="auto"/>
              <w:ind w:firstLine="0"/>
              <w:jc w:val="left"/>
            </w:pPr>
            <w:r>
              <w:rPr>
                <w:rFonts w:ascii="Times New Roman" w:hAnsi="Times New Roman" w:eastAsia="宋体" w:cs="Times New Roman"/>
                <w:b w:val="0"/>
                <w:i w:val="0"/>
                <w:sz w:val="20"/>
              </w:rPr>
              <w:t>6—11</w:t>
            </w:r>
          </w:p>
        </w:tc>
        <w:tc>
          <w:tcPr>
            <w:tcW w:type="dxa" w:w="2423"/>
            <w:vAlign w:val="center"/>
          </w:tcPr>
          <w:p>
            <w:pPr>
              <w:keepNext/>
              <w:spacing w:before="20" w:after="20" w:line="259" w:lineRule="auto"/>
              <w:ind w:firstLine="0"/>
              <w:jc w:val="left"/>
            </w:pPr>
            <w:r>
              <w:rPr>
                <w:rFonts w:ascii="Times New Roman" w:hAnsi="Times New Roman" w:eastAsia="宋体" w:cs="Times New Roman"/>
                <w:b w:val="0"/>
                <w:i w:val="0"/>
                <w:sz w:val="20"/>
              </w:rPr>
              <w:t>HW2评估部分；项目验证方案和误差分析</w:t>
            </w:r>
          </w:p>
        </w:tc>
      </w:tr>
      <w:tr>
        <w:trPr>
          <w:cantSplit/>
        </w:trPr>
        <w:tc>
          <w:tcPr>
            <w:tcW w:type="dxa" w:w="1382"/>
            <w:vAlign w:val="center"/>
          </w:tcPr>
          <w:p>
            <w:pPr>
              <w:keepNext/>
              <w:spacing w:before="20" w:after="20" w:line="259" w:lineRule="auto"/>
              <w:ind w:firstLine="0"/>
              <w:jc w:val="left"/>
            </w:pPr>
            <w:r>
              <w:rPr>
                <w:rFonts w:ascii="Times New Roman" w:hAnsi="Times New Roman" w:eastAsia="宋体" w:cs="Times New Roman"/>
                <w:b w:val="0"/>
                <w:i w:val="0"/>
                <w:sz w:val="20"/>
              </w:rPr>
              <w:t>G4 小数据与决策</w:t>
            </w:r>
          </w:p>
        </w:tc>
        <w:tc>
          <w:tcPr>
            <w:tcW w:type="dxa" w:w="4430"/>
            <w:vAlign w:val="center"/>
          </w:tcPr>
          <w:p>
            <w:pPr>
              <w:keepNext/>
              <w:spacing w:before="20" w:after="20" w:line="259" w:lineRule="auto"/>
              <w:ind w:firstLine="0"/>
              <w:jc w:val="left"/>
            </w:pPr>
            <w:r>
              <w:rPr>
                <w:rFonts w:ascii="Times New Roman" w:hAnsi="Times New Roman" w:eastAsia="宋体" w:cs="Times New Roman"/>
                <w:b w:val="0"/>
                <w:i w:val="0"/>
                <w:sz w:val="20"/>
              </w:rPr>
              <w:t>判断迁移是否有益，解释GP预测不确定性，在同预算下评价候选采集策略，识别硬约束、非支配候选及成本权衡</w:t>
            </w:r>
          </w:p>
        </w:tc>
        <w:tc>
          <w:tcPr>
            <w:tcW w:type="dxa" w:w="1365"/>
            <w:vAlign w:val="center"/>
          </w:tcPr>
          <w:p>
            <w:pPr>
              <w:keepNext/>
              <w:spacing w:before="20" w:after="20" w:line="259" w:lineRule="auto"/>
              <w:ind w:firstLine="0"/>
              <w:jc w:val="left"/>
            </w:pPr>
            <w:r>
              <w:rPr>
                <w:rFonts w:ascii="Times New Roman" w:hAnsi="Times New Roman" w:eastAsia="宋体" w:cs="Times New Roman"/>
                <w:b w:val="0"/>
                <w:i w:val="0"/>
                <w:sz w:val="20"/>
              </w:rPr>
              <w:t>12—14</w:t>
            </w:r>
          </w:p>
        </w:tc>
        <w:tc>
          <w:tcPr>
            <w:tcW w:type="dxa" w:w="2423"/>
            <w:vAlign w:val="center"/>
          </w:tcPr>
          <w:p>
            <w:pPr>
              <w:keepNext/>
              <w:spacing w:before="20" w:after="20" w:line="259" w:lineRule="auto"/>
              <w:ind w:firstLine="0"/>
              <w:jc w:val="left"/>
            </w:pPr>
            <w:r>
              <w:rPr>
                <w:rFonts w:ascii="Times New Roman" w:hAnsi="Times New Roman" w:eastAsia="宋体" w:cs="Times New Roman"/>
                <w:b w:val="0"/>
                <w:i w:val="0"/>
                <w:sz w:val="20"/>
              </w:rPr>
              <w:t>HW3迁移/表示比较；HW4；项目下一步实验或计算建议</w:t>
            </w:r>
          </w:p>
        </w:tc>
      </w:tr>
      <w:tr>
        <w:trPr>
          <w:cantSplit/>
        </w:trPr>
        <w:tc>
          <w:tcPr>
            <w:tcW w:type="dxa" w:w="1382"/>
            <w:vAlign w:val="center"/>
          </w:tcPr>
          <w:p>
            <w:pPr>
              <w:keepNext/>
              <w:spacing w:before="20" w:after="20" w:line="259" w:lineRule="auto"/>
              <w:ind w:firstLine="0"/>
              <w:jc w:val="left"/>
            </w:pPr>
            <w:r>
              <w:rPr>
                <w:rFonts w:ascii="Times New Roman" w:hAnsi="Times New Roman" w:eastAsia="宋体" w:cs="Times New Roman"/>
                <w:b w:val="0"/>
                <w:i w:val="0"/>
                <w:sz w:val="20"/>
              </w:rPr>
              <w:t>G5 物理一致性</w:t>
            </w:r>
          </w:p>
        </w:tc>
        <w:tc>
          <w:tcPr>
            <w:tcW w:type="dxa" w:w="4430"/>
            <w:vAlign w:val="center"/>
          </w:tcPr>
          <w:p>
            <w:pPr>
              <w:keepNext/>
              <w:spacing w:before="20" w:after="20" w:line="259" w:lineRule="auto"/>
              <w:ind w:firstLine="0"/>
              <w:jc w:val="left"/>
            </w:pPr>
            <w:r>
              <w:rPr>
                <w:rFonts w:ascii="Times New Roman" w:hAnsi="Times New Roman" w:eastAsia="宋体" w:cs="Times New Roman"/>
                <w:b w:val="0"/>
                <w:i w:val="0"/>
                <w:sz w:val="20"/>
              </w:rPr>
              <w:t>构造并检查PINN的数据、残差和初边值项，用参考解或独立点诊断失败</w:t>
            </w:r>
          </w:p>
        </w:tc>
        <w:tc>
          <w:tcPr>
            <w:tcW w:type="dxa" w:w="1365"/>
            <w:vAlign w:val="center"/>
          </w:tcPr>
          <w:p>
            <w:pPr>
              <w:keepNext/>
              <w:spacing w:before="20" w:after="20" w:line="259" w:lineRule="auto"/>
              <w:ind w:firstLine="0"/>
              <w:jc w:val="left"/>
            </w:pPr>
            <w:r>
              <w:rPr>
                <w:rFonts w:ascii="Times New Roman" w:hAnsi="Times New Roman" w:eastAsia="宋体" w:cs="Times New Roman"/>
                <w:b w:val="0"/>
                <w:i w:val="0"/>
                <w:sz w:val="20"/>
              </w:rPr>
              <w:t>11、15</w:t>
            </w:r>
          </w:p>
        </w:tc>
        <w:tc>
          <w:tcPr>
            <w:tcW w:type="dxa" w:w="2423"/>
            <w:vAlign w:val="center"/>
          </w:tcPr>
          <w:p>
            <w:pPr>
              <w:keepNext/>
              <w:spacing w:before="20" w:after="20" w:line="259" w:lineRule="auto"/>
              <w:ind w:firstLine="0"/>
              <w:jc w:val="left"/>
            </w:pPr>
            <w:r>
              <w:rPr>
                <w:rFonts w:ascii="Times New Roman" w:hAnsi="Times New Roman" w:eastAsia="宋体" w:cs="Times New Roman"/>
                <w:b w:val="0"/>
                <w:i w:val="0"/>
                <w:sz w:val="20"/>
              </w:rPr>
              <w:t>全员PINN诊断单；项目单位、约束与物理合理性审查</w:t>
            </w:r>
          </w:p>
        </w:tc>
      </w:tr>
      <w:tr>
        <w:trPr>
          <w:cantSplit/>
        </w:trPr>
        <w:tc>
          <w:tcPr>
            <w:tcW w:type="dxa" w:w="1382"/>
            <w:vAlign w:val="center"/>
          </w:tcPr>
          <w:p>
            <w:pPr>
              <w:spacing w:before="20" w:after="20" w:line="259" w:lineRule="auto"/>
              <w:ind w:firstLine="0"/>
              <w:jc w:val="left"/>
            </w:pPr>
            <w:r>
              <w:rPr>
                <w:rFonts w:ascii="Times New Roman" w:hAnsi="Times New Roman" w:eastAsia="宋体" w:cs="Times New Roman"/>
                <w:b w:val="0"/>
                <w:i w:val="0"/>
                <w:sz w:val="20"/>
              </w:rPr>
              <w:t>G6 研究表达与诚信</w:t>
            </w:r>
          </w:p>
        </w:tc>
        <w:tc>
          <w:tcPr>
            <w:tcW w:type="dxa" w:w="4430"/>
            <w:vAlign w:val="center"/>
          </w:tcPr>
          <w:p>
            <w:pPr>
              <w:spacing w:before="20" w:after="20" w:line="259" w:lineRule="auto"/>
              <w:ind w:firstLine="0"/>
              <w:jc w:val="left"/>
            </w:pPr>
            <w:r>
              <w:rPr>
                <w:rFonts w:ascii="Times New Roman" w:hAnsi="Times New Roman" w:eastAsia="宋体" w:cs="Times New Roman"/>
                <w:b w:val="0"/>
                <w:i w:val="0"/>
                <w:sz w:val="20"/>
              </w:rPr>
              <w:t>批判性评议一篇文献，交付可追溯代码与结论，记录AI辅助任务、输入和输出版本、独立复核与个人贡献</w:t>
            </w:r>
          </w:p>
        </w:tc>
        <w:tc>
          <w:tcPr>
            <w:tcW w:type="dxa" w:w="1365"/>
            <w:vAlign w:val="center"/>
          </w:tcPr>
          <w:p>
            <w:pPr>
              <w:spacing w:before="20" w:after="20" w:line="259" w:lineRule="auto"/>
              <w:ind w:firstLine="0"/>
              <w:jc w:val="left"/>
            </w:pPr>
            <w:r>
              <w:rPr>
                <w:rFonts w:ascii="Times New Roman" w:hAnsi="Times New Roman" w:eastAsia="宋体" w:cs="Times New Roman"/>
                <w:b w:val="0"/>
                <w:i w:val="0"/>
                <w:sz w:val="20"/>
              </w:rPr>
              <w:t>1、8、10、15—16</w:t>
            </w:r>
          </w:p>
        </w:tc>
        <w:tc>
          <w:tcPr>
            <w:tcW w:type="dxa" w:w="2423"/>
            <w:vAlign w:val="center"/>
          </w:tcPr>
          <w:p>
            <w:pPr>
              <w:spacing w:before="20" w:after="20" w:line="259" w:lineRule="auto"/>
              <w:ind w:firstLine="0"/>
              <w:jc w:val="left"/>
            </w:pPr>
            <w:r>
              <w:rPr>
                <w:rFonts w:ascii="Times New Roman" w:hAnsi="Times New Roman" w:eastAsia="宋体" w:cs="Times New Roman"/>
                <w:b w:val="0"/>
                <w:i w:val="0"/>
                <w:sz w:val="20"/>
              </w:rPr>
              <w:t>论文评议及讨论记录；项目复现包、引用与贡献说明</w:t>
            </w:r>
          </w:p>
        </w:tc>
      </w:tr>
    </w:tbl>
    <w:p>
      <w:pPr>
        <w:keepNext/>
        <w:spacing w:before="120" w:after="60"/>
        <w:jc w:val="left"/>
      </w:pPr>
      <w:r>
        <w:rPr>
          <w:rFonts w:ascii="Arial" w:hAnsi="Arial" w:eastAsia="黑体" w:cs="Arial"/>
          <w:b/>
          <w:i w:val="0"/>
          <w:sz w:val="25"/>
        </w:rPr>
        <w:t>达成度与持续改进</w:t>
      </w:r>
    </w:p>
    <w:p>
      <w:pPr>
        <w:ind w:firstLine="480"/>
      </w:pPr>
      <w:r>
        <w:rPr>
          <w:rFonts w:ascii="Times New Roman" w:hAnsi="Times New Roman" w:eastAsia="宋体" w:cs="Times New Roman"/>
          <w:b w:val="0"/>
          <w:i w:val="0"/>
          <w:sz w:val="24"/>
        </w:rPr>
        <w:t>各证据按相应评分项的“实得分/该项满分”归一化，缺交计0。目标达成度取下表证据的加权平均，不把课程总评替代各目标的达成度。分项分数单独记录，重复使用的同一成果不重复计入课程总分。</w:t>
      </w:r>
    </w:p>
    <w:p>
      <w:pPr>
        <w:keepNext/>
        <w:spacing w:before="100" w:after="40" w:line="264" w:lineRule="auto"/>
        <w:jc w:val="center"/>
      </w:pPr>
      <w:r>
        <w:rPr>
          <w:rFonts w:ascii="Arial" w:hAnsi="Arial" w:eastAsia="黑体" w:cs="Arial"/>
          <w:b/>
          <w:i w:val="0"/>
          <w:sz w:val="21"/>
        </w:rPr>
        <w:t>表 3　课程目标达成度的证据权重</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720"/>
        <w:gridCol w:w="8880"/>
      </w:tblGrid>
      <w:tr>
        <w:trPr>
          <w:cantSplit/>
          <w:tblHeader/>
        </w:trPr>
        <w:tc>
          <w:tcPr>
            <w:tcW w:type="dxa" w:w="720"/>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目标</w:t>
            </w:r>
          </w:p>
        </w:tc>
        <w:tc>
          <w:tcPr>
            <w:tcW w:type="dxa" w:w="8880"/>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证据权重（各行合计100%）</w:t>
            </w:r>
          </w:p>
        </w:tc>
      </w:tr>
      <w:tr>
        <w:trPr>
          <w:cantSplit/>
        </w:trPr>
        <w:tc>
          <w:tcPr>
            <w:tcW w:type="dxa" w:w="720"/>
            <w:vAlign w:val="center"/>
          </w:tcPr>
          <w:p>
            <w:pPr>
              <w:keepNext/>
              <w:spacing w:before="20" w:after="20" w:line="259" w:lineRule="auto"/>
              <w:ind w:firstLine="0"/>
              <w:jc w:val="left"/>
            </w:pPr>
            <w:r>
              <w:rPr>
                <w:rFonts w:ascii="Times New Roman" w:hAnsi="Times New Roman" w:eastAsia="宋体" w:cs="Times New Roman"/>
                <w:b w:val="0"/>
                <w:i w:val="0"/>
                <w:sz w:val="20"/>
              </w:rPr>
              <w:t>G1</w:t>
            </w:r>
          </w:p>
        </w:tc>
        <w:tc>
          <w:tcPr>
            <w:tcW w:type="dxa" w:w="8880"/>
            <w:vAlign w:val="center"/>
          </w:tcPr>
          <w:p>
            <w:pPr>
              <w:keepNext/>
              <w:spacing w:before="20" w:after="20" w:line="259" w:lineRule="auto"/>
              <w:ind w:firstLine="0"/>
              <w:jc w:val="left"/>
            </w:pPr>
            <w:r>
              <w:rPr>
                <w:rFonts w:ascii="Times New Roman" w:hAnsi="Times New Roman" w:eastAsia="宋体" w:cs="Times New Roman"/>
                <w:b w:val="0"/>
                <w:i w:val="0"/>
                <w:sz w:val="20"/>
              </w:rPr>
              <w:t>任务卡50% + 项目问题定义50%</w:t>
            </w:r>
          </w:p>
        </w:tc>
      </w:tr>
      <w:tr>
        <w:trPr>
          <w:cantSplit/>
        </w:trPr>
        <w:tc>
          <w:tcPr>
            <w:tcW w:type="dxa" w:w="720"/>
            <w:vAlign w:val="center"/>
          </w:tcPr>
          <w:p>
            <w:pPr>
              <w:keepNext/>
              <w:spacing w:before="20" w:after="20" w:line="259" w:lineRule="auto"/>
              <w:ind w:firstLine="0"/>
              <w:jc w:val="left"/>
            </w:pPr>
            <w:r>
              <w:rPr>
                <w:rFonts w:ascii="Times New Roman" w:hAnsi="Times New Roman" w:eastAsia="宋体" w:cs="Times New Roman"/>
                <w:b w:val="0"/>
                <w:i w:val="0"/>
                <w:sz w:val="20"/>
              </w:rPr>
              <w:t>G2</w:t>
            </w:r>
          </w:p>
        </w:tc>
        <w:tc>
          <w:tcPr>
            <w:tcW w:type="dxa" w:w="8880"/>
            <w:vAlign w:val="center"/>
          </w:tcPr>
          <w:p>
            <w:pPr>
              <w:keepNext/>
              <w:spacing w:before="20" w:after="20" w:line="259" w:lineRule="auto"/>
              <w:ind w:firstLine="0"/>
              <w:jc w:val="left"/>
            </w:pPr>
            <w:r>
              <w:rPr>
                <w:rFonts w:ascii="Times New Roman" w:hAnsi="Times New Roman" w:eastAsia="宋体" w:cs="Times New Roman"/>
                <w:b w:val="0"/>
                <w:i w:val="0"/>
                <w:sz w:val="20"/>
              </w:rPr>
              <w:t>HW1数据与特征40% + HW2表示部分30% + 晶体图检查表30%</w:t>
            </w:r>
          </w:p>
        </w:tc>
      </w:tr>
      <w:tr>
        <w:trPr>
          <w:cantSplit/>
        </w:trPr>
        <w:tc>
          <w:tcPr>
            <w:tcW w:type="dxa" w:w="720"/>
            <w:vAlign w:val="center"/>
          </w:tcPr>
          <w:p>
            <w:pPr>
              <w:keepNext/>
              <w:spacing w:before="20" w:after="20" w:line="259" w:lineRule="auto"/>
              <w:ind w:firstLine="0"/>
              <w:jc w:val="left"/>
            </w:pPr>
            <w:r>
              <w:rPr>
                <w:rFonts w:ascii="Times New Roman" w:hAnsi="Times New Roman" w:eastAsia="宋体" w:cs="Times New Roman"/>
                <w:b w:val="0"/>
                <w:i w:val="0"/>
                <w:sz w:val="20"/>
              </w:rPr>
              <w:t>G3</w:t>
            </w:r>
          </w:p>
        </w:tc>
        <w:tc>
          <w:tcPr>
            <w:tcW w:type="dxa" w:w="8880"/>
            <w:vAlign w:val="center"/>
          </w:tcPr>
          <w:p>
            <w:pPr>
              <w:keepNext/>
              <w:spacing w:before="20" w:after="20" w:line="259" w:lineRule="auto"/>
              <w:ind w:firstLine="0"/>
              <w:jc w:val="left"/>
            </w:pPr>
            <w:r>
              <w:rPr>
                <w:rFonts w:ascii="Times New Roman" w:hAnsi="Times New Roman" w:eastAsia="宋体" w:cs="Times New Roman"/>
                <w:b w:val="0"/>
                <w:i w:val="0"/>
                <w:sz w:val="20"/>
              </w:rPr>
              <w:t>HW2评估部分60% + 项目验证与误差分析40%</w:t>
            </w:r>
          </w:p>
        </w:tc>
      </w:tr>
      <w:tr>
        <w:trPr>
          <w:cantSplit/>
        </w:trPr>
        <w:tc>
          <w:tcPr>
            <w:tcW w:type="dxa" w:w="720"/>
            <w:vAlign w:val="center"/>
          </w:tcPr>
          <w:p>
            <w:pPr>
              <w:keepNext/>
              <w:spacing w:before="20" w:after="20" w:line="259" w:lineRule="auto"/>
              <w:ind w:firstLine="0"/>
              <w:jc w:val="left"/>
            </w:pPr>
            <w:r>
              <w:rPr>
                <w:rFonts w:ascii="Times New Roman" w:hAnsi="Times New Roman" w:eastAsia="宋体" w:cs="Times New Roman"/>
                <w:b w:val="0"/>
                <w:i w:val="0"/>
                <w:sz w:val="20"/>
              </w:rPr>
              <w:t>G4</w:t>
            </w:r>
          </w:p>
        </w:tc>
        <w:tc>
          <w:tcPr>
            <w:tcW w:type="dxa" w:w="8880"/>
            <w:vAlign w:val="center"/>
          </w:tcPr>
          <w:p>
            <w:pPr>
              <w:keepNext/>
              <w:spacing w:before="20" w:after="20" w:line="259" w:lineRule="auto"/>
              <w:ind w:firstLine="0"/>
              <w:jc w:val="left"/>
            </w:pPr>
            <w:r>
              <w:rPr>
                <w:rFonts w:ascii="Times New Roman" w:hAnsi="Times New Roman" w:eastAsia="宋体" w:cs="Times New Roman"/>
                <w:b w:val="0"/>
                <w:i w:val="0"/>
                <w:sz w:val="20"/>
              </w:rPr>
              <w:t>HW3迁移可行性判断25% + HW4的GP/BO部分50% + 项目下一步决策说明25%</w:t>
            </w:r>
          </w:p>
        </w:tc>
      </w:tr>
      <w:tr>
        <w:trPr>
          <w:cantSplit/>
        </w:trPr>
        <w:tc>
          <w:tcPr>
            <w:tcW w:type="dxa" w:w="720"/>
            <w:vAlign w:val="center"/>
          </w:tcPr>
          <w:p>
            <w:pPr>
              <w:keepNext/>
              <w:spacing w:before="20" w:after="20" w:line="259" w:lineRule="auto"/>
              <w:ind w:firstLine="0"/>
              <w:jc w:val="left"/>
            </w:pPr>
            <w:r>
              <w:rPr>
                <w:rFonts w:ascii="Times New Roman" w:hAnsi="Times New Roman" w:eastAsia="宋体" w:cs="Times New Roman"/>
                <w:b w:val="0"/>
                <w:i w:val="0"/>
                <w:sz w:val="20"/>
              </w:rPr>
              <w:t>G5</w:t>
            </w:r>
          </w:p>
        </w:tc>
        <w:tc>
          <w:tcPr>
            <w:tcW w:type="dxa" w:w="8880"/>
            <w:vAlign w:val="center"/>
          </w:tcPr>
          <w:p>
            <w:pPr>
              <w:keepNext/>
              <w:spacing w:before="20" w:after="20" w:line="259" w:lineRule="auto"/>
              <w:ind w:firstLine="0"/>
              <w:jc w:val="left"/>
            </w:pPr>
            <w:r>
              <w:rPr>
                <w:rFonts w:ascii="Times New Roman" w:hAnsi="Times New Roman" w:eastAsia="宋体" w:cs="Times New Roman"/>
                <w:b w:val="0"/>
                <w:i w:val="0"/>
                <w:sz w:val="20"/>
              </w:rPr>
              <w:t>PINN诊断单70% + 项目物理一致性审查30%</w:t>
            </w:r>
          </w:p>
        </w:tc>
      </w:tr>
      <w:tr>
        <w:trPr>
          <w:cantSplit/>
        </w:trPr>
        <w:tc>
          <w:tcPr>
            <w:tcW w:type="dxa" w:w="720"/>
            <w:vAlign w:val="center"/>
          </w:tcPr>
          <w:p>
            <w:pPr>
              <w:spacing w:before="20" w:after="20" w:line="259" w:lineRule="auto"/>
              <w:ind w:firstLine="0"/>
              <w:jc w:val="left"/>
            </w:pPr>
            <w:r>
              <w:rPr>
                <w:rFonts w:ascii="Times New Roman" w:hAnsi="Times New Roman" w:eastAsia="宋体" w:cs="Times New Roman"/>
                <w:b w:val="0"/>
                <w:i w:val="0"/>
                <w:sz w:val="20"/>
              </w:rPr>
              <w:t>G6</w:t>
            </w:r>
          </w:p>
        </w:tc>
        <w:tc>
          <w:tcPr>
            <w:tcW w:type="dxa" w:w="8880"/>
            <w:vAlign w:val="center"/>
          </w:tcPr>
          <w:p>
            <w:pPr>
              <w:spacing w:before="20" w:after="20" w:line="259" w:lineRule="auto"/>
              <w:ind w:firstLine="0"/>
              <w:jc w:val="left"/>
            </w:pPr>
            <w:r>
              <w:rPr>
                <w:rFonts w:ascii="Times New Roman" w:hAnsi="Times New Roman" w:eastAsia="宋体" w:cs="Times New Roman"/>
                <w:b w:val="0"/>
                <w:i w:val="0"/>
                <w:sz w:val="20"/>
              </w:rPr>
              <w:t>论文评议60% + 项目复现与引用规范40%</w:t>
            </w:r>
          </w:p>
        </w:tc>
      </w:tr>
    </w:tbl>
    <w:p>
      <w:pPr>
        <w:ind w:firstLine="480"/>
      </w:pPr>
      <w:r>
        <w:rPr>
          <w:rFonts w:ascii="Times New Roman" w:hAnsi="Times New Roman" w:eastAsia="宋体" w:cs="Times New Roman"/>
          <w:b w:val="0"/>
          <w:i w:val="0"/>
          <w:sz w:val="24"/>
        </w:rPr>
        <w:t>本轮以0.70作为教学诊断参考线，报告班级均值及低于参考线的人数比例；这不是另设及格条件。课后结合错误类型、实际工时与学生反馈调整下轮教学，避免只看平均分。</w:t>
      </w:r>
    </w:p>
    <w:p>
      <w:pPr>
        <w:keepNext/>
        <w:spacing w:before="200" w:after="100"/>
        <w:jc w:val="left"/>
      </w:pPr>
      <w:r>
        <w:rPr>
          <w:rFonts w:ascii="Arial" w:hAnsi="Arial" w:eastAsia="黑体" w:cs="Arial"/>
          <w:b/>
          <w:i w:val="0"/>
          <w:sz w:val="28"/>
        </w:rPr>
        <w:t>五、课程教学内容、基本要求及学时安排</w:t>
      </w:r>
    </w:p>
    <w:p>
      <w:pPr>
        <w:keepNext/>
        <w:spacing w:before="100" w:after="40" w:line="264" w:lineRule="auto"/>
        <w:jc w:val="center"/>
      </w:pPr>
      <w:r>
        <w:rPr>
          <w:rFonts w:ascii="Arial" w:hAnsi="Arial" w:eastAsia="黑体" w:cs="Arial"/>
          <w:b/>
          <w:i w:val="0"/>
          <w:sz w:val="21"/>
        </w:rPr>
        <w:t>表 4　内容结构、讲次与学时分配</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1907"/>
        <w:gridCol w:w="965"/>
        <w:gridCol w:w="720"/>
        <w:gridCol w:w="6008"/>
      </w:tblGrid>
      <w:tr>
        <w:trPr>
          <w:cantSplit/>
          <w:tblHeader/>
        </w:trPr>
        <w:tc>
          <w:tcPr>
            <w:tcW w:type="dxa" w:w="1907"/>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模块</w:t>
            </w:r>
          </w:p>
        </w:tc>
        <w:tc>
          <w:tcPr>
            <w:tcW w:type="dxa" w:w="96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讲次</w:t>
            </w:r>
          </w:p>
        </w:tc>
        <w:tc>
          <w:tcPr>
            <w:tcW w:type="dxa" w:w="720"/>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学时</w:t>
            </w:r>
          </w:p>
        </w:tc>
        <w:tc>
          <w:tcPr>
            <w:tcW w:type="dxa" w:w="6008"/>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内容边界</w:t>
            </w:r>
          </w:p>
        </w:tc>
      </w:tr>
      <w:tr>
        <w:trPr>
          <w:cantSplit/>
        </w:trPr>
        <w:tc>
          <w:tcPr>
            <w:tcW w:type="dxa" w:w="1907"/>
            <w:vAlign w:val="center"/>
          </w:tcPr>
          <w:p>
            <w:pPr>
              <w:keepNext/>
              <w:spacing w:before="20" w:after="20" w:line="259" w:lineRule="auto"/>
              <w:ind w:firstLine="0"/>
              <w:jc w:val="left"/>
            </w:pPr>
            <w:r>
              <w:rPr>
                <w:rFonts w:ascii="Times New Roman" w:hAnsi="Times New Roman" w:eastAsia="宋体" w:cs="Times New Roman"/>
                <w:b w:val="0"/>
                <w:i w:val="0"/>
                <w:sz w:val="20"/>
              </w:rPr>
              <w:t>问题、任务与数据</w:t>
            </w:r>
          </w:p>
        </w:tc>
        <w:tc>
          <w:tcPr>
            <w:tcW w:type="dxa" w:w="965"/>
            <w:vAlign w:val="center"/>
          </w:tcPr>
          <w:p>
            <w:pPr>
              <w:keepNext/>
              <w:spacing w:before="20" w:after="20" w:line="259" w:lineRule="auto"/>
              <w:ind w:firstLine="0"/>
              <w:jc w:val="left"/>
            </w:pPr>
            <w:r>
              <w:rPr>
                <w:rFonts w:ascii="Times New Roman" w:hAnsi="Times New Roman" w:eastAsia="宋体" w:cs="Times New Roman"/>
                <w:b w:val="0"/>
                <w:i w:val="0"/>
                <w:sz w:val="20"/>
              </w:rPr>
              <w:t>1—3</w:t>
            </w:r>
          </w:p>
        </w:tc>
        <w:tc>
          <w:tcPr>
            <w:tcW w:type="dxa" w:w="720"/>
            <w:vAlign w:val="center"/>
          </w:tcPr>
          <w:p>
            <w:pPr>
              <w:keepNext/>
              <w:spacing w:before="20" w:after="20" w:line="259" w:lineRule="auto"/>
              <w:ind w:firstLine="0"/>
              <w:jc w:val="left"/>
            </w:pPr>
            <w:r>
              <w:rPr>
                <w:rFonts w:ascii="Times New Roman" w:hAnsi="Times New Roman" w:eastAsia="宋体" w:cs="Times New Roman"/>
                <w:b w:val="0"/>
                <w:i w:val="0"/>
                <w:sz w:val="20"/>
              </w:rPr>
              <w:t>6</w:t>
            </w:r>
          </w:p>
        </w:tc>
        <w:tc>
          <w:tcPr>
            <w:tcW w:type="dxa" w:w="6008"/>
            <w:vAlign w:val="center"/>
          </w:tcPr>
          <w:p>
            <w:pPr>
              <w:keepNext/>
              <w:spacing w:before="20" w:after="20" w:line="259" w:lineRule="auto"/>
              <w:ind w:firstLine="0"/>
              <w:jc w:val="left"/>
            </w:pPr>
            <w:r>
              <w:rPr>
                <w:rFonts w:ascii="Times New Roman" w:hAnsi="Times New Roman" w:eastAsia="宋体" w:cs="Times New Roman"/>
                <w:b w:val="0"/>
                <w:i w:val="0"/>
                <w:sz w:val="20"/>
              </w:rPr>
              <w:t>数据溯源与材料任务；验证意识从第2讲开始</w:t>
            </w:r>
          </w:p>
        </w:tc>
      </w:tr>
      <w:tr>
        <w:trPr>
          <w:cantSplit/>
        </w:trPr>
        <w:tc>
          <w:tcPr>
            <w:tcW w:type="dxa" w:w="1907"/>
            <w:vAlign w:val="center"/>
          </w:tcPr>
          <w:p>
            <w:pPr>
              <w:keepNext/>
              <w:spacing w:before="20" w:after="20" w:line="259" w:lineRule="auto"/>
              <w:ind w:firstLine="0"/>
              <w:jc w:val="left"/>
            </w:pPr>
            <w:r>
              <w:rPr>
                <w:rFonts w:ascii="Times New Roman" w:hAnsi="Times New Roman" w:eastAsia="宋体" w:cs="Times New Roman"/>
                <w:b w:val="0"/>
                <w:i w:val="0"/>
                <w:sz w:val="20"/>
              </w:rPr>
              <w:t>材料表示</w:t>
            </w:r>
          </w:p>
        </w:tc>
        <w:tc>
          <w:tcPr>
            <w:tcW w:type="dxa" w:w="965"/>
            <w:vAlign w:val="center"/>
          </w:tcPr>
          <w:p>
            <w:pPr>
              <w:keepNext/>
              <w:spacing w:before="20" w:after="20" w:line="259" w:lineRule="auto"/>
              <w:ind w:firstLine="0"/>
              <w:jc w:val="left"/>
            </w:pPr>
            <w:r>
              <w:rPr>
                <w:rFonts w:ascii="Times New Roman" w:hAnsi="Times New Roman" w:eastAsia="宋体" w:cs="Times New Roman"/>
                <w:b w:val="0"/>
                <w:i w:val="0"/>
                <w:sz w:val="20"/>
              </w:rPr>
              <w:t>4—5</w:t>
            </w:r>
          </w:p>
        </w:tc>
        <w:tc>
          <w:tcPr>
            <w:tcW w:type="dxa" w:w="720"/>
            <w:vAlign w:val="center"/>
          </w:tcPr>
          <w:p>
            <w:pPr>
              <w:keepNext/>
              <w:spacing w:before="20" w:after="20" w:line="259" w:lineRule="auto"/>
              <w:ind w:firstLine="0"/>
              <w:jc w:val="left"/>
            </w:pPr>
            <w:r>
              <w:rPr>
                <w:rFonts w:ascii="Times New Roman" w:hAnsi="Times New Roman" w:eastAsia="宋体" w:cs="Times New Roman"/>
                <w:b w:val="0"/>
                <w:i w:val="0"/>
                <w:sz w:val="20"/>
              </w:rPr>
              <w:t>4</w:t>
            </w:r>
          </w:p>
        </w:tc>
        <w:tc>
          <w:tcPr>
            <w:tcW w:type="dxa" w:w="6008"/>
            <w:vAlign w:val="center"/>
          </w:tcPr>
          <w:p>
            <w:pPr>
              <w:keepNext/>
              <w:spacing w:before="20" w:after="20" w:line="259" w:lineRule="auto"/>
              <w:ind w:firstLine="0"/>
              <w:jc w:val="left"/>
            </w:pPr>
            <w:r>
              <w:rPr>
                <w:rFonts w:ascii="Times New Roman" w:hAnsi="Times New Roman" w:eastAsia="宋体" w:cs="Times New Roman"/>
                <w:b w:val="0"/>
                <w:i w:val="0"/>
                <w:sz w:val="20"/>
              </w:rPr>
              <w:t>成分、周期图与分子表示；保留前五讲主题与既有素材</w:t>
            </w:r>
          </w:p>
        </w:tc>
      </w:tr>
      <w:tr>
        <w:trPr>
          <w:cantSplit/>
        </w:trPr>
        <w:tc>
          <w:tcPr>
            <w:tcW w:type="dxa" w:w="1907"/>
            <w:vAlign w:val="center"/>
          </w:tcPr>
          <w:p>
            <w:pPr>
              <w:keepNext/>
              <w:spacing w:before="20" w:after="20" w:line="259" w:lineRule="auto"/>
              <w:ind w:firstLine="0"/>
              <w:jc w:val="left"/>
            </w:pPr>
            <w:r>
              <w:rPr>
                <w:rFonts w:ascii="Times New Roman" w:hAnsi="Times New Roman" w:eastAsia="宋体" w:cs="Times New Roman"/>
                <w:b w:val="0"/>
                <w:i w:val="0"/>
                <w:sz w:val="20"/>
              </w:rPr>
              <w:t>可信统计学习</w:t>
            </w:r>
          </w:p>
        </w:tc>
        <w:tc>
          <w:tcPr>
            <w:tcW w:type="dxa" w:w="965"/>
            <w:vAlign w:val="center"/>
          </w:tcPr>
          <w:p>
            <w:pPr>
              <w:keepNext/>
              <w:spacing w:before="20" w:after="20" w:line="259" w:lineRule="auto"/>
              <w:ind w:firstLine="0"/>
              <w:jc w:val="left"/>
            </w:pPr>
            <w:r>
              <w:rPr>
                <w:rFonts w:ascii="Times New Roman" w:hAnsi="Times New Roman" w:eastAsia="宋体" w:cs="Times New Roman"/>
                <w:b w:val="0"/>
                <w:i w:val="0"/>
                <w:sz w:val="20"/>
              </w:rPr>
              <w:t>6—10</w:t>
            </w:r>
          </w:p>
        </w:tc>
        <w:tc>
          <w:tcPr>
            <w:tcW w:type="dxa" w:w="720"/>
            <w:vAlign w:val="center"/>
          </w:tcPr>
          <w:p>
            <w:pPr>
              <w:keepNext/>
              <w:spacing w:before="20" w:after="20" w:line="259" w:lineRule="auto"/>
              <w:ind w:firstLine="0"/>
              <w:jc w:val="left"/>
            </w:pPr>
            <w:r>
              <w:rPr>
                <w:rFonts w:ascii="Times New Roman" w:hAnsi="Times New Roman" w:eastAsia="宋体" w:cs="Times New Roman"/>
                <w:b w:val="0"/>
                <w:i w:val="0"/>
                <w:sz w:val="20"/>
              </w:rPr>
              <w:t>10</w:t>
            </w:r>
          </w:p>
        </w:tc>
        <w:tc>
          <w:tcPr>
            <w:tcW w:type="dxa" w:w="6008"/>
            <w:vAlign w:val="center"/>
          </w:tcPr>
          <w:p>
            <w:pPr>
              <w:keepNext/>
              <w:spacing w:before="20" w:after="20" w:line="259" w:lineRule="auto"/>
              <w:ind w:firstLine="0"/>
              <w:jc w:val="left"/>
            </w:pPr>
            <w:r>
              <w:rPr>
                <w:rFonts w:ascii="Times New Roman" w:hAnsi="Times New Roman" w:eastAsia="宋体" w:cs="Times New Roman"/>
                <w:b w:val="0"/>
                <w:i w:val="0"/>
                <w:sz w:val="20"/>
              </w:rPr>
              <w:t>回归/分类、评估、集成、核方法、解释与无监督；两次研讨嵌入第8、10讲</w:t>
            </w:r>
          </w:p>
        </w:tc>
      </w:tr>
      <w:tr>
        <w:trPr>
          <w:cantSplit/>
        </w:trPr>
        <w:tc>
          <w:tcPr>
            <w:tcW w:type="dxa" w:w="1907"/>
            <w:vAlign w:val="center"/>
          </w:tcPr>
          <w:p>
            <w:pPr>
              <w:keepNext/>
              <w:spacing w:before="20" w:after="20" w:line="259" w:lineRule="auto"/>
              <w:ind w:firstLine="0"/>
              <w:jc w:val="left"/>
            </w:pPr>
            <w:r>
              <w:rPr>
                <w:rFonts w:ascii="Times New Roman" w:hAnsi="Times New Roman" w:eastAsia="宋体" w:cs="Times New Roman"/>
                <w:b w:val="0"/>
                <w:i w:val="0"/>
                <w:sz w:val="20"/>
              </w:rPr>
              <w:t>表示学习与知识复用</w:t>
            </w:r>
          </w:p>
        </w:tc>
        <w:tc>
          <w:tcPr>
            <w:tcW w:type="dxa" w:w="965"/>
            <w:vAlign w:val="center"/>
          </w:tcPr>
          <w:p>
            <w:pPr>
              <w:keepNext/>
              <w:spacing w:before="20" w:after="20" w:line="259" w:lineRule="auto"/>
              <w:ind w:firstLine="0"/>
              <w:jc w:val="left"/>
            </w:pPr>
            <w:r>
              <w:rPr>
                <w:rFonts w:ascii="Times New Roman" w:hAnsi="Times New Roman" w:eastAsia="宋体" w:cs="Times New Roman"/>
                <w:b w:val="0"/>
                <w:i w:val="0"/>
                <w:sz w:val="20"/>
              </w:rPr>
              <w:t>11—12</w:t>
            </w:r>
          </w:p>
        </w:tc>
        <w:tc>
          <w:tcPr>
            <w:tcW w:type="dxa" w:w="720"/>
            <w:vAlign w:val="center"/>
          </w:tcPr>
          <w:p>
            <w:pPr>
              <w:keepNext/>
              <w:spacing w:before="20" w:after="20" w:line="259" w:lineRule="auto"/>
              <w:ind w:firstLine="0"/>
              <w:jc w:val="left"/>
            </w:pPr>
            <w:r>
              <w:rPr>
                <w:rFonts w:ascii="Times New Roman" w:hAnsi="Times New Roman" w:eastAsia="宋体" w:cs="Times New Roman"/>
                <w:b w:val="0"/>
                <w:i w:val="0"/>
                <w:sz w:val="20"/>
              </w:rPr>
              <w:t>4</w:t>
            </w:r>
          </w:p>
        </w:tc>
        <w:tc>
          <w:tcPr>
            <w:tcW w:type="dxa" w:w="6008"/>
            <w:vAlign w:val="center"/>
          </w:tcPr>
          <w:p>
            <w:pPr>
              <w:keepNext/>
              <w:spacing w:before="20" w:after="20" w:line="259" w:lineRule="auto"/>
              <w:ind w:firstLine="0"/>
              <w:jc w:val="left"/>
            </w:pPr>
            <w:r>
              <w:rPr>
                <w:rFonts w:ascii="Times New Roman" w:hAnsi="Times New Roman" w:eastAsia="宋体" w:cs="Times New Roman"/>
                <w:b w:val="0"/>
                <w:i w:val="0"/>
                <w:sz w:val="20"/>
              </w:rPr>
              <w:t>NN/CNN/GNN、必要信息论、注意力与迁移；生成模型为概念与评价层</w:t>
            </w:r>
          </w:p>
        </w:tc>
      </w:tr>
      <w:tr>
        <w:trPr>
          <w:cantSplit/>
        </w:trPr>
        <w:tc>
          <w:tcPr>
            <w:tcW w:type="dxa" w:w="1907"/>
            <w:vAlign w:val="center"/>
          </w:tcPr>
          <w:p>
            <w:pPr>
              <w:keepNext/>
              <w:spacing w:before="20" w:after="20" w:line="259" w:lineRule="auto"/>
              <w:ind w:firstLine="0"/>
              <w:jc w:val="left"/>
            </w:pPr>
            <w:r>
              <w:rPr>
                <w:rFonts w:ascii="Times New Roman" w:hAnsi="Times New Roman" w:eastAsia="宋体" w:cs="Times New Roman"/>
                <w:b w:val="0"/>
                <w:i w:val="0"/>
                <w:sz w:val="20"/>
              </w:rPr>
              <w:t>贝叶斯方法与实验决策</w:t>
            </w:r>
          </w:p>
        </w:tc>
        <w:tc>
          <w:tcPr>
            <w:tcW w:type="dxa" w:w="965"/>
            <w:vAlign w:val="center"/>
          </w:tcPr>
          <w:p>
            <w:pPr>
              <w:keepNext/>
              <w:spacing w:before="20" w:after="20" w:line="259" w:lineRule="auto"/>
              <w:ind w:firstLine="0"/>
              <w:jc w:val="left"/>
            </w:pPr>
            <w:r>
              <w:rPr>
                <w:rFonts w:ascii="Times New Roman" w:hAnsi="Times New Roman" w:eastAsia="宋体" w:cs="Times New Roman"/>
                <w:b w:val="0"/>
                <w:i w:val="0"/>
                <w:sz w:val="20"/>
              </w:rPr>
              <w:t>13—14</w:t>
            </w:r>
          </w:p>
        </w:tc>
        <w:tc>
          <w:tcPr>
            <w:tcW w:type="dxa" w:w="720"/>
            <w:vAlign w:val="center"/>
          </w:tcPr>
          <w:p>
            <w:pPr>
              <w:keepNext/>
              <w:spacing w:before="20" w:after="20" w:line="259" w:lineRule="auto"/>
              <w:ind w:firstLine="0"/>
              <w:jc w:val="left"/>
            </w:pPr>
            <w:r>
              <w:rPr>
                <w:rFonts w:ascii="Times New Roman" w:hAnsi="Times New Roman" w:eastAsia="宋体" w:cs="Times New Roman"/>
                <w:b w:val="0"/>
                <w:i w:val="0"/>
                <w:sz w:val="20"/>
              </w:rPr>
              <w:t>4</w:t>
            </w:r>
          </w:p>
        </w:tc>
        <w:tc>
          <w:tcPr>
            <w:tcW w:type="dxa" w:w="6008"/>
            <w:vAlign w:val="center"/>
          </w:tcPr>
          <w:p>
            <w:pPr>
              <w:keepNext/>
              <w:spacing w:before="20" w:after="20" w:line="259" w:lineRule="auto"/>
              <w:ind w:firstLine="0"/>
              <w:jc w:val="left"/>
            </w:pPr>
            <w:r>
              <w:rPr>
                <w:rFonts w:ascii="Times New Roman" w:hAnsi="Times New Roman" w:eastAsia="宋体" w:cs="Times New Roman"/>
                <w:b w:val="0"/>
                <w:i w:val="0"/>
                <w:sz w:val="20"/>
              </w:rPr>
              <w:t>GP与BO分别成讲；主动学习、噪声、预算与Optuna选型</w:t>
            </w:r>
          </w:p>
        </w:tc>
      </w:tr>
      <w:tr>
        <w:trPr>
          <w:cantSplit/>
        </w:trPr>
        <w:tc>
          <w:tcPr>
            <w:tcW w:type="dxa" w:w="1907"/>
            <w:vAlign w:val="center"/>
          </w:tcPr>
          <w:p>
            <w:pPr>
              <w:keepNext/>
              <w:spacing w:before="20" w:after="20" w:line="259" w:lineRule="auto"/>
              <w:ind w:firstLine="0"/>
              <w:jc w:val="left"/>
            </w:pPr>
            <w:r>
              <w:rPr>
                <w:rFonts w:ascii="Times New Roman" w:hAnsi="Times New Roman" w:eastAsia="宋体" w:cs="Times New Roman"/>
                <w:b w:val="0"/>
                <w:i w:val="0"/>
                <w:sz w:val="20"/>
              </w:rPr>
              <w:t>物理先验与前沿判断</w:t>
            </w:r>
          </w:p>
        </w:tc>
        <w:tc>
          <w:tcPr>
            <w:tcW w:type="dxa" w:w="965"/>
            <w:vAlign w:val="center"/>
          </w:tcPr>
          <w:p>
            <w:pPr>
              <w:keepNext/>
              <w:spacing w:before="20" w:after="20" w:line="259" w:lineRule="auto"/>
              <w:ind w:firstLine="0"/>
              <w:jc w:val="left"/>
            </w:pPr>
            <w:r>
              <w:rPr>
                <w:rFonts w:ascii="Times New Roman" w:hAnsi="Times New Roman" w:eastAsia="宋体" w:cs="Times New Roman"/>
                <w:b w:val="0"/>
                <w:i w:val="0"/>
                <w:sz w:val="20"/>
              </w:rPr>
              <w:t>15</w:t>
            </w:r>
          </w:p>
        </w:tc>
        <w:tc>
          <w:tcPr>
            <w:tcW w:type="dxa" w:w="720"/>
            <w:vAlign w:val="center"/>
          </w:tcPr>
          <w:p>
            <w:pPr>
              <w:keepNext/>
              <w:spacing w:before="20" w:after="20" w:line="259" w:lineRule="auto"/>
              <w:ind w:firstLine="0"/>
              <w:jc w:val="left"/>
            </w:pPr>
            <w:r>
              <w:rPr>
                <w:rFonts w:ascii="Times New Roman" w:hAnsi="Times New Roman" w:eastAsia="宋体" w:cs="Times New Roman"/>
                <w:b w:val="0"/>
                <w:i w:val="0"/>
                <w:sz w:val="20"/>
              </w:rPr>
              <w:t>2</w:t>
            </w:r>
          </w:p>
        </w:tc>
        <w:tc>
          <w:tcPr>
            <w:tcW w:type="dxa" w:w="6008"/>
            <w:vAlign w:val="center"/>
          </w:tcPr>
          <w:p>
            <w:pPr>
              <w:keepNext/>
              <w:spacing w:before="20" w:after="20" w:line="259" w:lineRule="auto"/>
              <w:ind w:firstLine="0"/>
              <w:jc w:val="left"/>
            </w:pPr>
            <w:r>
              <w:rPr>
                <w:rFonts w:ascii="Times New Roman" w:hAnsi="Times New Roman" w:eastAsia="宋体" w:cs="Times New Roman"/>
                <w:b w:val="0"/>
                <w:i w:val="0"/>
                <w:sz w:val="20"/>
              </w:rPr>
              <w:t>PINN占68分钟；LLM/智能体/SDL占22分钟，使用已核验来源</w:t>
            </w:r>
          </w:p>
        </w:tc>
      </w:tr>
      <w:tr>
        <w:trPr>
          <w:cantSplit/>
        </w:trPr>
        <w:tc>
          <w:tcPr>
            <w:tcW w:type="dxa" w:w="1907"/>
            <w:vAlign w:val="center"/>
          </w:tcPr>
          <w:p>
            <w:pPr>
              <w:keepNext/>
              <w:spacing w:before="20" w:after="20" w:line="259" w:lineRule="auto"/>
              <w:ind w:firstLine="0"/>
              <w:jc w:val="left"/>
            </w:pPr>
            <w:r>
              <w:rPr>
                <w:rFonts w:ascii="Times New Roman" w:hAnsi="Times New Roman" w:eastAsia="宋体" w:cs="Times New Roman"/>
                <w:b w:val="0"/>
                <w:i w:val="0"/>
                <w:sz w:val="20"/>
              </w:rPr>
              <w:t>项目答辩与总结</w:t>
            </w:r>
          </w:p>
        </w:tc>
        <w:tc>
          <w:tcPr>
            <w:tcW w:type="dxa" w:w="965"/>
            <w:vAlign w:val="center"/>
          </w:tcPr>
          <w:p>
            <w:pPr>
              <w:keepNext/>
              <w:spacing w:before="20" w:after="20" w:line="259" w:lineRule="auto"/>
              <w:ind w:firstLine="0"/>
              <w:jc w:val="left"/>
            </w:pPr>
            <w:r>
              <w:rPr>
                <w:rFonts w:ascii="Times New Roman" w:hAnsi="Times New Roman" w:eastAsia="宋体" w:cs="Times New Roman"/>
                <w:b w:val="0"/>
                <w:i w:val="0"/>
                <w:sz w:val="20"/>
              </w:rPr>
              <w:t>16</w:t>
            </w:r>
          </w:p>
        </w:tc>
        <w:tc>
          <w:tcPr>
            <w:tcW w:type="dxa" w:w="720"/>
            <w:vAlign w:val="center"/>
          </w:tcPr>
          <w:p>
            <w:pPr>
              <w:keepNext/>
              <w:spacing w:before="20" w:after="20" w:line="259" w:lineRule="auto"/>
              <w:ind w:firstLine="0"/>
              <w:jc w:val="left"/>
            </w:pPr>
            <w:r>
              <w:rPr>
                <w:rFonts w:ascii="Times New Roman" w:hAnsi="Times New Roman" w:eastAsia="宋体" w:cs="Times New Roman"/>
                <w:b w:val="0"/>
                <w:i w:val="0"/>
                <w:sz w:val="20"/>
              </w:rPr>
              <w:t>2</w:t>
            </w:r>
          </w:p>
        </w:tc>
        <w:tc>
          <w:tcPr>
            <w:tcW w:type="dxa" w:w="6008"/>
            <w:vAlign w:val="center"/>
          </w:tcPr>
          <w:p>
            <w:pPr>
              <w:keepNext/>
              <w:spacing w:before="20" w:after="20" w:line="259" w:lineRule="auto"/>
              <w:ind w:firstLine="0"/>
              <w:jc w:val="left"/>
            </w:pPr>
            <w:r>
              <w:rPr>
                <w:rFonts w:ascii="Times New Roman" w:hAnsi="Times New Roman" w:eastAsia="宋体" w:cs="Times New Roman"/>
                <w:b w:val="0"/>
                <w:i w:val="0"/>
                <w:sz w:val="20"/>
              </w:rPr>
              <w:t>同一评价标准下展示方法链与证据边界</w:t>
            </w:r>
          </w:p>
        </w:tc>
      </w:tr>
      <w:tr>
        <w:trPr>
          <w:cantSplit/>
        </w:trPr>
        <w:tc>
          <w:tcPr>
            <w:tcW w:type="dxa" w:w="1907"/>
            <w:vAlign w:val="center"/>
          </w:tcPr>
          <w:p>
            <w:pPr>
              <w:spacing w:before="20" w:after="20" w:line="259" w:lineRule="auto"/>
              <w:ind w:firstLine="0"/>
              <w:jc w:val="left"/>
            </w:pPr>
            <w:r>
              <w:rPr>
                <w:rFonts w:ascii="Times New Roman" w:hAnsi="Times New Roman" w:eastAsia="宋体" w:cs="Times New Roman"/>
                <w:b w:val="0"/>
                <w:i w:val="0"/>
                <w:sz w:val="20"/>
              </w:rPr>
              <w:t>合计</w:t>
            </w:r>
          </w:p>
        </w:tc>
        <w:tc>
          <w:tcPr>
            <w:tcW w:type="dxa" w:w="965"/>
            <w:vAlign w:val="center"/>
          </w:tcPr>
          <w:p>
            <w:pPr>
              <w:spacing w:before="20" w:after="20" w:line="259" w:lineRule="auto"/>
              <w:ind w:firstLine="0"/>
              <w:jc w:val="left"/>
            </w:pPr>
            <w:r>
              <w:rPr>
                <w:rFonts w:ascii="Times New Roman" w:hAnsi="Times New Roman" w:eastAsia="宋体" w:cs="Times New Roman"/>
                <w:b w:val="0"/>
                <w:i w:val="0"/>
                <w:sz w:val="20"/>
              </w:rPr>
              <w:t>16讲</w:t>
            </w:r>
          </w:p>
        </w:tc>
        <w:tc>
          <w:tcPr>
            <w:tcW w:type="dxa" w:w="720"/>
            <w:vAlign w:val="center"/>
          </w:tcPr>
          <w:p>
            <w:pPr>
              <w:spacing w:before="20" w:after="20" w:line="259" w:lineRule="auto"/>
              <w:ind w:firstLine="0"/>
              <w:jc w:val="left"/>
            </w:pPr>
            <w:r>
              <w:rPr>
                <w:rFonts w:ascii="Times New Roman" w:hAnsi="Times New Roman" w:eastAsia="宋体" w:cs="Times New Roman"/>
                <w:b w:val="0"/>
                <w:i w:val="0"/>
                <w:sz w:val="20"/>
              </w:rPr>
              <w:t>32</w:t>
            </w:r>
          </w:p>
        </w:tc>
        <w:tc>
          <w:tcPr>
            <w:tcW w:type="dxa" w:w="6008"/>
            <w:vAlign w:val="center"/>
          </w:tcPr>
          <w:p>
            <w:pPr>
              <w:spacing w:before="20" w:after="20" w:line="259" w:lineRule="auto"/>
              <w:ind w:firstLine="0"/>
              <w:jc w:val="left"/>
            </w:pPr>
            <w:r>
              <w:rPr>
                <w:rFonts w:ascii="Times New Roman" w:hAnsi="Times New Roman" w:eastAsia="宋体" w:cs="Times New Roman"/>
                <w:b w:val="0"/>
                <w:i w:val="0"/>
                <w:sz w:val="20"/>
              </w:rPr>
              <w:t>1440教学分钟</w:t>
            </w:r>
          </w:p>
        </w:tc>
      </w:tr>
    </w:tbl>
    <w:p>
      <w:pPr>
        <w:ind w:firstLine="480"/>
      </w:pPr>
      <w:r>
        <w:rPr>
          <w:rFonts w:ascii="Times New Roman" w:hAnsi="Times New Roman" w:eastAsia="宋体" w:cs="Times New Roman"/>
          <w:b w:val="0"/>
          <w:i w:val="0"/>
          <w:sz w:val="24"/>
        </w:rPr>
        <w:t>教学组织中，学生完成并留存的课堂任务合计360分钟（8学时，占25%）；讲授、研讨与答辩合计1080分钟（24学时）。40分钟论文研讨已经包含在32学时内。逐讲分钟安排见配套授课计划，不将教师代码演示全部算作学生实践。</w:t>
      </w:r>
    </w:p>
    <w:p>
      <w:pPr>
        <w:keepNext/>
        <w:spacing w:before="120" w:after="60"/>
        <w:jc w:val="left"/>
      </w:pPr>
      <w:r>
        <w:rPr>
          <w:rFonts w:ascii="Arial" w:hAnsi="Arial" w:eastAsia="黑体" w:cs="Arial"/>
          <w:b/>
          <w:i w:val="0"/>
          <w:sz w:val="25"/>
        </w:rPr>
        <w:t>逐讲教学内容、重点和难点</w:t>
      </w:r>
    </w:p>
    <w:p>
      <w:pPr>
        <w:keepNext/>
        <w:spacing w:before="100" w:after="40" w:line="264" w:lineRule="auto"/>
        <w:jc w:val="center"/>
      </w:pPr>
      <w:r>
        <w:rPr>
          <w:rFonts w:ascii="Arial" w:hAnsi="Arial" w:eastAsia="黑体" w:cs="Arial"/>
          <w:b/>
          <w:i w:val="0"/>
          <w:sz w:val="21"/>
        </w:rPr>
        <w:t>表 5　逐讲教学内容、重点与难点</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537"/>
        <w:gridCol w:w="2471"/>
        <w:gridCol w:w="2967"/>
        <w:gridCol w:w="3625"/>
      </w:tblGrid>
      <w:tr>
        <w:trPr>
          <w:cantSplit/>
          <w:tblHeader/>
        </w:trPr>
        <w:tc>
          <w:tcPr>
            <w:tcW w:type="dxa" w:w="537"/>
            <w:shd w:val="clear" w:color="auto" w:fill="F2F2F2"/>
            <w:vAlign w:val="center"/>
          </w:tcPr>
          <w:p>
            <w:pPr>
              <w:spacing w:before="20" w:after="20" w:line="259" w:lineRule="auto"/>
              <w:ind w:firstLine="0"/>
              <w:jc w:val="left"/>
            </w:pPr>
            <w:r>
              <w:rPr>
                <w:rFonts w:ascii="Times New Roman" w:hAnsi="Times New Roman" w:eastAsia="宋体" w:cs="Times New Roman"/>
                <w:b/>
                <w:i w:val="0"/>
                <w:sz w:val="20"/>
              </w:rPr>
              <w:t>讲</w:t>
            </w:r>
          </w:p>
        </w:tc>
        <w:tc>
          <w:tcPr>
            <w:tcW w:type="dxa" w:w="2471"/>
            <w:shd w:val="clear" w:color="auto" w:fill="F2F2F2"/>
            <w:vAlign w:val="center"/>
          </w:tcPr>
          <w:p>
            <w:pPr>
              <w:spacing w:before="20" w:after="20" w:line="259" w:lineRule="auto"/>
              <w:ind w:firstLine="0"/>
              <w:jc w:val="left"/>
            </w:pPr>
            <w:r>
              <w:rPr>
                <w:rFonts w:ascii="Times New Roman" w:hAnsi="Times New Roman" w:eastAsia="宋体" w:cs="Times New Roman"/>
                <w:b/>
                <w:i w:val="0"/>
                <w:sz w:val="20"/>
              </w:rPr>
              <w:t>主题</w:t>
            </w:r>
          </w:p>
        </w:tc>
        <w:tc>
          <w:tcPr>
            <w:tcW w:type="dxa" w:w="2967"/>
            <w:shd w:val="clear" w:color="auto" w:fill="F2F2F2"/>
            <w:vAlign w:val="center"/>
          </w:tcPr>
          <w:p>
            <w:pPr>
              <w:spacing w:before="20" w:after="20" w:line="259" w:lineRule="auto"/>
              <w:ind w:firstLine="0"/>
              <w:jc w:val="left"/>
            </w:pPr>
            <w:r>
              <w:rPr>
                <w:rFonts w:ascii="Times New Roman" w:hAnsi="Times New Roman" w:eastAsia="宋体" w:cs="Times New Roman"/>
                <w:b/>
                <w:i w:val="0"/>
                <w:sz w:val="20"/>
              </w:rPr>
              <w:t>重点</w:t>
            </w:r>
          </w:p>
        </w:tc>
        <w:tc>
          <w:tcPr>
            <w:tcW w:type="dxa" w:w="3625"/>
            <w:shd w:val="clear" w:color="auto" w:fill="F2F2F2"/>
            <w:vAlign w:val="center"/>
          </w:tcPr>
          <w:p>
            <w:pPr>
              <w:spacing w:before="20" w:after="20" w:line="259" w:lineRule="auto"/>
              <w:ind w:firstLine="0"/>
              <w:jc w:val="left"/>
            </w:pPr>
            <w:r>
              <w:rPr>
                <w:rFonts w:ascii="Times New Roman" w:hAnsi="Times New Roman" w:eastAsia="宋体" w:cs="Times New Roman"/>
                <w:b/>
                <w:i w:val="0"/>
                <w:sz w:val="20"/>
              </w:rPr>
              <w:t>难点/验收焦点</w:t>
            </w:r>
          </w:p>
        </w:tc>
      </w:tr>
      <w:tr>
        <w:trPr>
          <w:cantSplit/>
        </w:trPr>
        <w:tc>
          <w:tcPr>
            <w:tcW w:type="dxa" w:w="537"/>
            <w:vAlign w:val="center"/>
          </w:tcPr>
          <w:p>
            <w:pPr>
              <w:spacing w:before="20" w:after="20" w:line="259" w:lineRule="auto"/>
              <w:ind w:firstLine="0"/>
              <w:jc w:val="left"/>
            </w:pPr>
            <w:r>
              <w:rPr>
                <w:rFonts w:ascii="Times New Roman" w:hAnsi="Times New Roman" w:eastAsia="宋体" w:cs="Times New Roman"/>
                <w:b w:val="0"/>
                <w:i w:val="0"/>
                <w:sz w:val="20"/>
              </w:rPr>
              <w:t>1</w:t>
            </w:r>
          </w:p>
        </w:tc>
        <w:tc>
          <w:tcPr>
            <w:tcW w:type="dxa" w:w="2471"/>
            <w:vAlign w:val="center"/>
          </w:tcPr>
          <w:p>
            <w:pPr>
              <w:spacing w:before="20" w:after="20" w:line="259" w:lineRule="auto"/>
              <w:ind w:firstLine="0"/>
              <w:jc w:val="left"/>
            </w:pPr>
            <w:r>
              <w:rPr>
                <w:rFonts w:ascii="Times New Roman" w:hAnsi="Times New Roman" w:eastAsia="宋体" w:cs="Times New Roman"/>
                <w:b w:val="0"/>
                <w:i w:val="0"/>
                <w:sz w:val="20"/>
              </w:rPr>
              <w:t>材料信息学导论与 AI 产业</w:t>
            </w:r>
          </w:p>
        </w:tc>
        <w:tc>
          <w:tcPr>
            <w:tcW w:type="dxa" w:w="2967"/>
            <w:vAlign w:val="center"/>
          </w:tcPr>
          <w:p>
            <w:pPr>
              <w:spacing w:before="20" w:after="20" w:line="259" w:lineRule="auto"/>
              <w:ind w:firstLine="0"/>
              <w:jc w:val="left"/>
            </w:pPr>
            <w:r>
              <w:rPr>
                <w:rFonts w:ascii="Times New Roman" w:hAnsi="Times New Roman" w:eastAsia="宋体" w:cs="Times New Roman"/>
                <w:b w:val="0"/>
                <w:i w:val="0"/>
                <w:sz w:val="20"/>
              </w:rPr>
              <w:t>范式、AI4S和产业案例</w:t>
            </w:r>
          </w:p>
        </w:tc>
        <w:tc>
          <w:tcPr>
            <w:tcW w:type="dxa" w:w="3625"/>
            <w:vAlign w:val="center"/>
          </w:tcPr>
          <w:p>
            <w:pPr>
              <w:spacing w:before="20" w:after="20" w:line="259" w:lineRule="auto"/>
              <w:ind w:firstLine="0"/>
              <w:jc w:val="left"/>
            </w:pPr>
            <w:r>
              <w:rPr>
                <w:rFonts w:ascii="Times New Roman" w:hAnsi="Times New Roman" w:eastAsia="宋体" w:cs="Times New Roman"/>
                <w:b w:val="0"/>
                <w:i w:val="0"/>
                <w:sz w:val="20"/>
              </w:rPr>
              <w:t>候选、预测与实验验证的证据层级</w:t>
            </w:r>
          </w:p>
        </w:tc>
      </w:tr>
      <w:tr>
        <w:trPr>
          <w:cantSplit/>
        </w:trPr>
        <w:tc>
          <w:tcPr>
            <w:tcW w:type="dxa" w:w="537"/>
            <w:vAlign w:val="center"/>
          </w:tcPr>
          <w:p>
            <w:pPr>
              <w:spacing w:before="20" w:after="20" w:line="259" w:lineRule="auto"/>
              <w:ind w:firstLine="0"/>
              <w:jc w:val="left"/>
            </w:pPr>
            <w:r>
              <w:rPr>
                <w:rFonts w:ascii="Times New Roman" w:hAnsi="Times New Roman" w:eastAsia="宋体" w:cs="Times New Roman"/>
                <w:b w:val="0"/>
                <w:i w:val="0"/>
                <w:sz w:val="20"/>
              </w:rPr>
              <w:t>2</w:t>
            </w:r>
          </w:p>
        </w:tc>
        <w:tc>
          <w:tcPr>
            <w:tcW w:type="dxa" w:w="2471"/>
            <w:vAlign w:val="center"/>
          </w:tcPr>
          <w:p>
            <w:pPr>
              <w:spacing w:before="20" w:after="20" w:line="259" w:lineRule="auto"/>
              <w:ind w:firstLine="0"/>
              <w:jc w:val="left"/>
            </w:pPr>
            <w:r>
              <w:rPr>
                <w:rFonts w:ascii="Times New Roman" w:hAnsi="Times New Roman" w:eastAsia="宋体" w:cs="Times New Roman"/>
                <w:b w:val="0"/>
                <w:i w:val="0"/>
                <w:sz w:val="20"/>
              </w:rPr>
              <w:t>机器学习任务类型与材料数据生态</w:t>
            </w:r>
          </w:p>
        </w:tc>
        <w:tc>
          <w:tcPr>
            <w:tcW w:type="dxa" w:w="2967"/>
            <w:vAlign w:val="center"/>
          </w:tcPr>
          <w:p>
            <w:pPr>
              <w:spacing w:before="20" w:after="20" w:line="259" w:lineRule="auto"/>
              <w:ind w:firstLine="0"/>
              <w:jc w:val="left"/>
            </w:pPr>
            <w:r>
              <w:rPr>
                <w:rFonts w:ascii="Times New Roman" w:hAnsi="Times New Roman" w:eastAsia="宋体" w:cs="Times New Roman"/>
                <w:b w:val="0"/>
                <w:i w:val="0"/>
                <w:sz w:val="20"/>
              </w:rPr>
              <w:t>任务映射、数据选源与字段语义</w:t>
            </w:r>
          </w:p>
        </w:tc>
        <w:tc>
          <w:tcPr>
            <w:tcW w:type="dxa" w:w="3625"/>
            <w:vAlign w:val="center"/>
          </w:tcPr>
          <w:p>
            <w:pPr>
              <w:spacing w:before="20" w:after="20" w:line="259" w:lineRule="auto"/>
              <w:ind w:firstLine="0"/>
              <w:jc w:val="left"/>
            </w:pPr>
            <w:r>
              <w:rPr>
                <w:rFonts w:ascii="Times New Roman" w:hAnsi="Times New Roman" w:eastAsia="宋体" w:cs="Times New Roman"/>
                <w:b w:val="0"/>
                <w:i w:val="0"/>
                <w:sz w:val="20"/>
              </w:rPr>
              <w:t>样本单位、测量条件与可用时点</w:t>
            </w:r>
          </w:p>
        </w:tc>
      </w:tr>
      <w:tr>
        <w:trPr>
          <w:cantSplit/>
        </w:trPr>
        <w:tc>
          <w:tcPr>
            <w:tcW w:type="dxa" w:w="537"/>
            <w:vAlign w:val="center"/>
          </w:tcPr>
          <w:p>
            <w:pPr>
              <w:spacing w:before="20" w:after="20" w:line="259" w:lineRule="auto"/>
              <w:ind w:firstLine="0"/>
              <w:jc w:val="left"/>
            </w:pPr>
            <w:r>
              <w:rPr>
                <w:rFonts w:ascii="Times New Roman" w:hAnsi="Times New Roman" w:eastAsia="宋体" w:cs="Times New Roman"/>
                <w:b w:val="0"/>
                <w:i w:val="0"/>
                <w:sz w:val="20"/>
              </w:rPr>
              <w:t>3</w:t>
            </w:r>
          </w:p>
        </w:tc>
        <w:tc>
          <w:tcPr>
            <w:tcW w:type="dxa" w:w="2471"/>
            <w:vAlign w:val="center"/>
          </w:tcPr>
          <w:p>
            <w:pPr>
              <w:spacing w:before="20" w:after="20" w:line="259" w:lineRule="auto"/>
              <w:ind w:firstLine="0"/>
              <w:jc w:val="left"/>
            </w:pPr>
            <w:r>
              <w:rPr>
                <w:rFonts w:ascii="Times New Roman" w:hAnsi="Times New Roman" w:eastAsia="宋体" w:cs="Times New Roman"/>
                <w:b w:val="0"/>
                <w:i w:val="0"/>
                <w:sz w:val="20"/>
              </w:rPr>
              <w:t>数据获取、处理与剖析</w:t>
            </w:r>
          </w:p>
        </w:tc>
        <w:tc>
          <w:tcPr>
            <w:tcW w:type="dxa" w:w="2967"/>
            <w:vAlign w:val="center"/>
          </w:tcPr>
          <w:p>
            <w:pPr>
              <w:spacing w:before="20" w:after="20" w:line="259" w:lineRule="auto"/>
              <w:ind w:firstLine="0"/>
              <w:jc w:val="left"/>
            </w:pPr>
            <w:r>
              <w:rPr>
                <w:rFonts w:ascii="Times New Roman" w:hAnsi="Times New Roman" w:eastAsia="宋体" w:cs="Times New Roman"/>
                <w:b w:val="0"/>
                <w:i w:val="0"/>
                <w:sz w:val="20"/>
              </w:rPr>
              <w:t>API/快照、清洗与来源记录</w:t>
            </w:r>
          </w:p>
        </w:tc>
        <w:tc>
          <w:tcPr>
            <w:tcW w:type="dxa" w:w="3625"/>
            <w:vAlign w:val="center"/>
          </w:tcPr>
          <w:p>
            <w:pPr>
              <w:spacing w:before="20" w:after="20" w:line="259" w:lineRule="auto"/>
              <w:ind w:firstLine="0"/>
              <w:jc w:val="left"/>
            </w:pPr>
            <w:r>
              <w:rPr>
                <w:rFonts w:ascii="Times New Roman" w:hAnsi="Times New Roman" w:eastAsia="宋体" w:cs="Times New Roman"/>
                <w:b w:val="0"/>
                <w:i w:val="0"/>
                <w:sz w:val="20"/>
              </w:rPr>
              <w:t>同式异构与重复测量不能默认取均值</w:t>
            </w:r>
          </w:p>
        </w:tc>
      </w:tr>
      <w:tr>
        <w:trPr>
          <w:cantSplit/>
        </w:trPr>
        <w:tc>
          <w:tcPr>
            <w:tcW w:type="dxa" w:w="537"/>
            <w:vAlign w:val="center"/>
          </w:tcPr>
          <w:p>
            <w:pPr>
              <w:spacing w:before="20" w:after="20" w:line="259" w:lineRule="auto"/>
              <w:ind w:firstLine="0"/>
              <w:jc w:val="left"/>
            </w:pPr>
            <w:r>
              <w:rPr>
                <w:rFonts w:ascii="Times New Roman" w:hAnsi="Times New Roman" w:eastAsia="宋体" w:cs="Times New Roman"/>
                <w:b w:val="0"/>
                <w:i w:val="0"/>
                <w:sz w:val="20"/>
              </w:rPr>
              <w:t>4</w:t>
            </w:r>
          </w:p>
        </w:tc>
        <w:tc>
          <w:tcPr>
            <w:tcW w:type="dxa" w:w="2471"/>
            <w:vAlign w:val="center"/>
          </w:tcPr>
          <w:p>
            <w:pPr>
              <w:spacing w:before="20" w:after="20" w:line="259" w:lineRule="auto"/>
              <w:ind w:firstLine="0"/>
              <w:jc w:val="left"/>
            </w:pPr>
            <w:r>
              <w:rPr>
                <w:rFonts w:ascii="Times New Roman" w:hAnsi="Times New Roman" w:eastAsia="宋体" w:cs="Times New Roman"/>
                <w:b w:val="0"/>
                <w:i w:val="0"/>
                <w:sz w:val="20"/>
              </w:rPr>
              <w:t>特征工程（一）：成分特征化</w:t>
            </w:r>
          </w:p>
        </w:tc>
        <w:tc>
          <w:tcPr>
            <w:tcW w:type="dxa" w:w="2967"/>
            <w:vAlign w:val="center"/>
          </w:tcPr>
          <w:p>
            <w:pPr>
              <w:spacing w:before="20" w:after="20" w:line="259" w:lineRule="auto"/>
              <w:ind w:firstLine="0"/>
              <w:jc w:val="left"/>
            </w:pPr>
            <w:r>
              <w:rPr>
                <w:rFonts w:ascii="Times New Roman" w:hAnsi="Times New Roman" w:eastAsia="宋体" w:cs="Times New Roman"/>
                <w:b w:val="0"/>
                <w:i w:val="0"/>
                <w:sz w:val="20"/>
              </w:rPr>
              <w:t>成分解析、加权统计和嵌入</w:t>
            </w:r>
          </w:p>
        </w:tc>
        <w:tc>
          <w:tcPr>
            <w:tcW w:type="dxa" w:w="3625"/>
            <w:vAlign w:val="center"/>
          </w:tcPr>
          <w:p>
            <w:pPr>
              <w:spacing w:before="20" w:after="20" w:line="259" w:lineRule="auto"/>
              <w:ind w:firstLine="0"/>
              <w:jc w:val="left"/>
            </w:pPr>
            <w:r>
              <w:rPr>
                <w:rFonts w:ascii="Times New Roman" w:hAnsi="Times New Roman" w:eastAsia="宋体" w:cs="Times New Roman"/>
                <w:b w:val="0"/>
                <w:i w:val="0"/>
                <w:sz w:val="20"/>
              </w:rPr>
              <w:t>表示信息损失与训练流程内的特征处理</w:t>
            </w:r>
          </w:p>
        </w:tc>
      </w:tr>
      <w:tr>
        <w:trPr>
          <w:cantSplit/>
        </w:trPr>
        <w:tc>
          <w:tcPr>
            <w:tcW w:type="dxa" w:w="537"/>
            <w:vAlign w:val="center"/>
          </w:tcPr>
          <w:p>
            <w:pPr>
              <w:spacing w:before="20" w:after="20" w:line="259" w:lineRule="auto"/>
              <w:ind w:firstLine="0"/>
              <w:jc w:val="left"/>
            </w:pPr>
            <w:r>
              <w:rPr>
                <w:rFonts w:ascii="Times New Roman" w:hAnsi="Times New Roman" w:eastAsia="宋体" w:cs="Times New Roman"/>
                <w:b w:val="0"/>
                <w:i w:val="0"/>
                <w:sz w:val="20"/>
              </w:rPr>
              <w:t>5</w:t>
            </w:r>
          </w:p>
        </w:tc>
        <w:tc>
          <w:tcPr>
            <w:tcW w:type="dxa" w:w="2471"/>
            <w:vAlign w:val="center"/>
          </w:tcPr>
          <w:p>
            <w:pPr>
              <w:spacing w:before="20" w:after="20" w:line="259" w:lineRule="auto"/>
              <w:ind w:firstLine="0"/>
              <w:jc w:val="left"/>
            </w:pPr>
            <w:r>
              <w:rPr>
                <w:rFonts w:ascii="Times New Roman" w:hAnsi="Times New Roman" w:eastAsia="宋体" w:cs="Times New Roman"/>
                <w:b w:val="0"/>
                <w:i w:val="0"/>
                <w:sz w:val="20"/>
              </w:rPr>
              <w:t>特征工程（二）：结构、图表示与分子</w:t>
            </w:r>
          </w:p>
        </w:tc>
        <w:tc>
          <w:tcPr>
            <w:tcW w:type="dxa" w:w="2967"/>
            <w:vAlign w:val="center"/>
          </w:tcPr>
          <w:p>
            <w:pPr>
              <w:spacing w:before="20" w:after="20" w:line="259" w:lineRule="auto"/>
              <w:ind w:firstLine="0"/>
              <w:jc w:val="left"/>
            </w:pPr>
            <w:r>
              <w:rPr>
                <w:rFonts w:ascii="Times New Roman" w:hAnsi="Times New Roman" w:eastAsia="宋体" w:cs="Times New Roman"/>
                <w:b w:val="0"/>
                <w:i w:val="0"/>
                <w:sz w:val="20"/>
              </w:rPr>
              <w:t>结构、周期图与分子表示</w:t>
            </w:r>
          </w:p>
        </w:tc>
        <w:tc>
          <w:tcPr>
            <w:tcW w:type="dxa" w:w="3625"/>
            <w:vAlign w:val="center"/>
          </w:tcPr>
          <w:p>
            <w:pPr>
              <w:spacing w:before="20" w:after="20" w:line="259" w:lineRule="auto"/>
              <w:ind w:firstLine="0"/>
              <w:jc w:val="left"/>
            </w:pPr>
            <w:r>
              <w:rPr>
                <w:rFonts w:ascii="Times New Roman" w:hAnsi="Times New Roman" w:eastAsia="宋体" w:cs="Times New Roman"/>
                <w:b w:val="0"/>
                <w:i w:val="0"/>
                <w:sz w:val="20"/>
              </w:rPr>
              <w:t>邻域约定、周期像和重编号一致性</w:t>
            </w:r>
          </w:p>
        </w:tc>
      </w:tr>
      <w:tr>
        <w:trPr>
          <w:cantSplit/>
        </w:trPr>
        <w:tc>
          <w:tcPr>
            <w:tcW w:type="dxa" w:w="537"/>
            <w:vAlign w:val="center"/>
          </w:tcPr>
          <w:p>
            <w:pPr>
              <w:spacing w:before="20" w:after="20" w:line="259" w:lineRule="auto"/>
              <w:ind w:firstLine="0"/>
              <w:jc w:val="left"/>
            </w:pPr>
            <w:r>
              <w:rPr>
                <w:rFonts w:ascii="Times New Roman" w:hAnsi="Times New Roman" w:eastAsia="宋体" w:cs="Times New Roman"/>
                <w:b w:val="0"/>
                <w:i w:val="0"/>
                <w:sz w:val="20"/>
              </w:rPr>
              <w:t>6</w:t>
            </w:r>
          </w:p>
        </w:tc>
        <w:tc>
          <w:tcPr>
            <w:tcW w:type="dxa" w:w="2471"/>
            <w:vAlign w:val="center"/>
          </w:tcPr>
          <w:p>
            <w:pPr>
              <w:spacing w:before="20" w:after="20" w:line="259" w:lineRule="auto"/>
              <w:ind w:firstLine="0"/>
              <w:jc w:val="left"/>
            </w:pPr>
            <w:r>
              <w:rPr>
                <w:rFonts w:ascii="Times New Roman" w:hAnsi="Times New Roman" w:eastAsia="宋体" w:cs="Times New Roman"/>
                <w:b w:val="0"/>
                <w:i w:val="0"/>
                <w:sz w:val="20"/>
              </w:rPr>
              <w:t>回归、正则化与材料基线</w:t>
            </w:r>
          </w:p>
        </w:tc>
        <w:tc>
          <w:tcPr>
            <w:tcW w:type="dxa" w:w="2967"/>
            <w:vAlign w:val="center"/>
          </w:tcPr>
          <w:p>
            <w:pPr>
              <w:spacing w:before="20" w:after="20" w:line="259" w:lineRule="auto"/>
              <w:ind w:firstLine="0"/>
              <w:jc w:val="left"/>
            </w:pPr>
            <w:r>
              <w:rPr>
                <w:rFonts w:ascii="Times New Roman" w:hAnsi="Times New Roman" w:eastAsia="宋体" w:cs="Times New Roman"/>
                <w:b w:val="0"/>
                <w:i w:val="0"/>
                <w:sz w:val="20"/>
              </w:rPr>
              <w:t>线性基线、Ridge/Lasso与残差</w:t>
            </w:r>
          </w:p>
        </w:tc>
        <w:tc>
          <w:tcPr>
            <w:tcW w:type="dxa" w:w="3625"/>
            <w:vAlign w:val="center"/>
          </w:tcPr>
          <w:p>
            <w:pPr>
              <w:spacing w:before="20" w:after="20" w:line="259" w:lineRule="auto"/>
              <w:ind w:firstLine="0"/>
              <w:jc w:val="left"/>
            </w:pPr>
            <w:r>
              <w:rPr>
                <w:rFonts w:ascii="Times New Roman" w:hAnsi="Times New Roman" w:eastAsia="宋体" w:cs="Times New Roman"/>
                <w:b w:val="0"/>
                <w:i w:val="0"/>
                <w:sz w:val="20"/>
              </w:rPr>
              <w:t>线性于参数、正则化与误差单位</w:t>
            </w:r>
          </w:p>
        </w:tc>
      </w:tr>
      <w:tr>
        <w:trPr>
          <w:cantSplit/>
        </w:trPr>
        <w:tc>
          <w:tcPr>
            <w:tcW w:type="dxa" w:w="537"/>
            <w:vAlign w:val="center"/>
          </w:tcPr>
          <w:p>
            <w:pPr>
              <w:spacing w:before="20" w:after="20" w:line="259" w:lineRule="auto"/>
              <w:ind w:firstLine="0"/>
              <w:jc w:val="left"/>
            </w:pPr>
            <w:r>
              <w:rPr>
                <w:rFonts w:ascii="Times New Roman" w:hAnsi="Times New Roman" w:eastAsia="宋体" w:cs="Times New Roman"/>
                <w:b w:val="0"/>
                <w:i w:val="0"/>
                <w:sz w:val="20"/>
              </w:rPr>
              <w:t>7</w:t>
            </w:r>
          </w:p>
        </w:tc>
        <w:tc>
          <w:tcPr>
            <w:tcW w:type="dxa" w:w="2471"/>
            <w:vAlign w:val="center"/>
          </w:tcPr>
          <w:p>
            <w:pPr>
              <w:spacing w:before="20" w:after="20" w:line="259" w:lineRule="auto"/>
              <w:ind w:firstLine="0"/>
              <w:jc w:val="left"/>
            </w:pPr>
            <w:r>
              <w:rPr>
                <w:rFonts w:ascii="Times New Roman" w:hAnsi="Times New Roman" w:eastAsia="宋体" w:cs="Times New Roman"/>
                <w:b w:val="0"/>
                <w:i w:val="0"/>
                <w:sz w:val="20"/>
              </w:rPr>
              <w:t>分类、不平衡数据与决策阈值</w:t>
            </w:r>
          </w:p>
        </w:tc>
        <w:tc>
          <w:tcPr>
            <w:tcW w:type="dxa" w:w="2967"/>
            <w:vAlign w:val="center"/>
          </w:tcPr>
          <w:p>
            <w:pPr>
              <w:spacing w:before="20" w:after="20" w:line="259" w:lineRule="auto"/>
              <w:ind w:firstLine="0"/>
              <w:jc w:val="left"/>
            </w:pPr>
            <w:r>
              <w:rPr>
                <w:rFonts w:ascii="Times New Roman" w:hAnsi="Times New Roman" w:eastAsia="宋体" w:cs="Times New Roman"/>
                <w:b w:val="0"/>
                <w:i w:val="0"/>
                <w:sz w:val="20"/>
              </w:rPr>
              <w:t>概率分类、阈值与不平衡</w:t>
            </w:r>
          </w:p>
        </w:tc>
        <w:tc>
          <w:tcPr>
            <w:tcW w:type="dxa" w:w="3625"/>
            <w:vAlign w:val="center"/>
          </w:tcPr>
          <w:p>
            <w:pPr>
              <w:spacing w:before="20" w:after="20" w:line="259" w:lineRule="auto"/>
              <w:ind w:firstLine="0"/>
              <w:jc w:val="left"/>
            </w:pPr>
            <w:r>
              <w:rPr>
                <w:rFonts w:ascii="Times New Roman" w:hAnsi="Times New Roman" w:eastAsia="宋体" w:cs="Times New Roman"/>
                <w:b w:val="0"/>
                <w:i w:val="0"/>
                <w:sz w:val="20"/>
              </w:rPr>
              <w:t>性能指标必须反映筛选代价</w:t>
            </w:r>
          </w:p>
        </w:tc>
      </w:tr>
      <w:tr>
        <w:trPr>
          <w:cantSplit/>
        </w:trPr>
        <w:tc>
          <w:tcPr>
            <w:tcW w:type="dxa" w:w="537"/>
            <w:vAlign w:val="center"/>
          </w:tcPr>
          <w:p>
            <w:pPr>
              <w:spacing w:before="20" w:after="20" w:line="259" w:lineRule="auto"/>
              <w:ind w:firstLine="0"/>
              <w:jc w:val="left"/>
            </w:pPr>
            <w:r>
              <w:rPr>
                <w:rFonts w:ascii="Times New Roman" w:hAnsi="Times New Roman" w:eastAsia="宋体" w:cs="Times New Roman"/>
                <w:b w:val="0"/>
                <w:i w:val="0"/>
                <w:sz w:val="20"/>
              </w:rPr>
              <w:t>8</w:t>
            </w:r>
          </w:p>
        </w:tc>
        <w:tc>
          <w:tcPr>
            <w:tcW w:type="dxa" w:w="2471"/>
            <w:vAlign w:val="center"/>
          </w:tcPr>
          <w:p>
            <w:pPr>
              <w:spacing w:before="20" w:after="20" w:line="259" w:lineRule="auto"/>
              <w:ind w:firstLine="0"/>
              <w:jc w:val="left"/>
            </w:pPr>
            <w:r>
              <w:rPr>
                <w:rFonts w:ascii="Times New Roman" w:hAnsi="Times New Roman" w:eastAsia="宋体" w:cs="Times New Roman"/>
                <w:b w:val="0"/>
                <w:i w:val="0"/>
                <w:sz w:val="20"/>
              </w:rPr>
              <w:t>可信评估、数据划分与外推</w:t>
            </w:r>
          </w:p>
        </w:tc>
        <w:tc>
          <w:tcPr>
            <w:tcW w:type="dxa" w:w="2967"/>
            <w:vAlign w:val="center"/>
          </w:tcPr>
          <w:p>
            <w:pPr>
              <w:spacing w:before="20" w:after="20" w:line="259" w:lineRule="auto"/>
              <w:ind w:firstLine="0"/>
              <w:jc w:val="left"/>
            </w:pPr>
            <w:r>
              <w:rPr>
                <w:rFonts w:ascii="Times New Roman" w:hAnsi="Times New Roman" w:eastAsia="宋体" w:cs="Times New Roman"/>
                <w:b w:val="0"/>
                <w:i w:val="0"/>
                <w:sz w:val="20"/>
              </w:rPr>
              <w:t>分组验证、CV与外推</w:t>
            </w:r>
          </w:p>
        </w:tc>
        <w:tc>
          <w:tcPr>
            <w:tcW w:type="dxa" w:w="3625"/>
            <w:vAlign w:val="center"/>
          </w:tcPr>
          <w:p>
            <w:pPr>
              <w:spacing w:before="20" w:after="20" w:line="259" w:lineRule="auto"/>
              <w:ind w:firstLine="0"/>
              <w:jc w:val="left"/>
            </w:pPr>
            <w:r>
              <w:rPr>
                <w:rFonts w:ascii="Times New Roman" w:hAnsi="Times New Roman" w:eastAsia="宋体" w:cs="Times New Roman"/>
                <w:b w:val="0"/>
                <w:i w:val="0"/>
                <w:sz w:val="20"/>
              </w:rPr>
              <w:t>让验证协议对应研究应用，避免预处理泄漏</w:t>
            </w:r>
          </w:p>
        </w:tc>
      </w:tr>
      <w:tr>
        <w:trPr>
          <w:cantSplit/>
        </w:trPr>
        <w:tc>
          <w:tcPr>
            <w:tcW w:type="dxa" w:w="537"/>
            <w:vAlign w:val="center"/>
          </w:tcPr>
          <w:p>
            <w:pPr>
              <w:spacing w:before="20" w:after="20" w:line="259" w:lineRule="auto"/>
              <w:ind w:firstLine="0"/>
              <w:jc w:val="left"/>
            </w:pPr>
            <w:r>
              <w:rPr>
                <w:rFonts w:ascii="Times New Roman" w:hAnsi="Times New Roman" w:eastAsia="宋体" w:cs="Times New Roman"/>
                <w:b w:val="0"/>
                <w:i w:val="0"/>
                <w:sz w:val="20"/>
              </w:rPr>
              <w:t>9</w:t>
            </w:r>
          </w:p>
        </w:tc>
        <w:tc>
          <w:tcPr>
            <w:tcW w:type="dxa" w:w="2471"/>
            <w:vAlign w:val="center"/>
          </w:tcPr>
          <w:p>
            <w:pPr>
              <w:spacing w:before="20" w:after="20" w:line="259" w:lineRule="auto"/>
              <w:ind w:firstLine="0"/>
              <w:jc w:val="left"/>
            </w:pPr>
            <w:r>
              <w:rPr>
                <w:rFonts w:ascii="Times New Roman" w:hAnsi="Times New Roman" w:eastAsia="宋体" w:cs="Times New Roman"/>
                <w:b w:val="0"/>
                <w:i w:val="0"/>
                <w:sz w:val="20"/>
              </w:rPr>
              <w:t>集成学习、核方法与模型解释</w:t>
            </w:r>
          </w:p>
        </w:tc>
        <w:tc>
          <w:tcPr>
            <w:tcW w:type="dxa" w:w="2967"/>
            <w:vAlign w:val="center"/>
          </w:tcPr>
          <w:p>
            <w:pPr>
              <w:spacing w:before="20" w:after="20" w:line="259" w:lineRule="auto"/>
              <w:ind w:firstLine="0"/>
              <w:jc w:val="left"/>
            </w:pPr>
            <w:r>
              <w:rPr>
                <w:rFonts w:ascii="Times New Roman" w:hAnsi="Times New Roman" w:eastAsia="宋体" w:cs="Times New Roman"/>
                <w:b w:val="0"/>
                <w:i w:val="0"/>
                <w:sz w:val="20"/>
              </w:rPr>
              <w:t>RF、Boosting、核方法和解释</w:t>
            </w:r>
          </w:p>
        </w:tc>
        <w:tc>
          <w:tcPr>
            <w:tcW w:type="dxa" w:w="3625"/>
            <w:vAlign w:val="center"/>
          </w:tcPr>
          <w:p>
            <w:pPr>
              <w:spacing w:before="20" w:after="20" w:line="259" w:lineRule="auto"/>
              <w:ind w:firstLine="0"/>
              <w:jc w:val="left"/>
            </w:pPr>
            <w:r>
              <w:rPr>
                <w:rFonts w:ascii="Times New Roman" w:hAnsi="Times New Roman" w:eastAsia="宋体" w:cs="Times New Roman"/>
                <w:b w:val="0"/>
                <w:i w:val="0"/>
                <w:sz w:val="20"/>
              </w:rPr>
              <w:t>相关特征下的解释局限与模型比较公平性</w:t>
            </w:r>
          </w:p>
        </w:tc>
      </w:tr>
      <w:tr>
        <w:trPr>
          <w:cantSplit/>
        </w:trPr>
        <w:tc>
          <w:tcPr>
            <w:tcW w:type="dxa" w:w="537"/>
            <w:vAlign w:val="center"/>
          </w:tcPr>
          <w:p>
            <w:pPr>
              <w:spacing w:before="20" w:after="20" w:line="259" w:lineRule="auto"/>
              <w:ind w:firstLine="0"/>
              <w:jc w:val="left"/>
            </w:pPr>
            <w:r>
              <w:rPr>
                <w:rFonts w:ascii="Times New Roman" w:hAnsi="Times New Roman" w:eastAsia="宋体" w:cs="Times New Roman"/>
                <w:b w:val="0"/>
                <w:i w:val="0"/>
                <w:sz w:val="20"/>
              </w:rPr>
              <w:t>10</w:t>
            </w:r>
          </w:p>
        </w:tc>
        <w:tc>
          <w:tcPr>
            <w:tcW w:type="dxa" w:w="2471"/>
            <w:vAlign w:val="center"/>
          </w:tcPr>
          <w:p>
            <w:pPr>
              <w:spacing w:before="20" w:after="20" w:line="259" w:lineRule="auto"/>
              <w:ind w:firstLine="0"/>
              <w:jc w:val="left"/>
            </w:pPr>
            <w:r>
              <w:rPr>
                <w:rFonts w:ascii="Times New Roman" w:hAnsi="Times New Roman" w:eastAsia="宋体" w:cs="Times New Roman"/>
                <w:b w:val="0"/>
                <w:i w:val="0"/>
                <w:sz w:val="20"/>
              </w:rPr>
              <w:t>无监督学习与研究方案中期检查</w:t>
            </w:r>
          </w:p>
        </w:tc>
        <w:tc>
          <w:tcPr>
            <w:tcW w:type="dxa" w:w="2967"/>
            <w:vAlign w:val="center"/>
          </w:tcPr>
          <w:p>
            <w:pPr>
              <w:spacing w:before="20" w:after="20" w:line="259" w:lineRule="auto"/>
              <w:ind w:firstLine="0"/>
              <w:jc w:val="left"/>
            </w:pPr>
            <w:r>
              <w:rPr>
                <w:rFonts w:ascii="Times New Roman" w:hAnsi="Times New Roman" w:eastAsia="宋体" w:cs="Times New Roman"/>
                <w:b w:val="0"/>
                <w:i w:val="0"/>
                <w:sz w:val="20"/>
              </w:rPr>
              <w:t>PCA、聚类与中期检查</w:t>
            </w:r>
          </w:p>
        </w:tc>
        <w:tc>
          <w:tcPr>
            <w:tcW w:type="dxa" w:w="3625"/>
            <w:vAlign w:val="center"/>
          </w:tcPr>
          <w:p>
            <w:pPr>
              <w:spacing w:before="20" w:after="20" w:line="259" w:lineRule="auto"/>
              <w:ind w:firstLine="0"/>
              <w:jc w:val="left"/>
            </w:pPr>
            <w:r>
              <w:rPr>
                <w:rFonts w:ascii="Times New Roman" w:hAnsi="Times New Roman" w:eastAsia="宋体" w:cs="Times New Roman"/>
                <w:b w:val="0"/>
                <w:i w:val="0"/>
                <w:sz w:val="20"/>
              </w:rPr>
              <w:t>算法簇不能直接作为材料相的证据</w:t>
            </w:r>
          </w:p>
        </w:tc>
      </w:tr>
      <w:tr>
        <w:trPr>
          <w:cantSplit/>
        </w:trPr>
        <w:tc>
          <w:tcPr>
            <w:tcW w:type="dxa" w:w="537"/>
            <w:vAlign w:val="center"/>
          </w:tcPr>
          <w:p>
            <w:pPr>
              <w:spacing w:before="20" w:after="20" w:line="259" w:lineRule="auto"/>
              <w:ind w:firstLine="0"/>
              <w:jc w:val="left"/>
            </w:pPr>
            <w:r>
              <w:rPr>
                <w:rFonts w:ascii="Times New Roman" w:hAnsi="Times New Roman" w:eastAsia="宋体" w:cs="Times New Roman"/>
                <w:b w:val="0"/>
                <w:i w:val="0"/>
                <w:sz w:val="20"/>
              </w:rPr>
              <w:t>11</w:t>
            </w:r>
          </w:p>
        </w:tc>
        <w:tc>
          <w:tcPr>
            <w:tcW w:type="dxa" w:w="2471"/>
            <w:vAlign w:val="center"/>
          </w:tcPr>
          <w:p>
            <w:pPr>
              <w:spacing w:before="20" w:after="20" w:line="259" w:lineRule="auto"/>
              <w:ind w:firstLine="0"/>
              <w:jc w:val="left"/>
            </w:pPr>
            <w:r>
              <w:rPr>
                <w:rFonts w:ascii="Times New Roman" w:hAnsi="Times New Roman" w:eastAsia="宋体" w:cs="Times New Roman"/>
                <w:b w:val="0"/>
                <w:i w:val="0"/>
                <w:sz w:val="20"/>
              </w:rPr>
              <w:t>神经网络、CNN 与图网络深化</w:t>
            </w:r>
          </w:p>
        </w:tc>
        <w:tc>
          <w:tcPr>
            <w:tcW w:type="dxa" w:w="2967"/>
            <w:vAlign w:val="center"/>
          </w:tcPr>
          <w:p>
            <w:pPr>
              <w:spacing w:before="20" w:after="20" w:line="259" w:lineRule="auto"/>
              <w:ind w:firstLine="0"/>
              <w:jc w:val="left"/>
            </w:pPr>
            <w:r>
              <w:rPr>
                <w:rFonts w:ascii="Times New Roman" w:hAnsi="Times New Roman" w:eastAsia="宋体" w:cs="Times New Roman"/>
                <w:b w:val="0"/>
                <w:i w:val="0"/>
                <w:sz w:val="20"/>
              </w:rPr>
              <w:t>神经网络训练与图网络深化</w:t>
            </w:r>
          </w:p>
        </w:tc>
        <w:tc>
          <w:tcPr>
            <w:tcW w:type="dxa" w:w="3625"/>
            <w:vAlign w:val="center"/>
          </w:tcPr>
          <w:p>
            <w:pPr>
              <w:spacing w:before="20" w:after="20" w:line="259" w:lineRule="auto"/>
              <w:ind w:firstLine="0"/>
              <w:jc w:val="left"/>
            </w:pPr>
            <w:r>
              <w:rPr>
                <w:rFonts w:ascii="Times New Roman" w:hAnsi="Times New Roman" w:eastAsia="宋体" w:cs="Times New Roman"/>
                <w:b w:val="0"/>
                <w:i w:val="0"/>
                <w:sz w:val="20"/>
              </w:rPr>
              <w:t>梯度、聚合与对称性保障的不同职责</w:t>
            </w:r>
          </w:p>
        </w:tc>
      </w:tr>
      <w:tr>
        <w:trPr>
          <w:cantSplit/>
        </w:trPr>
        <w:tc>
          <w:tcPr>
            <w:tcW w:type="dxa" w:w="537"/>
            <w:vAlign w:val="center"/>
          </w:tcPr>
          <w:p>
            <w:pPr>
              <w:spacing w:before="20" w:after="20" w:line="259" w:lineRule="auto"/>
              <w:ind w:firstLine="0"/>
              <w:jc w:val="left"/>
            </w:pPr>
            <w:r>
              <w:rPr>
                <w:rFonts w:ascii="Times New Roman" w:hAnsi="Times New Roman" w:eastAsia="宋体" w:cs="Times New Roman"/>
                <w:b w:val="0"/>
                <w:i w:val="0"/>
                <w:sz w:val="20"/>
              </w:rPr>
              <w:t>12</w:t>
            </w:r>
          </w:p>
        </w:tc>
        <w:tc>
          <w:tcPr>
            <w:tcW w:type="dxa" w:w="2471"/>
            <w:vAlign w:val="center"/>
          </w:tcPr>
          <w:p>
            <w:pPr>
              <w:spacing w:before="20" w:after="20" w:line="259" w:lineRule="auto"/>
              <w:ind w:firstLine="0"/>
              <w:jc w:val="left"/>
            </w:pPr>
            <w:r>
              <w:rPr>
                <w:rFonts w:ascii="Times New Roman" w:hAnsi="Times New Roman" w:eastAsia="宋体" w:cs="Times New Roman"/>
                <w:b w:val="0"/>
                <w:i w:val="0"/>
                <w:sz w:val="20"/>
              </w:rPr>
              <w:t>注意力、迁移学习与生成模型概览</w:t>
            </w:r>
          </w:p>
        </w:tc>
        <w:tc>
          <w:tcPr>
            <w:tcW w:type="dxa" w:w="2967"/>
            <w:vAlign w:val="center"/>
          </w:tcPr>
          <w:p>
            <w:pPr>
              <w:spacing w:before="20" w:after="20" w:line="259" w:lineRule="auto"/>
              <w:ind w:firstLine="0"/>
              <w:jc w:val="left"/>
            </w:pPr>
            <w:r>
              <w:rPr>
                <w:rFonts w:ascii="Times New Roman" w:hAnsi="Times New Roman" w:eastAsia="宋体" w:cs="Times New Roman"/>
                <w:b w:val="0"/>
                <w:i w:val="0"/>
                <w:sz w:val="20"/>
              </w:rPr>
              <w:t>信息论直觉、注意力与迁移</w:t>
            </w:r>
          </w:p>
        </w:tc>
        <w:tc>
          <w:tcPr>
            <w:tcW w:type="dxa" w:w="3625"/>
            <w:vAlign w:val="center"/>
          </w:tcPr>
          <w:p>
            <w:pPr>
              <w:spacing w:before="20" w:after="20" w:line="259" w:lineRule="auto"/>
              <w:ind w:firstLine="0"/>
              <w:jc w:val="left"/>
            </w:pPr>
            <w:r>
              <w:rPr>
                <w:rFonts w:ascii="Times New Roman" w:hAnsi="Times New Roman" w:eastAsia="宋体" w:cs="Times New Roman"/>
                <w:b w:val="0"/>
                <w:i w:val="0"/>
                <w:sz w:val="20"/>
              </w:rPr>
              <w:t>负迁移和生成结果的独立评价</w:t>
            </w:r>
          </w:p>
        </w:tc>
      </w:tr>
      <w:tr>
        <w:trPr>
          <w:cantSplit/>
        </w:trPr>
        <w:tc>
          <w:tcPr>
            <w:tcW w:type="dxa" w:w="537"/>
            <w:vAlign w:val="center"/>
          </w:tcPr>
          <w:p>
            <w:pPr>
              <w:spacing w:before="20" w:after="20" w:line="259" w:lineRule="auto"/>
              <w:ind w:firstLine="0"/>
              <w:jc w:val="left"/>
            </w:pPr>
            <w:r>
              <w:rPr>
                <w:rFonts w:ascii="Times New Roman" w:hAnsi="Times New Roman" w:eastAsia="宋体" w:cs="Times New Roman"/>
                <w:b w:val="0"/>
                <w:i w:val="0"/>
                <w:sz w:val="20"/>
              </w:rPr>
              <w:t>13</w:t>
            </w:r>
          </w:p>
        </w:tc>
        <w:tc>
          <w:tcPr>
            <w:tcW w:type="dxa" w:w="2471"/>
            <w:vAlign w:val="center"/>
          </w:tcPr>
          <w:p>
            <w:pPr>
              <w:spacing w:before="20" w:after="20" w:line="259" w:lineRule="auto"/>
              <w:ind w:firstLine="0"/>
              <w:jc w:val="left"/>
            </w:pPr>
            <w:r>
              <w:rPr>
                <w:rFonts w:ascii="Times New Roman" w:hAnsi="Times New Roman" w:eastAsia="宋体" w:cs="Times New Roman"/>
                <w:b w:val="0"/>
                <w:i w:val="0"/>
                <w:sz w:val="20"/>
              </w:rPr>
              <w:t>贝叶斯推断、高斯过程与不确定性</w:t>
            </w:r>
          </w:p>
        </w:tc>
        <w:tc>
          <w:tcPr>
            <w:tcW w:type="dxa" w:w="2967"/>
            <w:vAlign w:val="center"/>
          </w:tcPr>
          <w:p>
            <w:pPr>
              <w:spacing w:before="20" w:after="20" w:line="259" w:lineRule="auto"/>
              <w:ind w:firstLine="0"/>
              <w:jc w:val="left"/>
            </w:pPr>
            <w:r>
              <w:rPr>
                <w:rFonts w:ascii="Times New Roman" w:hAnsi="Times New Roman" w:eastAsia="宋体" w:cs="Times New Roman"/>
                <w:b w:val="0"/>
                <w:i w:val="0"/>
                <w:sz w:val="20"/>
              </w:rPr>
              <w:t>贝叶斯更新、GP后验与核</w:t>
            </w:r>
          </w:p>
        </w:tc>
        <w:tc>
          <w:tcPr>
            <w:tcW w:type="dxa" w:w="3625"/>
            <w:vAlign w:val="center"/>
          </w:tcPr>
          <w:p>
            <w:pPr>
              <w:spacing w:before="20" w:after="20" w:line="259" w:lineRule="auto"/>
              <w:ind w:firstLine="0"/>
              <w:jc w:val="left"/>
            </w:pPr>
            <w:r>
              <w:rPr>
                <w:rFonts w:ascii="Times New Roman" w:hAnsi="Times New Roman" w:eastAsia="宋体" w:cs="Times New Roman"/>
                <w:b w:val="0"/>
                <w:i w:val="0"/>
                <w:sz w:val="20"/>
              </w:rPr>
              <w:t>预测不确定性、噪声和模型失配的区别</w:t>
            </w:r>
          </w:p>
        </w:tc>
      </w:tr>
      <w:tr>
        <w:trPr>
          <w:cantSplit/>
        </w:trPr>
        <w:tc>
          <w:tcPr>
            <w:tcW w:type="dxa" w:w="537"/>
            <w:vAlign w:val="center"/>
          </w:tcPr>
          <w:p>
            <w:pPr>
              <w:spacing w:before="20" w:after="20" w:line="259" w:lineRule="auto"/>
              <w:ind w:firstLine="0"/>
              <w:jc w:val="left"/>
            </w:pPr>
            <w:r>
              <w:rPr>
                <w:rFonts w:ascii="Times New Roman" w:hAnsi="Times New Roman" w:eastAsia="宋体" w:cs="Times New Roman"/>
                <w:b w:val="0"/>
                <w:i w:val="0"/>
                <w:sz w:val="20"/>
              </w:rPr>
              <w:t>14</w:t>
            </w:r>
          </w:p>
        </w:tc>
        <w:tc>
          <w:tcPr>
            <w:tcW w:type="dxa" w:w="2471"/>
            <w:vAlign w:val="center"/>
          </w:tcPr>
          <w:p>
            <w:pPr>
              <w:spacing w:before="20" w:after="20" w:line="259" w:lineRule="auto"/>
              <w:ind w:firstLine="0"/>
              <w:jc w:val="left"/>
            </w:pPr>
            <w:r>
              <w:rPr>
                <w:rFonts w:ascii="Times New Roman" w:hAnsi="Times New Roman" w:eastAsia="宋体" w:cs="Times New Roman"/>
                <w:b w:val="0"/>
                <w:i w:val="0"/>
                <w:sz w:val="20"/>
              </w:rPr>
              <w:t>贝叶斯优化、主动学习与实验决策</w:t>
            </w:r>
          </w:p>
        </w:tc>
        <w:tc>
          <w:tcPr>
            <w:tcW w:type="dxa" w:w="2967"/>
            <w:vAlign w:val="center"/>
          </w:tcPr>
          <w:p>
            <w:pPr>
              <w:spacing w:before="20" w:after="20" w:line="259" w:lineRule="auto"/>
              <w:ind w:firstLine="0"/>
              <w:jc w:val="left"/>
            </w:pPr>
            <w:r>
              <w:rPr>
                <w:rFonts w:ascii="Times New Roman" w:hAnsi="Times New Roman" w:eastAsia="宋体" w:cs="Times New Roman"/>
                <w:b w:val="0"/>
                <w:i w:val="0"/>
                <w:sz w:val="20"/>
              </w:rPr>
              <w:t>采集函数、约束/Pareto、同预算回放与Optuna</w:t>
            </w:r>
          </w:p>
        </w:tc>
        <w:tc>
          <w:tcPr>
            <w:tcW w:type="dxa" w:w="3625"/>
            <w:vAlign w:val="center"/>
          </w:tcPr>
          <w:p>
            <w:pPr>
              <w:spacing w:before="20" w:after="20" w:line="259" w:lineRule="auto"/>
              <w:ind w:firstLine="0"/>
              <w:jc w:val="left"/>
            </w:pPr>
            <w:r>
              <w:rPr>
                <w:rFonts w:ascii="Times New Roman" w:hAnsi="Times New Roman" w:eastAsia="宋体" w:cs="Times New Roman"/>
                <w:b w:val="0"/>
                <w:i w:val="0"/>
                <w:sz w:val="20"/>
              </w:rPr>
              <w:t>标签按查询揭示；在可行域中解释权衡，区分成本与查询预算</w:t>
            </w:r>
          </w:p>
        </w:tc>
      </w:tr>
      <w:tr>
        <w:trPr>
          <w:cantSplit/>
        </w:trPr>
        <w:tc>
          <w:tcPr>
            <w:tcW w:type="dxa" w:w="537"/>
            <w:vAlign w:val="center"/>
          </w:tcPr>
          <w:p>
            <w:pPr>
              <w:spacing w:before="20" w:after="20" w:line="259" w:lineRule="auto"/>
              <w:ind w:firstLine="0"/>
              <w:jc w:val="left"/>
            </w:pPr>
            <w:r>
              <w:rPr>
                <w:rFonts w:ascii="Times New Roman" w:hAnsi="Times New Roman" w:eastAsia="宋体" w:cs="Times New Roman"/>
                <w:b w:val="0"/>
                <w:i w:val="0"/>
                <w:sz w:val="20"/>
              </w:rPr>
              <w:t>15</w:t>
            </w:r>
          </w:p>
        </w:tc>
        <w:tc>
          <w:tcPr>
            <w:tcW w:type="dxa" w:w="2471"/>
            <w:vAlign w:val="center"/>
          </w:tcPr>
          <w:p>
            <w:pPr>
              <w:spacing w:before="20" w:after="20" w:line="259" w:lineRule="auto"/>
              <w:ind w:firstLine="0"/>
              <w:jc w:val="left"/>
            </w:pPr>
            <w:r>
              <w:rPr>
                <w:rFonts w:ascii="Times New Roman" w:hAnsi="Times New Roman" w:eastAsia="宋体" w:cs="Times New Roman"/>
                <w:b w:val="0"/>
                <w:i w:val="0"/>
                <w:sz w:val="20"/>
              </w:rPr>
              <w:t>物理先验、PINN 与前沿研究判断</w:t>
            </w:r>
          </w:p>
        </w:tc>
        <w:tc>
          <w:tcPr>
            <w:tcW w:type="dxa" w:w="2967"/>
            <w:vAlign w:val="center"/>
          </w:tcPr>
          <w:p>
            <w:pPr>
              <w:spacing w:before="20" w:after="20" w:line="259" w:lineRule="auto"/>
              <w:ind w:firstLine="0"/>
              <w:jc w:val="left"/>
            </w:pPr>
            <w:r>
              <w:rPr>
                <w:rFonts w:ascii="Times New Roman" w:hAnsi="Times New Roman" w:eastAsia="宋体" w:cs="Times New Roman"/>
                <w:b w:val="0"/>
                <w:i w:val="0"/>
                <w:sz w:val="20"/>
              </w:rPr>
              <w:t>PINN损失及诊断、文献抽取与AI科研工作流审查</w:t>
            </w:r>
          </w:p>
        </w:tc>
        <w:tc>
          <w:tcPr>
            <w:tcW w:type="dxa" w:w="3625"/>
            <w:vAlign w:val="center"/>
          </w:tcPr>
          <w:p>
            <w:pPr>
              <w:spacing w:before="20" w:after="20" w:line="259" w:lineRule="auto"/>
              <w:ind w:firstLine="0"/>
              <w:jc w:val="left"/>
            </w:pPr>
            <w:r>
              <w:rPr>
                <w:rFonts w:ascii="Times New Roman" w:hAnsi="Times New Roman" w:eastAsia="宋体" w:cs="Times New Roman"/>
                <w:b w:val="0"/>
                <w:i w:val="0"/>
                <w:sz w:val="20"/>
              </w:rPr>
              <w:t>物理检验、代码运行、测试及材料结论分层核验</w:t>
            </w:r>
          </w:p>
        </w:tc>
      </w:tr>
      <w:tr>
        <w:trPr>
          <w:cantSplit/>
        </w:trPr>
        <w:tc>
          <w:tcPr>
            <w:tcW w:type="dxa" w:w="537"/>
            <w:vAlign w:val="center"/>
          </w:tcPr>
          <w:p>
            <w:pPr>
              <w:spacing w:before="20" w:after="20" w:line="259" w:lineRule="auto"/>
              <w:ind w:firstLine="0"/>
              <w:jc w:val="left"/>
            </w:pPr>
            <w:r>
              <w:rPr>
                <w:rFonts w:ascii="Times New Roman" w:hAnsi="Times New Roman" w:eastAsia="宋体" w:cs="Times New Roman"/>
                <w:b w:val="0"/>
                <w:i w:val="0"/>
                <w:sz w:val="20"/>
              </w:rPr>
              <w:t>16</w:t>
            </w:r>
          </w:p>
        </w:tc>
        <w:tc>
          <w:tcPr>
            <w:tcW w:type="dxa" w:w="2471"/>
            <w:vAlign w:val="center"/>
          </w:tcPr>
          <w:p>
            <w:pPr>
              <w:spacing w:before="20" w:after="20" w:line="259" w:lineRule="auto"/>
              <w:ind w:firstLine="0"/>
              <w:jc w:val="left"/>
            </w:pPr>
            <w:r>
              <w:rPr>
                <w:rFonts w:ascii="Times New Roman" w:hAnsi="Times New Roman" w:eastAsia="宋体" w:cs="Times New Roman"/>
                <w:b w:val="0"/>
                <w:i w:val="0"/>
                <w:sz w:val="20"/>
              </w:rPr>
              <w:t>期末项目答辩、方法复盘与课程总结</w:t>
            </w:r>
          </w:p>
        </w:tc>
        <w:tc>
          <w:tcPr>
            <w:tcW w:type="dxa" w:w="2967"/>
            <w:vAlign w:val="center"/>
          </w:tcPr>
          <w:p>
            <w:pPr>
              <w:spacing w:before="20" w:after="20" w:line="259" w:lineRule="auto"/>
              <w:ind w:firstLine="0"/>
              <w:jc w:val="left"/>
            </w:pPr>
            <w:r>
              <w:rPr>
                <w:rFonts w:ascii="Times New Roman" w:hAnsi="Times New Roman" w:eastAsia="宋体" w:cs="Times New Roman"/>
                <w:b w:val="0"/>
                <w:i w:val="0"/>
                <w:sz w:val="20"/>
              </w:rPr>
              <w:t>项目方法链、复现与研究表达</w:t>
            </w:r>
          </w:p>
        </w:tc>
        <w:tc>
          <w:tcPr>
            <w:tcW w:type="dxa" w:w="3625"/>
            <w:vAlign w:val="center"/>
          </w:tcPr>
          <w:p>
            <w:pPr>
              <w:spacing w:before="20" w:after="20" w:line="259" w:lineRule="auto"/>
              <w:ind w:firstLine="0"/>
              <w:jc w:val="left"/>
            </w:pPr>
            <w:r>
              <w:rPr>
                <w:rFonts w:ascii="Times New Roman" w:hAnsi="Times New Roman" w:eastAsia="宋体" w:cs="Times New Roman"/>
                <w:b w:val="0"/>
                <w:i w:val="0"/>
                <w:sz w:val="20"/>
              </w:rPr>
              <w:t>结论不超出数据、模型和验证范围</w:t>
            </w:r>
          </w:p>
        </w:tc>
      </w:tr>
    </w:tbl>
    <w:p>
      <w:pPr>
        <w:keepNext/>
        <w:spacing w:before="120" w:after="60"/>
        <w:jc w:val="left"/>
      </w:pPr>
      <w:r>
        <w:rPr>
          <w:rFonts w:ascii="Arial" w:hAnsi="Arial" w:eastAsia="黑体" w:cs="Arial"/>
          <w:b/>
          <w:i w:val="0"/>
          <w:sz w:val="25"/>
        </w:rPr>
        <w:t>理论深度与拓展边界</w:t>
      </w:r>
    </w:p>
    <w:p>
      <w:pPr>
        <w:ind w:firstLine="480"/>
      </w:pPr>
      <w:r>
        <w:rPr>
          <w:rFonts w:ascii="Times New Roman" w:hAnsi="Times New Roman" w:eastAsia="宋体" w:cs="Times New Roman"/>
          <w:b w:val="0"/>
          <w:i w:val="0"/>
          <w:sz w:val="24"/>
        </w:rPr>
        <w:t>必修深度以能够解释假设、执行关键步骤、诊断失败为准。第5讲45分钟用于晶体图，第11讲25分钟用于图模型深化，合计70分钟（约1.56学时）；第12讲迁移学习讲授与比较任务合计45分钟；第13—14讲贝叶斯推断、GP和BO合计4学时；第15讲PINN部分68分钟。相应课堂任务与理论内容交织，不额外累加学时。</w:t>
      </w:r>
    </w:p>
    <w:p>
      <w:pPr>
        <w:ind w:firstLine="480"/>
      </w:pPr>
      <w:r>
        <w:rPr>
          <w:rFonts w:ascii="Times New Roman" w:hAnsi="Times New Roman" w:eastAsia="宋体" w:cs="Times New Roman"/>
          <w:b w:val="0"/>
          <w:i w:val="0"/>
          <w:sz w:val="24"/>
        </w:rPr>
        <w:t>信息论必修为熵、交叉熵、KL及VAE损失直觉，安排在VAE概念之前；互信息和信息增益作连接阅读。f-散度、Fisher信息、Cramér–Rao界、严格ELBO推导和BO遗憾界列为拓展。RNN/LSTM、复杂GAT变体、GAN/扩散完整训练、DANN/WD-DTL、强化学习和群智能不列为全员实现要求。原课程100页GAN工作坊属于选学资源，不以资料页数承诺课堂掌握。</w:t>
      </w:r>
    </w:p>
    <w:p>
      <w:pPr>
        <w:keepNext/>
        <w:spacing w:before="200" w:after="100"/>
        <w:jc w:val="left"/>
      </w:pPr>
      <w:r>
        <w:rPr>
          <w:rFonts w:ascii="Arial" w:hAnsi="Arial" w:eastAsia="黑体" w:cs="Arial"/>
          <w:b/>
          <w:i w:val="0"/>
          <w:sz w:val="28"/>
        </w:rPr>
        <w:t>六、课程教学方法与实施条件</w:t>
      </w:r>
    </w:p>
    <w:p>
      <w:pPr>
        <w:spacing w:before="0" w:after="0"/>
        <w:ind w:left="560" w:hanging="560"/>
      </w:pPr>
      <w:r>
        <w:rPr>
          <w:rFonts w:ascii="Times New Roman" w:hAnsi="Times New Roman" w:eastAsia="宋体" w:cs="Times New Roman"/>
          <w:b w:val="0"/>
          <w:i w:val="0"/>
          <w:sz w:val="24"/>
        </w:rPr>
        <w:t>1．每讲用材料问题开场，保留一项可验收课堂产出；第16讲以项目证据取代练习。</w:t>
      </w:r>
    </w:p>
    <w:p>
      <w:pPr>
        <w:spacing w:before="0" w:after="0"/>
        <w:ind w:left="560" w:hanging="560"/>
      </w:pPr>
      <w:r>
        <w:rPr>
          <w:rFonts w:ascii="Times New Roman" w:hAnsi="Times New Roman" w:eastAsia="宋体" w:cs="Times New Roman"/>
          <w:b w:val="0"/>
          <w:i w:val="0"/>
          <w:sz w:val="24"/>
        </w:rPr>
        <w:t>2．同一课程数据链逐步复用：任务卡→数据卡→特征→基线→验证→候选建议；不要求为每个算法重新获取一套数据。</w:t>
      </w:r>
    </w:p>
    <w:p>
      <w:pPr>
        <w:spacing w:before="0" w:after="0"/>
        <w:ind w:left="560" w:hanging="560"/>
      </w:pPr>
      <w:r>
        <w:rPr>
          <w:rFonts w:ascii="Times New Roman" w:hAnsi="Times New Roman" w:eastAsia="宋体" w:cs="Times New Roman"/>
          <w:b w:val="0"/>
          <w:i w:val="0"/>
          <w:sz w:val="24"/>
        </w:rPr>
        <w:t>3．前五讲沿用已有PPT与讲义，采用“必讲页+补充页”授课。制作规格以50—60页为参考、重内容讲不超过65页；课堂节奏按90分钟确定，不要求逐页讲完。</w:t>
      </w:r>
    </w:p>
    <w:p>
      <w:pPr>
        <w:spacing w:before="0" w:after="0"/>
        <w:ind w:left="560" w:hanging="560"/>
      </w:pPr>
      <w:r>
        <w:rPr>
          <w:rFonts w:ascii="Times New Roman" w:hAnsi="Times New Roman" w:eastAsia="宋体" w:cs="Times New Roman"/>
          <w:b w:val="0"/>
          <w:i w:val="0"/>
          <w:sz w:val="24"/>
        </w:rPr>
        <w:t>4．数据快照、依赖锁定和CPU替代路径在课前验收；只把实际存在且检查通过的资源称为可运行资源。课程资源按逐讲验收台账发布；V4历史基线与本轮V5修订分别留存，旧版本通过不等于本轮V5改动通过。实际制作状态见一致性台账与执行记录。</w:t>
      </w:r>
    </w:p>
    <w:p>
      <w:pPr>
        <w:spacing w:before="0" w:after="0"/>
        <w:ind w:left="560" w:hanging="560"/>
      </w:pPr>
      <w:r>
        <w:rPr>
          <w:rFonts w:ascii="Times New Roman" w:hAnsi="Times New Roman" w:eastAsia="宋体" w:cs="Times New Roman"/>
          <w:b w:val="0"/>
          <w:i w:val="0"/>
          <w:sz w:val="24"/>
        </w:rPr>
        <w:t>5．第8、10讲的文献质询与平时问题记录服务博士研究能力训练；不将课程研讨自动折抵培养方案另列的学术活动学分。</w:t>
      </w:r>
    </w:p>
    <w:p>
      <w:pPr>
        <w:spacing w:before="0" w:after="0"/>
        <w:ind w:left="560" w:hanging="560"/>
      </w:pPr>
      <w:r>
        <w:rPr>
          <w:rFonts w:ascii="Times New Roman" w:hAnsi="Times New Roman" w:eastAsia="宋体" w:cs="Times New Roman"/>
          <w:b w:val="0"/>
          <w:i w:val="0"/>
          <w:sz w:val="24"/>
        </w:rPr>
        <w:t>6．若排课为每周一次连续4学时，则相邻两个教学单元同日实施，中间安排休息；截止任务仍按讲次公布，并避免同日集中收多项作业。确定日历前不编造具体授课日期。</w:t>
      </w:r>
    </w:p>
    <w:p>
      <w:pPr>
        <w:keepNext/>
        <w:spacing w:before="200" w:after="100"/>
        <w:jc w:val="left"/>
      </w:pPr>
      <w:r>
        <w:rPr>
          <w:rFonts w:ascii="Arial" w:hAnsi="Arial" w:eastAsia="黑体" w:cs="Arial"/>
          <w:b/>
          <w:i w:val="0"/>
          <w:sz w:val="28"/>
        </w:rPr>
        <w:t>七、课程考核与成绩评定</w:t>
      </w:r>
    </w:p>
    <w:p>
      <w:pPr>
        <w:ind w:firstLine="480"/>
      </w:pPr>
      <w:r>
        <w:rPr>
          <w:rFonts w:ascii="Times New Roman" w:hAnsi="Times New Roman" w:eastAsia="宋体" w:cs="Times New Roman"/>
          <w:b w:val="0"/>
          <w:i w:val="0"/>
          <w:sz w:val="24"/>
        </w:rPr>
        <w:t>沿用已确定的总评结构：四次作业30%、论文评议20%、期末项目40%、课堂过程证据10%，合计100%。四次作业各按100分评定、各占总评7.5%。选做题用于拓展，不使具备GPU或付费服务的学生获得额外总评分优势。</w:t>
      </w:r>
    </w:p>
    <w:p>
      <w:pPr>
        <w:keepNext/>
        <w:spacing w:before="100" w:after="40" w:line="264" w:lineRule="auto"/>
        <w:jc w:val="center"/>
      </w:pPr>
      <w:r>
        <w:rPr>
          <w:rFonts w:ascii="Arial" w:hAnsi="Arial" w:eastAsia="黑体" w:cs="Arial"/>
          <w:b/>
          <w:i w:val="0"/>
          <w:sz w:val="21"/>
        </w:rPr>
        <w:t>表 6　考核环节、占比与评分依据</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1536"/>
        <w:gridCol w:w="720"/>
        <w:gridCol w:w="7344"/>
      </w:tblGrid>
      <w:tr>
        <w:trPr>
          <w:cantSplit/>
          <w:tblHeader/>
        </w:trPr>
        <w:tc>
          <w:tcPr>
            <w:tcW w:type="dxa" w:w="1536"/>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环节</w:t>
            </w:r>
          </w:p>
        </w:tc>
        <w:tc>
          <w:tcPr>
            <w:tcW w:type="dxa" w:w="720"/>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占比</w:t>
            </w:r>
          </w:p>
        </w:tc>
        <w:tc>
          <w:tcPr>
            <w:tcW w:type="dxa" w:w="7344"/>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证据与评分</w:t>
            </w:r>
          </w:p>
        </w:tc>
      </w:tr>
      <w:tr>
        <w:trPr>
          <w:cantSplit/>
        </w:trPr>
        <w:tc>
          <w:tcPr>
            <w:tcW w:type="dxa" w:w="1536"/>
            <w:vAlign w:val="center"/>
          </w:tcPr>
          <w:p>
            <w:pPr>
              <w:keepNext/>
              <w:spacing w:before="20" w:after="20" w:line="259" w:lineRule="auto"/>
              <w:ind w:firstLine="0"/>
              <w:jc w:val="left"/>
            </w:pPr>
            <w:r>
              <w:rPr>
                <w:rFonts w:ascii="Times New Roman" w:hAnsi="Times New Roman" w:eastAsia="宋体" w:cs="Times New Roman"/>
                <w:b w:val="0"/>
                <w:i w:val="0"/>
                <w:sz w:val="20"/>
              </w:rPr>
              <w:t>HW1—HW4</w:t>
            </w:r>
          </w:p>
        </w:tc>
        <w:tc>
          <w:tcPr>
            <w:tcW w:type="dxa" w:w="720"/>
            <w:vAlign w:val="center"/>
          </w:tcPr>
          <w:p>
            <w:pPr>
              <w:keepNext/>
              <w:spacing w:before="20" w:after="20" w:line="259" w:lineRule="auto"/>
              <w:ind w:firstLine="0"/>
              <w:jc w:val="left"/>
            </w:pPr>
            <w:r>
              <w:rPr>
                <w:rFonts w:ascii="Times New Roman" w:hAnsi="Times New Roman" w:eastAsia="宋体" w:cs="Times New Roman"/>
                <w:b w:val="0"/>
                <w:i w:val="0"/>
                <w:sz w:val="20"/>
              </w:rPr>
              <w:t>30%</w:t>
            </w:r>
          </w:p>
        </w:tc>
        <w:tc>
          <w:tcPr>
            <w:tcW w:type="dxa" w:w="7344"/>
            <w:vAlign w:val="center"/>
          </w:tcPr>
          <w:p>
            <w:pPr>
              <w:keepNext/>
              <w:spacing w:before="20" w:after="20" w:line="259" w:lineRule="auto"/>
              <w:ind w:firstLine="0"/>
              <w:jc w:val="left"/>
            </w:pPr>
            <w:r>
              <w:rPr>
                <w:rFonts w:ascii="Times New Roman" w:hAnsi="Times New Roman" w:eastAsia="宋体" w:cs="Times New Roman"/>
                <w:b w:val="0"/>
                <w:i w:val="0"/>
                <w:sz w:val="20"/>
              </w:rPr>
              <w:t>每项任务按正确性40%、结果证据30%、分析与局限20%、复现引用10%评定，再按本计划的任务分值汇总；不将两套维度重复相加</w:t>
            </w:r>
          </w:p>
        </w:tc>
      </w:tr>
      <w:tr>
        <w:trPr>
          <w:cantSplit/>
        </w:trPr>
        <w:tc>
          <w:tcPr>
            <w:tcW w:type="dxa" w:w="1536"/>
            <w:vAlign w:val="center"/>
          </w:tcPr>
          <w:p>
            <w:pPr>
              <w:keepNext/>
              <w:spacing w:before="20" w:after="20" w:line="259" w:lineRule="auto"/>
              <w:ind w:firstLine="0"/>
              <w:jc w:val="left"/>
            </w:pPr>
            <w:r>
              <w:rPr>
                <w:rFonts w:ascii="Times New Roman" w:hAnsi="Times New Roman" w:eastAsia="宋体" w:cs="Times New Roman"/>
                <w:b w:val="0"/>
                <w:i w:val="0"/>
                <w:sz w:val="20"/>
              </w:rPr>
              <w:t>论文评议</w:t>
            </w:r>
          </w:p>
        </w:tc>
        <w:tc>
          <w:tcPr>
            <w:tcW w:type="dxa" w:w="720"/>
            <w:vAlign w:val="center"/>
          </w:tcPr>
          <w:p>
            <w:pPr>
              <w:keepNext/>
              <w:spacing w:before="20" w:after="20" w:line="259" w:lineRule="auto"/>
              <w:ind w:firstLine="0"/>
              <w:jc w:val="left"/>
            </w:pPr>
            <w:r>
              <w:rPr>
                <w:rFonts w:ascii="Times New Roman" w:hAnsi="Times New Roman" w:eastAsia="宋体" w:cs="Times New Roman"/>
                <w:b w:val="0"/>
                <w:i w:val="0"/>
                <w:sz w:val="20"/>
              </w:rPr>
              <w:t>20%</w:t>
            </w:r>
          </w:p>
        </w:tc>
        <w:tc>
          <w:tcPr>
            <w:tcW w:type="dxa" w:w="7344"/>
            <w:vAlign w:val="center"/>
          </w:tcPr>
          <w:p>
            <w:pPr>
              <w:keepNext/>
              <w:spacing w:before="20" w:after="20" w:line="259" w:lineRule="auto"/>
              <w:ind w:firstLine="0"/>
              <w:jc w:val="left"/>
            </w:pPr>
            <w:r>
              <w:rPr>
                <w:rFonts w:ascii="Times New Roman" w:hAnsi="Times New Roman" w:eastAsia="宋体" w:cs="Times New Roman"/>
                <w:b w:val="0"/>
                <w:i w:val="0"/>
                <w:sz w:val="20"/>
              </w:rPr>
              <w:t>同一篇论文的书面评议占本环节80%，讨论记录占20%；书面评议按理解40、批判分析40、表达与引用20评分</w:t>
            </w:r>
          </w:p>
        </w:tc>
      </w:tr>
      <w:tr>
        <w:trPr>
          <w:cantSplit/>
        </w:trPr>
        <w:tc>
          <w:tcPr>
            <w:tcW w:type="dxa" w:w="1536"/>
            <w:vAlign w:val="center"/>
          </w:tcPr>
          <w:p>
            <w:pPr>
              <w:keepNext/>
              <w:spacing w:before="20" w:after="20" w:line="259" w:lineRule="auto"/>
              <w:ind w:firstLine="0"/>
              <w:jc w:val="left"/>
            </w:pPr>
            <w:r>
              <w:rPr>
                <w:rFonts w:ascii="Times New Roman" w:hAnsi="Times New Roman" w:eastAsia="宋体" w:cs="Times New Roman"/>
                <w:b w:val="0"/>
                <w:i w:val="0"/>
                <w:sz w:val="20"/>
              </w:rPr>
              <w:t>期末项目</w:t>
            </w:r>
          </w:p>
        </w:tc>
        <w:tc>
          <w:tcPr>
            <w:tcW w:type="dxa" w:w="720"/>
            <w:vAlign w:val="center"/>
          </w:tcPr>
          <w:p>
            <w:pPr>
              <w:keepNext/>
              <w:spacing w:before="20" w:after="20" w:line="259" w:lineRule="auto"/>
              <w:ind w:firstLine="0"/>
              <w:jc w:val="left"/>
            </w:pPr>
            <w:r>
              <w:rPr>
                <w:rFonts w:ascii="Times New Roman" w:hAnsi="Times New Roman" w:eastAsia="宋体" w:cs="Times New Roman"/>
                <w:b w:val="0"/>
                <w:i w:val="0"/>
                <w:sz w:val="20"/>
              </w:rPr>
              <w:t>40%</w:t>
            </w:r>
          </w:p>
        </w:tc>
        <w:tc>
          <w:tcPr>
            <w:tcW w:type="dxa" w:w="7344"/>
            <w:vAlign w:val="center"/>
          </w:tcPr>
          <w:p>
            <w:pPr>
              <w:keepNext/>
              <w:spacing w:before="20" w:after="20" w:line="259" w:lineRule="auto"/>
              <w:ind w:firstLine="0"/>
              <w:jc w:val="left"/>
            </w:pPr>
            <w:r>
              <w:rPr>
                <w:rFonts w:ascii="Times New Roman" w:hAnsi="Times New Roman" w:eastAsia="宋体" w:cs="Times New Roman"/>
                <w:b w:val="0"/>
                <w:i w:val="0"/>
                <w:sz w:val="20"/>
              </w:rPr>
              <w:t>问题价值20、方法规范30、结果分析25、复现性15、表达与个人贡献10，均为项目内百分比</w:t>
            </w:r>
          </w:p>
        </w:tc>
      </w:tr>
      <w:tr>
        <w:trPr>
          <w:cantSplit/>
        </w:trPr>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课堂过程证据</w:t>
            </w:r>
          </w:p>
        </w:tc>
        <w:tc>
          <w:tcPr>
            <w:tcW w:type="dxa" w:w="720"/>
            <w:vAlign w:val="center"/>
          </w:tcPr>
          <w:p>
            <w:pPr>
              <w:spacing w:before="20" w:after="20" w:line="259" w:lineRule="auto"/>
              <w:ind w:firstLine="0"/>
              <w:jc w:val="left"/>
            </w:pPr>
            <w:r>
              <w:rPr>
                <w:rFonts w:ascii="Times New Roman" w:hAnsi="Times New Roman" w:eastAsia="宋体" w:cs="Times New Roman"/>
                <w:b w:val="0"/>
                <w:i w:val="0"/>
                <w:sz w:val="20"/>
              </w:rPr>
              <w:t>10%</w:t>
            </w:r>
          </w:p>
        </w:tc>
        <w:tc>
          <w:tcPr>
            <w:tcW w:type="dxa" w:w="7344"/>
            <w:vAlign w:val="center"/>
          </w:tcPr>
          <w:p>
            <w:pPr>
              <w:spacing w:before="20" w:after="20" w:line="259" w:lineRule="auto"/>
              <w:ind w:firstLine="0"/>
              <w:jc w:val="left"/>
            </w:pPr>
            <w:r>
              <w:rPr>
                <w:rFonts w:ascii="Times New Roman" w:hAnsi="Times New Roman" w:eastAsia="宋体" w:cs="Times New Roman"/>
                <w:b w:val="0"/>
                <w:i w:val="0"/>
                <w:sz w:val="20"/>
              </w:rPr>
              <w:t>任务卡2分、图检查表2分、评估对照表2分、PINN诊断单3分、讨论与反馈记录1分，直接计入总评10分</w:t>
            </w:r>
          </w:p>
        </w:tc>
      </w:tr>
    </w:tbl>
    <w:p>
      <w:pPr>
        <w:ind w:firstLine="480"/>
      </w:pPr>
      <w:r>
        <w:rPr>
          <w:rFonts w:ascii="Times New Roman" w:hAnsi="Times New Roman" w:eastAsia="宋体" w:cs="Times New Roman"/>
          <w:b w:val="0"/>
          <w:i w:val="0"/>
          <w:sz w:val="24"/>
        </w:rPr>
        <w:t>未能参加某次课堂任务者可在一周内补做同难度任务并接受简短核验；单纯到课不替代能力证据。迟交与学术不端处理执行学校既有规定，开课时告知，不在本大纲中虚构处分或扣分政策。</w:t>
      </w:r>
    </w:p>
    <w:p>
      <w:pPr>
        <w:keepNext/>
        <w:spacing w:before="120" w:after="60"/>
        <w:jc w:val="left"/>
      </w:pPr>
      <w:r>
        <w:rPr>
          <w:rFonts w:ascii="Arial" w:hAnsi="Arial" w:eastAsia="黑体" w:cs="Arial"/>
          <w:b/>
          <w:i w:val="0"/>
          <w:sz w:val="25"/>
        </w:rPr>
        <w:t>四次作业与阶段任务</w:t>
      </w:r>
    </w:p>
    <w:p>
      <w:pPr>
        <w:keepNext/>
        <w:spacing w:before="100" w:after="40" w:line="264" w:lineRule="auto"/>
        <w:jc w:val="center"/>
      </w:pPr>
      <w:r>
        <w:rPr>
          <w:rFonts w:ascii="Arial" w:hAnsi="Arial" w:eastAsia="黑体" w:cs="Arial"/>
          <w:b/>
          <w:i w:val="0"/>
          <w:sz w:val="21"/>
        </w:rPr>
        <w:t>表 7　四次作业的发布、截止与内部分值</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1620"/>
        <w:gridCol w:w="1485"/>
        <w:gridCol w:w="4550"/>
        <w:gridCol w:w="1945"/>
      </w:tblGrid>
      <w:tr>
        <w:trPr>
          <w:cantSplit/>
          <w:tblHeader/>
        </w:trPr>
        <w:tc>
          <w:tcPr>
            <w:tcW w:type="dxa" w:w="1620"/>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作业</w:t>
            </w:r>
          </w:p>
        </w:tc>
        <w:tc>
          <w:tcPr>
            <w:tcW w:type="dxa" w:w="148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发布/截止</w:t>
            </w:r>
          </w:p>
        </w:tc>
        <w:tc>
          <w:tcPr>
            <w:tcW w:type="dxa" w:w="4550"/>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核心任务与内部百分比分配</w:t>
            </w:r>
          </w:p>
        </w:tc>
        <w:tc>
          <w:tcPr>
            <w:tcW w:type="dxa" w:w="1945"/>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预计课外钟点小时</w:t>
            </w:r>
          </w:p>
        </w:tc>
      </w:tr>
      <w:tr>
        <w:trPr>
          <w:cantSplit/>
        </w:trPr>
        <w:tc>
          <w:tcPr>
            <w:tcW w:type="dxa" w:w="1620"/>
            <w:vAlign w:val="center"/>
          </w:tcPr>
          <w:p>
            <w:pPr>
              <w:keepNext/>
              <w:spacing w:before="20" w:after="20" w:line="259" w:lineRule="auto"/>
              <w:ind w:firstLine="0"/>
              <w:jc w:val="left"/>
            </w:pPr>
            <w:r>
              <w:rPr>
                <w:rFonts w:ascii="Times New Roman" w:hAnsi="Times New Roman" w:eastAsia="宋体" w:cs="Times New Roman"/>
                <w:b w:val="0"/>
                <w:i w:val="0"/>
                <w:sz w:val="20"/>
              </w:rPr>
              <w:t>HW1 数据与成分表示</w:t>
            </w:r>
          </w:p>
        </w:tc>
        <w:tc>
          <w:tcPr>
            <w:tcW w:type="dxa" w:w="1485"/>
            <w:vAlign w:val="center"/>
          </w:tcPr>
          <w:p>
            <w:pPr>
              <w:keepNext/>
              <w:spacing w:before="20" w:after="20" w:line="259" w:lineRule="auto"/>
              <w:ind w:firstLine="0"/>
              <w:jc w:val="left"/>
            </w:pPr>
            <w:r>
              <w:rPr>
                <w:rFonts w:ascii="Times New Roman" w:hAnsi="Times New Roman" w:eastAsia="宋体" w:cs="Times New Roman"/>
                <w:b w:val="0"/>
                <w:i w:val="0"/>
                <w:sz w:val="20"/>
              </w:rPr>
              <w:t>第3/第6讲</w:t>
            </w:r>
          </w:p>
        </w:tc>
        <w:tc>
          <w:tcPr>
            <w:tcW w:type="dxa" w:w="4550"/>
            <w:vAlign w:val="center"/>
          </w:tcPr>
          <w:p>
            <w:pPr>
              <w:keepNext/>
              <w:spacing w:before="20" w:after="20" w:line="259" w:lineRule="auto"/>
              <w:ind w:firstLine="0"/>
              <w:jc w:val="left"/>
            </w:pPr>
            <w:r>
              <w:rPr>
                <w:rFonts w:ascii="Times New Roman" w:hAnsi="Times New Roman" w:eastAsia="宋体" w:cs="Times New Roman"/>
                <w:b w:val="0"/>
                <w:i w:val="0"/>
                <w:sz w:val="20"/>
              </w:rPr>
              <w:t>数据来源与单位30、清洗与聚合决策30、成分特征校验25、MP/NOMAD语义对照15</w:t>
            </w:r>
          </w:p>
        </w:tc>
        <w:tc>
          <w:tcPr>
            <w:tcW w:type="dxa" w:w="1945"/>
            <w:vAlign w:val="center"/>
          </w:tcPr>
          <w:p>
            <w:pPr>
              <w:keepNext/>
              <w:spacing w:before="20" w:after="20" w:line="259" w:lineRule="auto"/>
              <w:ind w:firstLine="0"/>
              <w:jc w:val="left"/>
            </w:pPr>
            <w:r>
              <w:rPr>
                <w:rFonts w:ascii="Times New Roman" w:hAnsi="Times New Roman" w:eastAsia="宋体" w:cs="Times New Roman"/>
                <w:b w:val="0"/>
                <w:i w:val="0"/>
                <w:sz w:val="20"/>
              </w:rPr>
              <w:t>3—4</w:t>
            </w:r>
          </w:p>
        </w:tc>
      </w:tr>
      <w:tr>
        <w:trPr>
          <w:cantSplit/>
        </w:trPr>
        <w:tc>
          <w:tcPr>
            <w:tcW w:type="dxa" w:w="1620"/>
            <w:vAlign w:val="center"/>
          </w:tcPr>
          <w:p>
            <w:pPr>
              <w:keepNext/>
              <w:spacing w:before="20" w:after="20" w:line="259" w:lineRule="auto"/>
              <w:ind w:firstLine="0"/>
              <w:jc w:val="left"/>
            </w:pPr>
            <w:r>
              <w:rPr>
                <w:rFonts w:ascii="Times New Roman" w:hAnsi="Times New Roman" w:eastAsia="宋体" w:cs="Times New Roman"/>
                <w:b w:val="0"/>
                <w:i w:val="0"/>
                <w:sz w:val="20"/>
              </w:rPr>
              <w:t>HW2 表示与可信比较</w:t>
            </w:r>
          </w:p>
        </w:tc>
        <w:tc>
          <w:tcPr>
            <w:tcW w:type="dxa" w:w="1485"/>
            <w:vAlign w:val="center"/>
          </w:tcPr>
          <w:p>
            <w:pPr>
              <w:keepNext/>
              <w:spacing w:before="20" w:after="20" w:line="259" w:lineRule="auto"/>
              <w:ind w:firstLine="0"/>
              <w:jc w:val="left"/>
            </w:pPr>
            <w:r>
              <w:rPr>
                <w:rFonts w:ascii="Times New Roman" w:hAnsi="Times New Roman" w:eastAsia="宋体" w:cs="Times New Roman"/>
                <w:b w:val="0"/>
                <w:i w:val="0"/>
                <w:sz w:val="20"/>
              </w:rPr>
              <w:t>第5/第10讲</w:t>
            </w:r>
          </w:p>
        </w:tc>
        <w:tc>
          <w:tcPr>
            <w:tcW w:type="dxa" w:w="4550"/>
            <w:vAlign w:val="center"/>
          </w:tcPr>
          <w:p>
            <w:pPr>
              <w:keepNext/>
              <w:spacing w:before="20" w:after="20" w:line="259" w:lineRule="auto"/>
              <w:ind w:firstLine="0"/>
              <w:jc w:val="left"/>
            </w:pPr>
            <w:r>
              <w:rPr>
                <w:rFonts w:ascii="Times New Roman" w:hAnsi="Times New Roman" w:eastAsia="宋体" w:cs="Times New Roman"/>
                <w:b w:val="0"/>
                <w:i w:val="0"/>
                <w:sz w:val="20"/>
              </w:rPr>
              <w:t>分子描述符/指纹及格式比较40、固定协议下模型与分组验证40、解释与复现20；先做表示，后做模型</w:t>
            </w:r>
          </w:p>
        </w:tc>
        <w:tc>
          <w:tcPr>
            <w:tcW w:type="dxa" w:w="1945"/>
            <w:vAlign w:val="center"/>
          </w:tcPr>
          <w:p>
            <w:pPr>
              <w:keepNext/>
              <w:spacing w:before="20" w:after="20" w:line="259" w:lineRule="auto"/>
              <w:ind w:firstLine="0"/>
              <w:jc w:val="left"/>
            </w:pPr>
            <w:r>
              <w:rPr>
                <w:rFonts w:ascii="Times New Roman" w:hAnsi="Times New Roman" w:eastAsia="宋体" w:cs="Times New Roman"/>
                <w:b w:val="0"/>
                <w:i w:val="0"/>
                <w:sz w:val="20"/>
              </w:rPr>
              <w:t>4—5</w:t>
            </w:r>
          </w:p>
        </w:tc>
      </w:tr>
      <w:tr>
        <w:trPr>
          <w:cantSplit/>
        </w:trPr>
        <w:tc>
          <w:tcPr>
            <w:tcW w:type="dxa" w:w="1620"/>
            <w:vAlign w:val="center"/>
          </w:tcPr>
          <w:p>
            <w:pPr>
              <w:keepNext/>
              <w:spacing w:before="20" w:after="20" w:line="259" w:lineRule="auto"/>
              <w:ind w:firstLine="0"/>
              <w:jc w:val="left"/>
            </w:pPr>
            <w:r>
              <w:rPr>
                <w:rFonts w:ascii="Times New Roman" w:hAnsi="Times New Roman" w:eastAsia="宋体" w:cs="Times New Roman"/>
                <w:b w:val="0"/>
                <w:i w:val="0"/>
                <w:sz w:val="20"/>
              </w:rPr>
              <w:t>HW3 表示学习与知识复用</w:t>
            </w:r>
          </w:p>
        </w:tc>
        <w:tc>
          <w:tcPr>
            <w:tcW w:type="dxa" w:w="1485"/>
            <w:vAlign w:val="center"/>
          </w:tcPr>
          <w:p>
            <w:pPr>
              <w:keepNext/>
              <w:spacing w:before="20" w:after="20" w:line="259" w:lineRule="auto"/>
              <w:ind w:firstLine="0"/>
              <w:jc w:val="left"/>
            </w:pPr>
            <w:r>
              <w:rPr>
                <w:rFonts w:ascii="Times New Roman" w:hAnsi="Times New Roman" w:eastAsia="宋体" w:cs="Times New Roman"/>
                <w:b w:val="0"/>
                <w:i w:val="0"/>
                <w:sz w:val="20"/>
              </w:rPr>
              <w:t>第11/第13讲</w:t>
            </w:r>
          </w:p>
        </w:tc>
        <w:tc>
          <w:tcPr>
            <w:tcW w:type="dxa" w:w="4550"/>
            <w:vAlign w:val="center"/>
          </w:tcPr>
          <w:p>
            <w:pPr>
              <w:keepNext/>
              <w:spacing w:before="20" w:after="20" w:line="259" w:lineRule="auto"/>
              <w:ind w:firstLine="0"/>
              <w:jc w:val="left"/>
            </w:pPr>
            <w:r>
              <w:rPr>
                <w:rFonts w:ascii="Times New Roman" w:hAnsi="Times New Roman" w:eastAsia="宋体" w:cs="Times New Roman"/>
                <w:b w:val="0"/>
                <w:i w:val="0"/>
                <w:sz w:val="20"/>
              </w:rPr>
              <w:t>CrabNet小规模运行或已训练模型推理分析40、同划分经典/MLP基线30、迁移或表示消融20、成本与复现10</w:t>
            </w:r>
          </w:p>
        </w:tc>
        <w:tc>
          <w:tcPr>
            <w:tcW w:type="dxa" w:w="1945"/>
            <w:vAlign w:val="center"/>
          </w:tcPr>
          <w:p>
            <w:pPr>
              <w:keepNext/>
              <w:spacing w:before="20" w:after="20" w:line="259" w:lineRule="auto"/>
              <w:ind w:firstLine="0"/>
              <w:jc w:val="left"/>
            </w:pPr>
            <w:r>
              <w:rPr>
                <w:rFonts w:ascii="Times New Roman" w:hAnsi="Times New Roman" w:eastAsia="宋体" w:cs="Times New Roman"/>
                <w:b w:val="0"/>
                <w:i w:val="0"/>
                <w:sz w:val="20"/>
              </w:rPr>
              <w:t>4—5</w:t>
            </w:r>
          </w:p>
        </w:tc>
      </w:tr>
      <w:tr>
        <w:trPr>
          <w:cantSplit/>
        </w:trPr>
        <w:tc>
          <w:tcPr>
            <w:tcW w:type="dxa" w:w="1620"/>
            <w:vAlign w:val="center"/>
          </w:tcPr>
          <w:p>
            <w:pPr>
              <w:spacing w:before="20" w:after="20" w:line="259" w:lineRule="auto"/>
              <w:ind w:firstLine="0"/>
              <w:jc w:val="left"/>
            </w:pPr>
            <w:r>
              <w:rPr>
                <w:rFonts w:ascii="Times New Roman" w:hAnsi="Times New Roman" w:eastAsia="宋体" w:cs="Times New Roman"/>
                <w:b w:val="0"/>
                <w:i w:val="0"/>
                <w:sz w:val="20"/>
              </w:rPr>
              <w:t>HW4 GP、BO与工程选型</w:t>
            </w:r>
          </w:p>
        </w:tc>
        <w:tc>
          <w:tcPr>
            <w:tcW w:type="dxa" w:w="1485"/>
            <w:vAlign w:val="center"/>
          </w:tcPr>
          <w:p>
            <w:pPr>
              <w:spacing w:before="20" w:after="20" w:line="259" w:lineRule="auto"/>
              <w:ind w:firstLine="0"/>
              <w:jc w:val="left"/>
            </w:pPr>
            <w:r>
              <w:rPr>
                <w:rFonts w:ascii="Times New Roman" w:hAnsi="Times New Roman" w:eastAsia="宋体" w:cs="Times New Roman"/>
                <w:b w:val="0"/>
                <w:i w:val="0"/>
                <w:sz w:val="20"/>
              </w:rPr>
              <w:t>第13/第15讲</w:t>
            </w:r>
          </w:p>
        </w:tc>
        <w:tc>
          <w:tcPr>
            <w:tcW w:type="dxa" w:w="4550"/>
            <w:vAlign w:val="center"/>
          </w:tcPr>
          <w:p>
            <w:pPr>
              <w:spacing w:before="20" w:after="20" w:line="259" w:lineRule="auto"/>
              <w:ind w:firstLine="0"/>
              <w:jc w:val="left"/>
            </w:pPr>
            <w:r>
              <w:rPr>
                <w:rFonts w:ascii="Times New Roman" w:hAnsi="Times New Roman" w:eastAsia="宋体" w:cs="Times New Roman"/>
                <w:b w:val="0"/>
                <w:i w:val="0"/>
                <w:sz w:val="20"/>
              </w:rPr>
              <w:t>贝叶斯更新与GP30、UCB/EI/PI检查及同预算回放40、Optuna验证隔离15、噪声/约束/停止讨论15</w:t>
            </w:r>
          </w:p>
        </w:tc>
        <w:tc>
          <w:tcPr>
            <w:tcW w:type="dxa" w:w="1945"/>
            <w:vAlign w:val="center"/>
          </w:tcPr>
          <w:p>
            <w:pPr>
              <w:spacing w:before="20" w:after="20" w:line="259" w:lineRule="auto"/>
              <w:ind w:firstLine="0"/>
              <w:jc w:val="left"/>
            </w:pPr>
            <w:r>
              <w:rPr>
                <w:rFonts w:ascii="Times New Roman" w:hAnsi="Times New Roman" w:eastAsia="宋体" w:cs="Times New Roman"/>
                <w:b w:val="0"/>
                <w:i w:val="0"/>
                <w:sz w:val="20"/>
              </w:rPr>
              <w:t>4—5</w:t>
            </w:r>
          </w:p>
        </w:tc>
      </w:tr>
    </w:tbl>
    <w:p>
      <w:pPr>
        <w:ind w:firstLine="480"/>
      </w:pPr>
      <w:r>
        <w:rPr>
          <w:rFonts w:ascii="Times New Roman" w:hAnsi="Times New Roman" w:eastAsia="宋体" w:cs="Times New Roman"/>
          <w:b w:val="0"/>
          <w:i w:val="0"/>
          <w:sz w:val="24"/>
        </w:rPr>
        <w:t>上述作业是对原HW1—HW4的本地教学重组，</w:t>
      </w:r>
      <w:r>
        <w:rPr>
          <w:rFonts w:ascii="Times New Roman" w:hAnsi="Times New Roman" w:eastAsia="宋体" w:cs="Times New Roman"/>
          <w:b/>
          <w:i w:val="0"/>
          <w:sz w:val="24"/>
        </w:rPr>
        <w:t>不是原作业全量照搬</w:t>
      </w:r>
      <w:r>
        <w:rPr>
          <w:rFonts w:ascii="Times New Roman" w:hAnsi="Times New Roman" w:eastAsia="宋体" w:cs="Times New Roman"/>
          <w:b w:val="0"/>
          <w:i w:val="0"/>
          <w:sz w:val="24"/>
        </w:rPr>
        <w:t>。HW3各路径均须给出迁移可行性判断，可以有依据地否决迁移。复杂分子网格搜索、VAE/XRD生成全链、完整信息论九任务及遗憾界等作为拓展；本版任务范围、分值与截止优先于历史讲义中的旧作业描述。Starter Notebook和分值细则须据此制作，不能直接发原英文说明替代中文作业包。</w:t>
      </w:r>
    </w:p>
    <w:p>
      <w:pPr>
        <w:keepNext/>
        <w:spacing w:before="120" w:after="60"/>
        <w:jc w:val="left"/>
      </w:pPr>
      <w:r>
        <w:rPr>
          <w:rFonts w:ascii="Arial" w:hAnsi="Arial" w:eastAsia="黑体" w:cs="Arial"/>
          <w:b/>
          <w:i w:val="0"/>
          <w:sz w:val="25"/>
        </w:rPr>
        <w:t>论文评议与课堂研讨</w:t>
      </w:r>
    </w:p>
    <w:p>
      <w:pPr>
        <w:ind w:firstLine="480"/>
      </w:pPr>
      <w:r>
        <w:rPr>
          <w:rFonts w:ascii="Times New Roman" w:hAnsi="Times New Roman" w:eastAsia="宋体" w:cs="Times New Roman"/>
          <w:b w:val="0"/>
          <w:i w:val="0"/>
          <w:sz w:val="24"/>
        </w:rPr>
        <w:t>每人精读一篇经核验可用、与课程相关的论文，提交1000—1500字评议，至少提出两条有依据的局限与一项可检验改进，附定位到页/图/表的证据；另交约300字讨论记录。第4讲公布候选，第8、10讲各安排20分钟交流，第10讲统一截止书面成果。</w:t>
      </w:r>
    </w:p>
    <w:p>
      <w:pPr>
        <w:ind w:firstLine="480"/>
      </w:pPr>
      <w:r>
        <w:rPr>
          <w:rFonts w:ascii="Times New Roman" w:hAnsi="Times New Roman" w:eastAsia="宋体" w:cs="Times New Roman"/>
          <w:b w:val="0"/>
          <w:i w:val="0"/>
          <w:sz w:val="24"/>
        </w:rPr>
        <w:t>11—30人班每场安排2项示范报告，每项7分钟报告、3分钟质询，两场共4项；可按相近问题组队报告。所有学生均按相同书面材料评分，是否获选现场报告不改变总评，现场表现用于形成性反馈。候选优先选SELFIES、MPNN/GAT、LOCO-CV、材料预测稳健性论文；选用KnowMat等较后讲主题时，教师应提供必要导读，不额外要求提前掌握完整模型。</w:t>
      </w:r>
    </w:p>
    <w:p>
      <w:pPr>
        <w:keepNext/>
        <w:spacing w:before="120" w:after="60"/>
        <w:jc w:val="left"/>
      </w:pPr>
      <w:r>
        <w:rPr>
          <w:rFonts w:ascii="Arial" w:hAnsi="Arial" w:eastAsia="黑体" w:cs="Arial"/>
          <w:b/>
          <w:i w:val="0"/>
          <w:sz w:val="25"/>
        </w:rPr>
        <w:t>期末项目</w:t>
      </w:r>
    </w:p>
    <w:p>
      <w:pPr>
        <w:ind w:firstLine="480"/>
      </w:pPr>
      <w:r>
        <w:rPr>
          <w:rFonts w:ascii="Times New Roman" w:hAnsi="Times New Roman" w:eastAsia="宋体" w:cs="Times New Roman"/>
          <w:b w:val="0"/>
          <w:i w:val="0"/>
          <w:sz w:val="24"/>
        </w:rPr>
        <w:t>形式统一为A自主课题、B高熵合金案例复现。A鼓励对接博士课题；B必须先确认所选相标签/性能数据确实可获得，不能把综述PPT当作可复现数据集，不能编造硬度标签。若目标性能数据不可获得，应在第8讲立项前换为可获取的数据与问题。</w:t>
      </w:r>
    </w:p>
    <w:p>
      <w:pPr>
        <w:ind w:firstLine="480"/>
      </w:pPr>
      <w:r>
        <w:rPr>
          <w:rFonts w:ascii="Times New Roman" w:hAnsi="Times New Roman" w:eastAsia="宋体" w:cs="Times New Roman"/>
          <w:b w:val="0"/>
          <w:i w:val="0"/>
          <w:sz w:val="24"/>
        </w:rPr>
        <w:t>个人或2—3人组队均可，班级11—30人原则上组织为不超过10项；个人项目也须纳入容量安排，具体展示模式在第8讲立项时公布。第8讲交一页计划，第10讲课堂中期检查，第14讲前收到代码检查反馈，第16讲前24小时交最终材料。</w:t>
      </w:r>
    </w:p>
    <w:p>
      <w:pPr>
        <w:ind w:firstLine="480"/>
      </w:pPr>
      <w:r>
        <w:rPr>
          <w:rFonts w:ascii="Times New Roman" w:hAnsi="Times New Roman" w:eastAsia="宋体" w:cs="Times New Roman"/>
          <w:b w:val="0"/>
          <w:i w:val="0"/>
          <w:sz w:val="24"/>
        </w:rPr>
        <w:t>项目最低证据包括：数据来源/样本单位与许可说明、一个简单基线、与应用相符的无泄漏验证、误差和局限、单位与物理约束审查、下一次实验/计算建议、运行步骤及AI使用/个人贡献声明。并不要求所有项目同时使用深度学习、迁移、BO和PINN。采用历史数据回放时必须逐次隐藏未查询标签，并明确其不构成新实验验证。</w:t>
      </w:r>
    </w:p>
    <w:p>
      <w:pPr>
        <w:ind w:firstLine="480"/>
      </w:pPr>
      <w:r>
        <w:rPr>
          <w:rFonts w:ascii="Times New Roman" w:hAnsi="Times New Roman" w:eastAsia="宋体" w:cs="Times New Roman"/>
          <w:b w:val="0"/>
          <w:i w:val="0"/>
          <w:sz w:val="24"/>
        </w:rPr>
        <w:t>项目方法30分记录数据流程10、应用匹配的评估10、物理/单位及决策边界10；结果25分记录误差与局限15、下一次实验/计算建议10。项目组共享问题、数据、方法与结果评价（项目内90分）；表达与贡献10分按个人答辩和贡献记录评定。争议时通过个人代码解释或短复现核验，不用未经说明的互评分数乘数调整成绩。</w:t>
      </w:r>
    </w:p>
    <w:p>
      <w:pPr>
        <w:ind w:firstLine="480"/>
      </w:pPr>
      <w:r>
        <w:rPr>
          <w:rFonts w:ascii="Times New Roman" w:hAnsi="Times New Roman" w:eastAsia="宋体" w:cs="Times New Roman"/>
          <w:b w:val="0"/>
          <w:i w:val="0"/>
          <w:sz w:val="24"/>
        </w:rPr>
        <w:t>答辩课用5分钟说明、70分钟答辩、15分钟总结。N≤10时每项时段t=min(10,70/N)分钟，其中报告60%、质询30%、切换10%；余时用于交叉点评。若坚持个人项目使N&gt;10，则统一改为课前不超过6分钟报告录像及课堂重点质询，每项课堂时段70/N分钟；评分依据仍为同一报告/材料与个人核验，不临时承诺额外场地或并行评委。录像替代现场主报告，不再提交第二套报告。</w:t>
      </w:r>
    </w:p>
    <w:p>
      <w:pPr>
        <w:keepNext/>
        <w:spacing w:before="200" w:after="100"/>
        <w:jc w:val="left"/>
      </w:pPr>
      <w:r>
        <w:rPr>
          <w:rFonts w:ascii="Arial" w:hAnsi="Arial" w:eastAsia="黑体" w:cs="Arial"/>
          <w:b/>
          <w:i w:val="0"/>
          <w:sz w:val="28"/>
        </w:rPr>
        <w:t>八、课外负荷与学习支持</w:t>
      </w:r>
    </w:p>
    <w:p>
      <w:pPr>
        <w:keepNext/>
        <w:spacing w:before="100" w:after="40" w:line="264" w:lineRule="auto"/>
        <w:jc w:val="center"/>
      </w:pPr>
      <w:r>
        <w:rPr>
          <w:rFonts w:ascii="Arial" w:hAnsi="Arial" w:eastAsia="黑体" w:cs="Arial"/>
          <w:b/>
          <w:i w:val="0"/>
          <w:sz w:val="21"/>
        </w:rPr>
        <w:t>表 8　课外负荷与学习支持</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1793"/>
        <w:gridCol w:w="1536"/>
        <w:gridCol w:w="6271"/>
      </w:tblGrid>
      <w:tr>
        <w:trPr>
          <w:cantSplit/>
          <w:tblHeader/>
        </w:trPr>
        <w:tc>
          <w:tcPr>
            <w:tcW w:type="dxa" w:w="1793"/>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任务</w:t>
            </w:r>
          </w:p>
        </w:tc>
        <w:tc>
          <w:tcPr>
            <w:tcW w:type="dxa" w:w="1536"/>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预计钟点小时</w:t>
            </w:r>
          </w:p>
        </w:tc>
        <w:tc>
          <w:tcPr>
            <w:tcW w:type="dxa" w:w="6271"/>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控制办法</w:t>
            </w:r>
          </w:p>
        </w:tc>
      </w:tr>
      <w:tr>
        <w:trPr>
          <w:cantSplit/>
        </w:trPr>
        <w:tc>
          <w:tcPr>
            <w:tcW w:type="dxa" w:w="1793"/>
            <w:vAlign w:val="center"/>
          </w:tcPr>
          <w:p>
            <w:pPr>
              <w:keepNext/>
              <w:spacing w:before="20" w:after="20" w:line="259" w:lineRule="auto"/>
              <w:ind w:firstLine="0"/>
              <w:jc w:val="left"/>
            </w:pPr>
            <w:r>
              <w:rPr>
                <w:rFonts w:ascii="Times New Roman" w:hAnsi="Times New Roman" w:eastAsia="宋体" w:cs="Times New Roman"/>
                <w:b w:val="0"/>
                <w:i w:val="0"/>
                <w:sz w:val="20"/>
              </w:rPr>
              <w:t>环境准备及补课</w:t>
            </w:r>
          </w:p>
        </w:tc>
        <w:tc>
          <w:tcPr>
            <w:tcW w:type="dxa" w:w="1536"/>
            <w:vAlign w:val="center"/>
          </w:tcPr>
          <w:p>
            <w:pPr>
              <w:keepNext/>
              <w:spacing w:before="20" w:after="20" w:line="259" w:lineRule="auto"/>
              <w:ind w:firstLine="0"/>
              <w:jc w:val="left"/>
            </w:pPr>
            <w:r>
              <w:rPr>
                <w:rFonts w:ascii="Times New Roman" w:hAnsi="Times New Roman" w:eastAsia="宋体" w:cs="Times New Roman"/>
                <w:b w:val="0"/>
                <w:i w:val="0"/>
                <w:sz w:val="20"/>
              </w:rPr>
              <w:t>1—2</w:t>
            </w:r>
          </w:p>
        </w:tc>
        <w:tc>
          <w:tcPr>
            <w:tcW w:type="dxa" w:w="6271"/>
            <w:vAlign w:val="center"/>
          </w:tcPr>
          <w:p>
            <w:pPr>
              <w:keepNext/>
              <w:spacing w:before="20" w:after="20" w:line="259" w:lineRule="auto"/>
              <w:ind w:firstLine="0"/>
              <w:jc w:val="left"/>
            </w:pPr>
            <w:r>
              <w:rPr>
                <w:rFonts w:ascii="Times New Roman" w:hAnsi="Times New Roman" w:eastAsia="宋体" w:cs="Times New Roman"/>
                <w:b w:val="0"/>
                <w:i w:val="0"/>
                <w:sz w:val="20"/>
              </w:rPr>
              <w:t>第1讲前完成；困难者用课堂指定替代环境/数据</w:t>
            </w:r>
          </w:p>
        </w:tc>
      </w:tr>
      <w:tr>
        <w:trPr>
          <w:cantSplit/>
        </w:trPr>
        <w:tc>
          <w:tcPr>
            <w:tcW w:type="dxa" w:w="1793"/>
            <w:vAlign w:val="center"/>
          </w:tcPr>
          <w:p>
            <w:pPr>
              <w:keepNext/>
              <w:spacing w:before="20" w:after="20" w:line="259" w:lineRule="auto"/>
              <w:ind w:firstLine="0"/>
              <w:jc w:val="left"/>
            </w:pPr>
            <w:r>
              <w:rPr>
                <w:rFonts w:ascii="Times New Roman" w:hAnsi="Times New Roman" w:eastAsia="宋体" w:cs="Times New Roman"/>
                <w:b w:val="0"/>
                <w:i w:val="0"/>
                <w:sz w:val="20"/>
              </w:rPr>
              <w:t>指定预习与回顾</w:t>
            </w:r>
          </w:p>
        </w:tc>
        <w:tc>
          <w:tcPr>
            <w:tcW w:type="dxa" w:w="1536"/>
            <w:vAlign w:val="center"/>
          </w:tcPr>
          <w:p>
            <w:pPr>
              <w:keepNext/>
              <w:spacing w:before="20" w:after="20" w:line="259" w:lineRule="auto"/>
              <w:ind w:firstLine="0"/>
              <w:jc w:val="left"/>
            </w:pPr>
            <w:r>
              <w:rPr>
                <w:rFonts w:ascii="Times New Roman" w:hAnsi="Times New Roman" w:eastAsia="宋体" w:cs="Times New Roman"/>
                <w:b w:val="0"/>
                <w:i w:val="0"/>
                <w:sz w:val="20"/>
              </w:rPr>
              <w:t>4—6</w:t>
            </w:r>
          </w:p>
        </w:tc>
        <w:tc>
          <w:tcPr>
            <w:tcW w:type="dxa" w:w="6271"/>
            <w:vAlign w:val="center"/>
          </w:tcPr>
          <w:p>
            <w:pPr>
              <w:keepNext/>
              <w:spacing w:before="20" w:after="20" w:line="259" w:lineRule="auto"/>
              <w:ind w:firstLine="0"/>
              <w:jc w:val="left"/>
            </w:pPr>
            <w:r>
              <w:rPr>
                <w:rFonts w:ascii="Times New Roman" w:hAnsi="Times New Roman" w:eastAsia="宋体" w:cs="Times New Roman"/>
                <w:b w:val="0"/>
                <w:i w:val="0"/>
                <w:sz w:val="20"/>
              </w:rPr>
              <w:t>每讲只指定少量页/图，不要求通读全部参考书</w:t>
            </w:r>
          </w:p>
        </w:tc>
      </w:tr>
      <w:tr>
        <w:trPr>
          <w:cantSplit/>
        </w:trPr>
        <w:tc>
          <w:tcPr>
            <w:tcW w:type="dxa" w:w="1793"/>
            <w:vAlign w:val="center"/>
          </w:tcPr>
          <w:p>
            <w:pPr>
              <w:keepNext/>
              <w:spacing w:before="20" w:after="20" w:line="259" w:lineRule="auto"/>
              <w:ind w:firstLine="0"/>
              <w:jc w:val="left"/>
            </w:pPr>
            <w:r>
              <w:rPr>
                <w:rFonts w:ascii="Times New Roman" w:hAnsi="Times New Roman" w:eastAsia="宋体" w:cs="Times New Roman"/>
                <w:b w:val="0"/>
                <w:i w:val="0"/>
                <w:sz w:val="20"/>
              </w:rPr>
              <w:t>四次作业</w:t>
            </w:r>
          </w:p>
        </w:tc>
        <w:tc>
          <w:tcPr>
            <w:tcW w:type="dxa" w:w="1536"/>
            <w:vAlign w:val="center"/>
          </w:tcPr>
          <w:p>
            <w:pPr>
              <w:keepNext/>
              <w:spacing w:before="20" w:after="20" w:line="259" w:lineRule="auto"/>
              <w:ind w:firstLine="0"/>
              <w:jc w:val="left"/>
            </w:pPr>
            <w:r>
              <w:rPr>
                <w:rFonts w:ascii="Times New Roman" w:hAnsi="Times New Roman" w:eastAsia="宋体" w:cs="Times New Roman"/>
                <w:b w:val="0"/>
                <w:i w:val="0"/>
                <w:sz w:val="20"/>
              </w:rPr>
              <w:t>15—19</w:t>
            </w:r>
          </w:p>
        </w:tc>
        <w:tc>
          <w:tcPr>
            <w:tcW w:type="dxa" w:w="6271"/>
            <w:vAlign w:val="center"/>
          </w:tcPr>
          <w:p>
            <w:pPr>
              <w:keepNext/>
              <w:spacing w:before="20" w:after="20" w:line="259" w:lineRule="auto"/>
              <w:ind w:firstLine="0"/>
              <w:jc w:val="left"/>
            </w:pPr>
            <w:r>
              <w:rPr>
                <w:rFonts w:ascii="Times New Roman" w:hAnsi="Times New Roman" w:eastAsia="宋体" w:cs="Times New Roman"/>
                <w:b w:val="0"/>
                <w:i w:val="0"/>
                <w:sz w:val="20"/>
              </w:rPr>
              <w:t>3—4 + 4—5 + 4—5 + 4—5；复用课程数据</w:t>
            </w:r>
          </w:p>
        </w:tc>
      </w:tr>
      <w:tr>
        <w:trPr>
          <w:cantSplit/>
        </w:trPr>
        <w:tc>
          <w:tcPr>
            <w:tcW w:type="dxa" w:w="1793"/>
            <w:vAlign w:val="center"/>
          </w:tcPr>
          <w:p>
            <w:pPr>
              <w:keepNext/>
              <w:spacing w:before="20" w:after="20" w:line="259" w:lineRule="auto"/>
              <w:ind w:firstLine="0"/>
              <w:jc w:val="left"/>
            </w:pPr>
            <w:r>
              <w:rPr>
                <w:rFonts w:ascii="Times New Roman" w:hAnsi="Times New Roman" w:eastAsia="宋体" w:cs="Times New Roman"/>
                <w:b w:val="0"/>
                <w:i w:val="0"/>
                <w:sz w:val="20"/>
              </w:rPr>
              <w:t>论文评议与讨论记录</w:t>
            </w:r>
          </w:p>
        </w:tc>
        <w:tc>
          <w:tcPr>
            <w:tcW w:type="dxa" w:w="1536"/>
            <w:vAlign w:val="center"/>
          </w:tcPr>
          <w:p>
            <w:pPr>
              <w:keepNext/>
              <w:spacing w:before="20" w:after="20" w:line="259" w:lineRule="auto"/>
              <w:ind w:firstLine="0"/>
              <w:jc w:val="left"/>
            </w:pPr>
            <w:r>
              <w:rPr>
                <w:rFonts w:ascii="Times New Roman" w:hAnsi="Times New Roman" w:eastAsia="宋体" w:cs="Times New Roman"/>
                <w:b w:val="0"/>
                <w:i w:val="0"/>
                <w:sz w:val="20"/>
              </w:rPr>
              <w:t>2—3</w:t>
            </w:r>
          </w:p>
        </w:tc>
        <w:tc>
          <w:tcPr>
            <w:tcW w:type="dxa" w:w="6271"/>
            <w:vAlign w:val="center"/>
          </w:tcPr>
          <w:p>
            <w:pPr>
              <w:keepNext/>
              <w:spacing w:before="20" w:after="20" w:line="259" w:lineRule="auto"/>
              <w:ind w:firstLine="0"/>
              <w:jc w:val="left"/>
            </w:pPr>
            <w:r>
              <w:rPr>
                <w:rFonts w:ascii="Times New Roman" w:hAnsi="Times New Roman" w:eastAsia="宋体" w:cs="Times New Roman"/>
                <w:b w:val="0"/>
                <w:i w:val="0"/>
                <w:sz w:val="20"/>
              </w:rPr>
              <w:t>一篇精读、一次统一书面提交</w:t>
            </w:r>
          </w:p>
        </w:tc>
      </w:tr>
      <w:tr>
        <w:trPr>
          <w:cantSplit/>
        </w:trPr>
        <w:tc>
          <w:tcPr>
            <w:tcW w:type="dxa" w:w="1793"/>
            <w:vAlign w:val="center"/>
          </w:tcPr>
          <w:p>
            <w:pPr>
              <w:keepNext/>
              <w:spacing w:before="20" w:after="20" w:line="259" w:lineRule="auto"/>
              <w:ind w:firstLine="0"/>
              <w:jc w:val="left"/>
            </w:pPr>
            <w:r>
              <w:rPr>
                <w:rFonts w:ascii="Times New Roman" w:hAnsi="Times New Roman" w:eastAsia="宋体" w:cs="Times New Roman"/>
                <w:b w:val="0"/>
                <w:i w:val="0"/>
                <w:sz w:val="20"/>
              </w:rPr>
              <w:t>项目新增工作</w:t>
            </w:r>
          </w:p>
        </w:tc>
        <w:tc>
          <w:tcPr>
            <w:tcW w:type="dxa" w:w="1536"/>
            <w:vAlign w:val="center"/>
          </w:tcPr>
          <w:p>
            <w:pPr>
              <w:keepNext/>
              <w:spacing w:before="20" w:after="20" w:line="259" w:lineRule="auto"/>
              <w:ind w:firstLine="0"/>
              <w:jc w:val="left"/>
            </w:pPr>
            <w:r>
              <w:rPr>
                <w:rFonts w:ascii="Times New Roman" w:hAnsi="Times New Roman" w:eastAsia="宋体" w:cs="Times New Roman"/>
                <w:b w:val="0"/>
                <w:i w:val="0"/>
                <w:sz w:val="20"/>
              </w:rPr>
              <w:t>8—10</w:t>
            </w:r>
          </w:p>
        </w:tc>
        <w:tc>
          <w:tcPr>
            <w:tcW w:type="dxa" w:w="6271"/>
            <w:vAlign w:val="center"/>
          </w:tcPr>
          <w:p>
            <w:pPr>
              <w:keepNext/>
              <w:spacing w:before="20" w:after="20" w:line="259" w:lineRule="auto"/>
              <w:ind w:firstLine="0"/>
              <w:jc w:val="left"/>
            </w:pPr>
            <w:r>
              <w:rPr>
                <w:rFonts w:ascii="Times New Roman" w:hAnsi="Times New Roman" w:eastAsia="宋体" w:cs="Times New Roman"/>
                <w:b w:val="0"/>
                <w:i w:val="0"/>
                <w:sz w:val="20"/>
              </w:rPr>
              <w:t>可复用作业代码与数据；按项目新分析核算，避免重复估算</w:t>
            </w:r>
          </w:p>
        </w:tc>
      </w:tr>
      <w:tr>
        <w:trPr>
          <w:cantSplit/>
        </w:trPr>
        <w:tc>
          <w:tcPr>
            <w:tcW w:type="dxa" w:w="1793"/>
            <w:vAlign w:val="center"/>
          </w:tcPr>
          <w:p>
            <w:pPr>
              <w:spacing w:before="20" w:after="20" w:line="259" w:lineRule="auto"/>
              <w:ind w:firstLine="0"/>
              <w:jc w:val="left"/>
            </w:pPr>
            <w:r>
              <w:rPr>
                <w:rFonts w:ascii="Times New Roman" w:hAnsi="Times New Roman" w:eastAsia="宋体" w:cs="Times New Roman"/>
                <w:b w:val="0"/>
                <w:i w:val="0"/>
                <w:sz w:val="20"/>
              </w:rPr>
              <w:t>合计</w:t>
            </w:r>
          </w:p>
        </w:tc>
        <w:tc>
          <w:tcPr>
            <w:tcW w:type="dxa" w:w="1536"/>
            <w:vAlign w:val="center"/>
          </w:tcPr>
          <w:p>
            <w:pPr>
              <w:spacing w:before="20" w:after="20" w:line="259" w:lineRule="auto"/>
              <w:ind w:firstLine="0"/>
              <w:jc w:val="left"/>
            </w:pPr>
            <w:r>
              <w:rPr>
                <w:rFonts w:ascii="Times New Roman" w:hAnsi="Times New Roman" w:eastAsia="宋体" w:cs="Times New Roman"/>
                <w:b w:val="0"/>
                <w:i w:val="0"/>
                <w:sz w:val="20"/>
              </w:rPr>
              <w:t>30—40</w:t>
            </w:r>
          </w:p>
        </w:tc>
        <w:tc>
          <w:tcPr>
            <w:tcW w:type="dxa" w:w="6271"/>
            <w:vAlign w:val="center"/>
          </w:tcPr>
          <w:p>
            <w:pPr>
              <w:spacing w:before="20" w:after="20" w:line="259" w:lineRule="auto"/>
              <w:ind w:firstLine="0"/>
              <w:jc w:val="left"/>
            </w:pPr>
            <w:r>
              <w:rPr>
                <w:rFonts w:ascii="Times New Roman" w:hAnsi="Times New Roman" w:eastAsia="宋体" w:cs="Times New Roman"/>
                <w:b w:val="0"/>
                <w:i w:val="0"/>
                <w:sz w:val="20"/>
              </w:rPr>
              <w:t>初步设计估计，不等于已实测工时；第6、10讲采集反馈后调整拓展任务</w:t>
            </w:r>
          </w:p>
        </w:tc>
      </w:tr>
    </w:tbl>
    <w:p>
      <w:pPr>
        <w:ind w:firstLine="480"/>
      </w:pPr>
      <w:r>
        <w:rPr>
          <w:rFonts w:ascii="Times New Roman" w:hAnsi="Times New Roman" w:eastAsia="宋体" w:cs="Times New Roman"/>
          <w:b w:val="0"/>
          <w:i w:val="0"/>
          <w:sz w:val="24"/>
        </w:rPr>
        <w:t>第8周保留HW4与项目两项截止，已将HW3移到第7周、论文评议移到第5周；不宣称第8周“没有峰值”。具体周负荷见授课计划。学生自有科研数据不得未经许可上传在线模型；提供可公开的小数据等价路径。</w:t>
      </w:r>
    </w:p>
    <w:p>
      <w:pPr>
        <w:keepNext/>
        <w:spacing w:before="200" w:after="100"/>
        <w:jc w:val="left"/>
      </w:pPr>
      <w:r>
        <w:rPr>
          <w:rFonts w:ascii="Arial" w:hAnsi="Arial" w:eastAsia="黑体" w:cs="Arial"/>
          <w:b/>
          <w:i w:val="0"/>
          <w:sz w:val="28"/>
        </w:rPr>
        <w:t>九、建议教材及教学参考书</w:t>
      </w:r>
    </w:p>
    <w:p>
      <w:pPr>
        <w:ind w:firstLine="480"/>
      </w:pPr>
      <w:r>
        <w:rPr>
          <w:rFonts w:ascii="Times New Roman" w:hAnsi="Times New Roman" w:eastAsia="宋体" w:cs="Times New Roman"/>
          <w:b w:val="0"/>
          <w:i w:val="0"/>
          <w:sz w:val="24"/>
        </w:rPr>
        <w:t>以下书目信息按本地PDF题名页和版权页核对，不将英文版冒称中文上下卷。</w:t>
      </w:r>
    </w:p>
    <w:p>
      <w:pPr>
        <w:keepNext/>
        <w:spacing w:before="100" w:after="40" w:line="264" w:lineRule="auto"/>
        <w:jc w:val="center"/>
      </w:pPr>
      <w:r>
        <w:rPr>
          <w:rFonts w:ascii="Arial" w:hAnsi="Arial" w:eastAsia="黑体" w:cs="Arial"/>
          <w:b/>
          <w:i w:val="0"/>
          <w:sz w:val="21"/>
        </w:rPr>
        <w:t>表 9　教材与参考资料</w:t>
      </w:r>
    </w:p>
    <w:tbl>
      <w:tblPr>
        <w:tblLook w:firstColumn="1" w:firstRow="1" w:lastColumn="0" w:lastRow="0" w:noHBand="0" w:noVBand="1" w:val="04A0"/>
        <w:tblW w:w="96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Pr>
      <w:tblGrid>
        <w:gridCol w:w="1332"/>
        <w:gridCol w:w="5428"/>
        <w:gridCol w:w="2840"/>
      </w:tblGrid>
      <w:tr>
        <w:trPr>
          <w:cantSplit/>
          <w:tblHeader/>
        </w:trPr>
        <w:tc>
          <w:tcPr>
            <w:tcW w:type="dxa" w:w="1332"/>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类别</w:t>
            </w:r>
          </w:p>
        </w:tc>
        <w:tc>
          <w:tcPr>
            <w:tcW w:type="dxa" w:w="5428"/>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书目信息</w:t>
            </w:r>
          </w:p>
        </w:tc>
        <w:tc>
          <w:tcPr>
            <w:tcW w:type="dxa" w:w="2840"/>
            <w:shd w:val="clear" w:color="auto" w:fill="F2F2F2"/>
            <w:vAlign w:val="center"/>
          </w:tcPr>
          <w:p>
            <w:pPr>
              <w:keepNext/>
              <w:spacing w:before="20" w:after="20" w:line="259" w:lineRule="auto"/>
              <w:ind w:firstLine="0"/>
              <w:jc w:val="left"/>
            </w:pPr>
            <w:r>
              <w:rPr>
                <w:rFonts w:ascii="Times New Roman" w:hAnsi="Times New Roman" w:eastAsia="宋体" w:cs="Times New Roman"/>
                <w:b/>
                <w:i w:val="0"/>
                <w:sz w:val="20"/>
              </w:rPr>
              <w:t>主要支撑</w:t>
            </w:r>
          </w:p>
        </w:tc>
      </w:tr>
      <w:tr>
        <w:trPr>
          <w:cantSplit/>
        </w:trPr>
        <w:tc>
          <w:tcPr>
            <w:tcW w:type="dxa" w:w="1332"/>
            <w:vAlign w:val="center"/>
          </w:tcPr>
          <w:p>
            <w:pPr>
              <w:keepNext/>
              <w:spacing w:before="20" w:after="20" w:line="259" w:lineRule="auto"/>
              <w:ind w:firstLine="0"/>
              <w:jc w:val="left"/>
            </w:pPr>
            <w:r>
              <w:rPr>
                <w:rFonts w:ascii="Times New Roman" w:hAnsi="Times New Roman" w:eastAsia="宋体" w:cs="Times New Roman"/>
                <w:b w:val="0"/>
                <w:i w:val="0"/>
                <w:sz w:val="20"/>
              </w:rPr>
              <w:t>教材</w:t>
            </w:r>
          </w:p>
        </w:tc>
        <w:tc>
          <w:tcPr>
            <w:tcW w:type="dxa" w:w="5428"/>
            <w:vAlign w:val="center"/>
          </w:tcPr>
          <w:p>
            <w:pPr>
              <w:keepNext/>
              <w:spacing w:before="20" w:after="20" w:line="259" w:lineRule="auto"/>
              <w:ind w:firstLine="0"/>
              <w:jc w:val="left"/>
            </w:pPr>
            <w:r>
              <w:rPr>
                <w:rFonts w:ascii="Times New Roman" w:hAnsi="Times New Roman" w:eastAsia="宋体" w:cs="Times New Roman"/>
                <w:b w:val="0"/>
                <w:i w:val="0"/>
                <w:sz w:val="20"/>
              </w:rPr>
              <w:t xml:space="preserve">Gareth James, Daniela Witten, Trevor Hastie, Robert Tibshirani, Jonathan Taylor. </w:t>
            </w:r>
            <w:r>
              <w:rPr>
                <w:rFonts w:ascii="Times New Roman" w:hAnsi="Times New Roman" w:eastAsia="宋体" w:cs="Times New Roman"/>
                <w:b w:val="0"/>
                <w:i/>
                <w:sz w:val="20"/>
              </w:rPr>
              <w:t>An Introduction to Statistical Learning: with Applications in Python</w:t>
            </w:r>
            <w:r>
              <w:rPr>
                <w:rFonts w:ascii="Times New Roman" w:hAnsi="Times New Roman" w:eastAsia="宋体" w:cs="Times New Roman"/>
                <w:b w:val="0"/>
                <w:i w:val="0"/>
                <w:sz w:val="20"/>
              </w:rPr>
              <w:t>. Springer, 2023. ISBN 978-3-031-38746-3；电子版978-3-031-38747-0</w:t>
            </w:r>
          </w:p>
        </w:tc>
        <w:tc>
          <w:tcPr>
            <w:tcW w:type="dxa" w:w="2840"/>
            <w:vAlign w:val="center"/>
          </w:tcPr>
          <w:p>
            <w:pPr>
              <w:keepNext/>
              <w:spacing w:before="20" w:after="20" w:line="259" w:lineRule="auto"/>
              <w:ind w:firstLine="0"/>
              <w:jc w:val="left"/>
            </w:pPr>
            <w:r>
              <w:rPr>
                <w:rFonts w:ascii="Times New Roman" w:hAnsi="Times New Roman" w:eastAsia="宋体" w:cs="Times New Roman"/>
                <w:b w:val="0"/>
                <w:i w:val="0"/>
                <w:sz w:val="20"/>
              </w:rPr>
              <w:t>第2章先修；第3—6、8—10、12章分别用于回归、分类、评估、正则化、集成、SVM、深度与无监督；第7章拓展</w:t>
            </w:r>
          </w:p>
        </w:tc>
      </w:tr>
      <w:tr>
        <w:trPr>
          <w:cantSplit/>
        </w:trPr>
        <w:tc>
          <w:tcPr>
            <w:tcW w:type="dxa" w:w="1332"/>
            <w:vAlign w:val="center"/>
          </w:tcPr>
          <w:p>
            <w:pPr>
              <w:keepNext/>
              <w:spacing w:before="20" w:after="20" w:line="259" w:lineRule="auto"/>
              <w:ind w:firstLine="0"/>
              <w:jc w:val="left"/>
            </w:pPr>
            <w:r>
              <w:rPr>
                <w:rFonts w:ascii="Times New Roman" w:hAnsi="Times New Roman" w:eastAsia="宋体" w:cs="Times New Roman"/>
                <w:b w:val="0"/>
                <w:i w:val="0"/>
                <w:sz w:val="20"/>
              </w:rPr>
              <w:t>参考书Ⅰ</w:t>
            </w:r>
          </w:p>
        </w:tc>
        <w:tc>
          <w:tcPr>
            <w:tcW w:type="dxa" w:w="5428"/>
            <w:vAlign w:val="center"/>
          </w:tcPr>
          <w:p>
            <w:pPr>
              <w:keepNext/>
              <w:spacing w:before="20" w:after="20" w:line="259" w:lineRule="auto"/>
              <w:ind w:firstLine="0"/>
              <w:jc w:val="left"/>
            </w:pPr>
            <w:r>
              <w:rPr>
                <w:rFonts w:ascii="Times New Roman" w:hAnsi="Times New Roman" w:eastAsia="宋体" w:cs="Times New Roman"/>
                <w:b w:val="0"/>
                <w:i w:val="0"/>
                <w:sz w:val="20"/>
              </w:rPr>
              <w:t xml:space="preserve">Tongyi Zhang. </w:t>
            </w:r>
            <w:r>
              <w:rPr>
                <w:rFonts w:ascii="Times New Roman" w:hAnsi="Times New Roman" w:eastAsia="宋体" w:cs="Times New Roman"/>
                <w:b w:val="0"/>
                <w:i/>
                <w:sz w:val="20"/>
              </w:rPr>
              <w:t>An Introduction to Materials Informatics: The Elements of Machine Learning</w:t>
            </w:r>
            <w:r>
              <w:rPr>
                <w:rFonts w:ascii="Times New Roman" w:hAnsi="Times New Roman" w:eastAsia="宋体" w:cs="Times New Roman"/>
                <w:b w:val="0"/>
                <w:i w:val="0"/>
                <w:sz w:val="20"/>
              </w:rPr>
              <w:t>. Springer/Science Press；本地版权页为2025、2026订正出版。ISBN 978-981-99-7991-2；电子版978-981-99-7992-9</w:t>
            </w:r>
          </w:p>
        </w:tc>
        <w:tc>
          <w:tcPr>
            <w:tcW w:type="dxa" w:w="2840"/>
            <w:vAlign w:val="center"/>
          </w:tcPr>
          <w:p>
            <w:pPr>
              <w:keepNext/>
              <w:spacing w:before="20" w:after="20" w:line="259" w:lineRule="auto"/>
              <w:ind w:firstLine="0"/>
              <w:jc w:val="left"/>
            </w:pPr>
            <w:r>
              <w:rPr>
                <w:rFonts w:ascii="Times New Roman" w:hAnsi="Times New Roman" w:eastAsia="宋体" w:cs="Times New Roman"/>
                <w:b w:val="0"/>
                <w:i w:val="0"/>
                <w:sz w:val="20"/>
              </w:rPr>
              <w:t>第2—7、9、11—12章：经典方法、GP、神经网络、特征选择与解释</w:t>
            </w:r>
          </w:p>
        </w:tc>
      </w:tr>
      <w:tr>
        <w:trPr>
          <w:cantSplit/>
        </w:trPr>
        <w:tc>
          <w:tcPr>
            <w:tcW w:type="dxa" w:w="1332"/>
            <w:vAlign w:val="center"/>
          </w:tcPr>
          <w:p>
            <w:pPr>
              <w:keepNext/>
              <w:spacing w:before="20" w:after="20" w:line="259" w:lineRule="auto"/>
              <w:ind w:firstLine="0"/>
              <w:jc w:val="left"/>
            </w:pPr>
            <w:r>
              <w:rPr>
                <w:rFonts w:ascii="Times New Roman" w:hAnsi="Times New Roman" w:eastAsia="宋体" w:cs="Times New Roman"/>
                <w:b w:val="0"/>
                <w:i w:val="0"/>
                <w:sz w:val="20"/>
              </w:rPr>
              <w:t>参考书Ⅱ</w:t>
            </w:r>
          </w:p>
        </w:tc>
        <w:tc>
          <w:tcPr>
            <w:tcW w:type="dxa" w:w="5428"/>
            <w:vAlign w:val="center"/>
          </w:tcPr>
          <w:p>
            <w:pPr>
              <w:keepNext/>
              <w:spacing w:before="20" w:after="20" w:line="259" w:lineRule="auto"/>
              <w:ind w:firstLine="0"/>
              <w:jc w:val="left"/>
            </w:pPr>
            <w:r>
              <w:rPr>
                <w:rFonts w:ascii="Times New Roman" w:hAnsi="Times New Roman" w:eastAsia="宋体" w:cs="Times New Roman"/>
                <w:b w:val="0"/>
                <w:i w:val="0"/>
                <w:sz w:val="20"/>
              </w:rPr>
              <w:t xml:space="preserve">Tongyi Zhang. </w:t>
            </w:r>
            <w:r>
              <w:rPr>
                <w:rFonts w:ascii="Times New Roman" w:hAnsi="Times New Roman" w:eastAsia="宋体" w:cs="Times New Roman"/>
                <w:b w:val="0"/>
                <w:i/>
                <w:sz w:val="20"/>
              </w:rPr>
              <w:t>An Introduction to Materials Informatics: Advanced Machine Learning</w:t>
            </w:r>
            <w:r>
              <w:rPr>
                <w:rFonts w:ascii="Times New Roman" w:hAnsi="Times New Roman" w:eastAsia="宋体" w:cs="Times New Roman"/>
                <w:b w:val="0"/>
                <w:i w:val="0"/>
                <w:sz w:val="20"/>
              </w:rPr>
              <w:t>. Springer/Science Press, 2026. ISBN 978-981-95-6090-5；电子版978-981-95-6091-2</w:t>
            </w:r>
          </w:p>
        </w:tc>
        <w:tc>
          <w:tcPr>
            <w:tcW w:type="dxa" w:w="2840"/>
            <w:vAlign w:val="center"/>
          </w:tcPr>
          <w:p>
            <w:pPr>
              <w:keepNext/>
              <w:spacing w:before="20" w:after="20" w:line="259" w:lineRule="auto"/>
              <w:ind w:firstLine="0"/>
              <w:jc w:val="left"/>
            </w:pPr>
            <w:r>
              <w:rPr>
                <w:rFonts w:ascii="Times New Roman" w:hAnsi="Times New Roman" w:eastAsia="宋体" w:cs="Times New Roman"/>
                <w:b w:val="0"/>
                <w:i w:val="0"/>
                <w:sz w:val="20"/>
              </w:rPr>
              <w:t>第1章BGO、第3章迁移、第5/7章CNN/GNN、第8—10章生成与注意力、第11章PINN</w:t>
            </w:r>
          </w:p>
        </w:tc>
      </w:tr>
      <w:tr>
        <w:trPr>
          <w:cantSplit/>
        </w:trPr>
        <w:tc>
          <w:tcPr>
            <w:tcW w:type="dxa" w:w="1332"/>
            <w:vAlign w:val="center"/>
          </w:tcPr>
          <w:p>
            <w:pPr>
              <w:keepNext/>
              <w:spacing w:before="20" w:after="20" w:line="259" w:lineRule="auto"/>
              <w:ind w:firstLine="0"/>
              <w:jc w:val="left"/>
            </w:pPr>
            <w:r>
              <w:rPr>
                <w:rFonts w:ascii="Times New Roman" w:hAnsi="Times New Roman" w:eastAsia="宋体" w:cs="Times New Roman"/>
                <w:b w:val="0"/>
                <w:i w:val="0"/>
                <w:sz w:val="20"/>
              </w:rPr>
              <w:t>开放课程</w:t>
            </w:r>
          </w:p>
        </w:tc>
        <w:tc>
          <w:tcPr>
            <w:tcW w:type="dxa" w:w="5428"/>
            <w:vAlign w:val="center"/>
          </w:tcPr>
          <w:p>
            <w:pPr>
              <w:keepNext/>
              <w:spacing w:before="20" w:after="20" w:line="259" w:lineRule="auto"/>
              <w:ind w:firstLine="0"/>
              <w:jc w:val="left"/>
            </w:pPr>
            <w:r>
              <w:rPr>
                <w:rFonts w:ascii="Times New Roman" w:hAnsi="Times New Roman" w:eastAsia="宋体" w:cs="Times New Roman"/>
                <w:b w:val="0"/>
                <w:i w:val="0"/>
                <w:sz w:val="20"/>
              </w:rPr>
              <w:t>本地MaterialsInformatics，犹他大学MSE5540/6640，Spring 2026资料快照</w:t>
            </w:r>
          </w:p>
        </w:tc>
        <w:tc>
          <w:tcPr>
            <w:tcW w:type="dxa" w:w="2840"/>
            <w:vAlign w:val="center"/>
          </w:tcPr>
          <w:p>
            <w:pPr>
              <w:keepNext/>
              <w:spacing w:before="20" w:after="20" w:line="259" w:lineRule="auto"/>
              <w:ind w:firstLine="0"/>
              <w:jc w:val="left"/>
            </w:pPr>
            <w:r>
              <w:rPr>
                <w:rFonts w:ascii="Times New Roman" w:hAnsi="Times New Roman" w:eastAsia="宋体" w:cs="Times New Roman"/>
                <w:b w:val="0"/>
                <w:i w:val="0"/>
                <w:sz w:val="20"/>
              </w:rPr>
              <w:t>作为素材库，按本课程先修、时长和考核需求筛选</w:t>
            </w:r>
          </w:p>
        </w:tc>
      </w:tr>
      <w:tr>
        <w:trPr>
          <w:cantSplit/>
        </w:trPr>
        <w:tc>
          <w:tcPr>
            <w:tcW w:type="dxa" w:w="1332"/>
            <w:vAlign w:val="center"/>
          </w:tcPr>
          <w:p>
            <w:pPr>
              <w:keepNext/>
              <w:spacing w:before="20" w:after="20" w:line="259" w:lineRule="auto"/>
              <w:ind w:firstLine="0"/>
              <w:jc w:val="left"/>
            </w:pPr>
            <w:r>
              <w:rPr>
                <w:rFonts w:ascii="Times New Roman" w:hAnsi="Times New Roman" w:eastAsia="宋体" w:cs="Times New Roman"/>
                <w:b w:val="0"/>
                <w:i w:val="0"/>
                <w:sz w:val="20"/>
              </w:rPr>
              <w:t>方法专著</w:t>
            </w:r>
          </w:p>
        </w:tc>
        <w:tc>
          <w:tcPr>
            <w:tcW w:type="dxa" w:w="5428"/>
            <w:vAlign w:val="center"/>
          </w:tcPr>
          <w:p>
            <w:pPr>
              <w:keepNext/>
              <w:spacing w:before="20" w:after="20" w:line="259" w:lineRule="auto"/>
              <w:ind w:firstLine="0"/>
              <w:jc w:val="left"/>
            </w:pPr>
            <w:r>
              <w:rPr>
                <w:rFonts w:ascii="Times New Roman" w:hAnsi="Times New Roman" w:eastAsia="宋体" w:cs="Times New Roman"/>
                <w:b w:val="0"/>
                <w:i w:val="0"/>
                <w:sz w:val="20"/>
              </w:rPr>
              <w:t xml:space="preserve">Rasmussen &amp; Williams. </w:t>
            </w:r>
            <w:r>
              <w:rPr>
                <w:rFonts w:ascii="Times New Roman" w:hAnsi="Times New Roman" w:eastAsia="宋体" w:cs="Times New Roman"/>
                <w:b w:val="0"/>
                <w:i/>
                <w:sz w:val="20"/>
              </w:rPr>
              <w:t>Gaussian Processes for Machine Learning</w:t>
            </w:r>
            <w:r>
              <w:rPr>
                <w:rFonts w:ascii="Times New Roman" w:hAnsi="Times New Roman" w:eastAsia="宋体" w:cs="Times New Roman"/>
                <w:b w:val="0"/>
                <w:i w:val="0"/>
                <w:sz w:val="20"/>
              </w:rPr>
              <w:t>. MIT Press, 2006，本地PDF</w:t>
            </w:r>
          </w:p>
        </w:tc>
        <w:tc>
          <w:tcPr>
            <w:tcW w:type="dxa" w:w="2840"/>
            <w:vAlign w:val="center"/>
          </w:tcPr>
          <w:p>
            <w:pPr>
              <w:keepNext/>
              <w:spacing w:before="20" w:after="20" w:line="259" w:lineRule="auto"/>
              <w:ind w:firstLine="0"/>
              <w:jc w:val="left"/>
            </w:pPr>
            <w:r>
              <w:rPr>
                <w:rFonts w:ascii="Times New Roman" w:hAnsi="Times New Roman" w:eastAsia="宋体" w:cs="Times New Roman"/>
                <w:b w:val="0"/>
                <w:i w:val="0"/>
                <w:sz w:val="20"/>
              </w:rPr>
              <w:t>第2章选段，支撑第13—14讲</w:t>
            </w:r>
          </w:p>
        </w:tc>
      </w:tr>
      <w:tr>
        <w:trPr>
          <w:cantSplit/>
        </w:trPr>
        <w:tc>
          <w:tcPr>
            <w:tcW w:type="dxa" w:w="1332"/>
            <w:vAlign w:val="center"/>
          </w:tcPr>
          <w:p>
            <w:pPr>
              <w:spacing w:before="20" w:after="20" w:line="259" w:lineRule="auto"/>
              <w:ind w:firstLine="0"/>
              <w:jc w:val="left"/>
            </w:pPr>
            <w:r>
              <w:rPr>
                <w:rFonts w:ascii="Times New Roman" w:hAnsi="Times New Roman" w:eastAsia="宋体" w:cs="Times New Roman"/>
                <w:b w:val="0"/>
                <w:i w:val="0"/>
                <w:sz w:val="20"/>
              </w:rPr>
              <w:t>工程与案例</w:t>
            </w:r>
          </w:p>
        </w:tc>
        <w:tc>
          <w:tcPr>
            <w:tcW w:type="dxa" w:w="5428"/>
            <w:vAlign w:val="center"/>
          </w:tcPr>
          <w:p>
            <w:pPr>
              <w:spacing w:before="20" w:after="20" w:line="259" w:lineRule="auto"/>
              <w:ind w:firstLine="0"/>
              <w:jc w:val="left"/>
            </w:pPr>
            <w:r>
              <w:rPr>
                <w:rFonts w:ascii="Times New Roman" w:hAnsi="Times New Roman" w:eastAsia="宋体" w:cs="Times New Roman"/>
                <w:b w:val="0"/>
                <w:i w:val="0"/>
                <w:sz w:val="20"/>
              </w:rPr>
              <w:t>本地Bgolearn、原课程worked_examples、中文前五讲示例</w:t>
            </w:r>
          </w:p>
        </w:tc>
        <w:tc>
          <w:tcPr>
            <w:tcW w:type="dxa" w:w="2840"/>
            <w:vAlign w:val="center"/>
          </w:tcPr>
          <w:p>
            <w:pPr>
              <w:spacing w:before="20" w:after="20" w:line="259" w:lineRule="auto"/>
              <w:ind w:firstLine="0"/>
              <w:jc w:val="left"/>
            </w:pPr>
            <w:r>
              <w:rPr>
                <w:rFonts w:ascii="Times New Roman" w:hAnsi="Times New Roman" w:eastAsia="宋体" w:cs="Times New Roman"/>
                <w:b w:val="0"/>
                <w:i w:val="0"/>
                <w:sz w:val="20"/>
              </w:rPr>
              <w:t>先做文件和环境验收，再选课堂片段；不承诺全量算例均可现场运行</w:t>
            </w:r>
          </w:p>
        </w:tc>
      </w:tr>
    </w:tbl>
    <w:p>
      <w:pPr>
        <w:keepNext/>
        <w:spacing w:before="120" w:after="60"/>
        <w:jc w:val="left"/>
      </w:pPr>
      <w:r>
        <w:rPr>
          <w:rFonts w:ascii="Arial" w:hAnsi="Arial" w:eastAsia="黑体" w:cs="Arial"/>
          <w:b/>
          <w:i w:val="0"/>
          <w:sz w:val="25"/>
        </w:rPr>
        <w:t>资源质量与技术口径</w:t>
      </w:r>
    </w:p>
    <w:p>
      <w:pPr>
        <w:ind w:firstLine="480"/>
      </w:pPr>
      <w:r>
        <w:rPr>
          <w:rFonts w:ascii="Times New Roman" w:hAnsi="Times New Roman" w:eastAsia="宋体" w:cs="Times New Roman"/>
          <w:b w:val="0"/>
          <w:i w:val="0"/>
          <w:sz w:val="24"/>
        </w:rPr>
        <w:t>原讲义目录实存38个PDF、958页，另有2个零字节前沿占位Markdown及1张产业清单。papers目录21个PDF扩展名文件中17个可由解析器打开，包含GP专著；4个为HTML页面，不能列入必读附件。详见新版覆盖矩阵及修订说明，资源数量不作为课堂掌握率。</w:t>
      </w:r>
    </w:p>
    <w:p>
      <w:pPr>
        <w:ind w:firstLine="480"/>
      </w:pPr>
      <w:r>
        <w:rPr>
          <w:rFonts w:ascii="Times New Roman" w:hAnsi="Times New Roman" w:eastAsia="宋体" w:cs="Times New Roman"/>
          <w:b w:val="0"/>
          <w:i w:val="0"/>
          <w:sz w:val="24"/>
        </w:rPr>
        <w:t>LOCO准确指leave-one-cluster-out；成分家族/批次分组应明确命名。GP方差不能独自担保分布外可靠性；R²含平方残差，不能说对异常值不敏感。GAT与MPNN有联系但不普遍等价。Optuna是优化框架，本课显式区分TPE与GP采样器，不把任意Optuna运行描述为GP-EI实验优化。</w:t>
      </w:r>
      <w:hyperlink r:id="rId10">
        <w:r>
          <w:rPr>
            <w:rFonts w:ascii="Times New Roman" w:hAnsi="Times New Roman" w:eastAsia="宋体"/>
            <w:sz w:val="24"/>
            <w:szCs w:val="24"/>
            <w:color w:val="1F4E79"/>
            <w:u w:val="single"/>
          </w:rPr>
          <w:t xml:space="preserve">Optuna TPE</w:t>
        </w:r>
      </w:hyperlink>
      <w:r>
        <w:rPr>
          <w:rFonts w:ascii="Times New Roman" w:hAnsi="Times New Roman" w:eastAsia="宋体" w:cs="Times New Roman"/>
          <w:b w:val="0"/>
          <w:i w:val="0"/>
          <w:sz w:val="24"/>
        </w:rPr>
        <w:t>、</w:t>
      </w:r>
      <w:hyperlink r:id="rId11">
        <w:r>
          <w:rPr>
            <w:rFonts w:ascii="Times New Roman" w:hAnsi="Times New Roman" w:eastAsia="宋体"/>
            <w:sz w:val="24"/>
            <w:szCs w:val="24"/>
            <w:color w:val="1F4E79"/>
            <w:u w:val="single"/>
          </w:rPr>
          <w:t xml:space="preserve">Optuna GP</w:t>
        </w:r>
      </w:hyperlink>
      <w:r>
        <w:rPr>
          <w:rFonts w:ascii="Times New Roman" w:hAnsi="Times New Roman" w:eastAsia="宋体" w:cs="Times New Roman"/>
          <w:b w:val="0"/>
          <w:i w:val="0"/>
          <w:sz w:val="24"/>
        </w:rPr>
        <w:t>。预处理、选特征、调参均限定在训练/验证流程内。</w:t>
      </w:r>
      <w:hyperlink r:id="rId12">
        <w:r>
          <w:rPr>
            <w:rFonts w:ascii="Times New Roman" w:hAnsi="Times New Roman" w:eastAsia="宋体"/>
            <w:sz w:val="24"/>
            <w:szCs w:val="24"/>
            <w:color w:val="1F4E79"/>
            <w:u w:val="single"/>
          </w:rPr>
          <w:t xml:space="preserve">scikit-learn数据泄漏与Pipeline说明</w:t>
        </w:r>
      </w:hyperlink>
      <w:r>
        <w:rPr>
          <w:rFonts w:ascii="Times New Roman" w:hAnsi="Times New Roman" w:eastAsia="宋体" w:cs="Times New Roman"/>
          <w:b w:val="0"/>
          <w:i w:val="0"/>
          <w:sz w:val="24"/>
        </w:rPr>
        <w:t>。</w:t>
      </w:r>
    </w:p>
    <w:p>
      <w:pPr>
        <w:spacing w:before="20" w:after="20" w:line="276" w:lineRule="auto"/>
        <w:ind w:left="480" w:hanging="480"/>
        <w:jc w:val="left"/>
        <w:wordWrap w:val="0"/>
      </w:pPr>
      <w:r>
        <w:rPr>
          <w:rFonts w:ascii="Times New Roman" w:hAnsi="Times New Roman" w:eastAsia="宋体" w:cs="Times New Roman"/>
          <w:b w:val="0"/>
          <w:i w:val="0"/>
          <w:sz w:val="19"/>
        </w:rPr>
        <w:t xml:space="preserve">· </w:t>
      </w:r>
      <w:r>
        <w:rPr>
          <w:rFonts w:ascii="Times New Roman" w:hAnsi="Times New Roman" w:eastAsia="宋体" w:cs="Times New Roman"/>
          <w:b/>
          <w:i w:val="0"/>
          <w:sz w:val="19"/>
        </w:rPr>
        <w:t>Optuna TPE：</w:t>
      </w:r>
      <w:hyperlink r:id="rId10">
        <w:r>
          <w:rPr>
            <w:rFonts w:ascii="Times New Roman" w:hAnsi="Times New Roman" w:eastAsia="宋体"/>
            <w:sz w:val="18"/>
            <w:szCs w:val="18"/>
            <w:color w:val="1F4E79"/>
            <w:u w:val="single"/>
          </w:rPr>
          <w:t xml:space="preserve">https://optuna.readthedocs.io/en/stable/reference/samplers/generated/optuna.samplers.TPESampler.html</w:t>
        </w:r>
      </w:hyperlink>
    </w:p>
    <w:p>
      <w:pPr>
        <w:spacing w:before="20" w:after="20" w:line="276" w:lineRule="auto"/>
        <w:ind w:left="480" w:hanging="480"/>
        <w:jc w:val="left"/>
        <w:wordWrap w:val="0"/>
      </w:pPr>
      <w:r>
        <w:rPr>
          <w:rFonts w:ascii="Times New Roman" w:hAnsi="Times New Roman" w:eastAsia="宋体" w:cs="Times New Roman"/>
          <w:b w:val="0"/>
          <w:i w:val="0"/>
          <w:sz w:val="19"/>
        </w:rPr>
        <w:t xml:space="preserve">· </w:t>
      </w:r>
      <w:r>
        <w:rPr>
          <w:rFonts w:ascii="Times New Roman" w:hAnsi="Times New Roman" w:eastAsia="宋体" w:cs="Times New Roman"/>
          <w:b/>
          <w:i w:val="0"/>
          <w:sz w:val="19"/>
        </w:rPr>
        <w:t>Optuna GP：</w:t>
      </w:r>
      <w:hyperlink r:id="rId11">
        <w:r>
          <w:rPr>
            <w:rFonts w:ascii="Times New Roman" w:hAnsi="Times New Roman" w:eastAsia="宋体"/>
            <w:sz w:val="18"/>
            <w:szCs w:val="18"/>
            <w:color w:val="1F4E79"/>
            <w:u w:val="single"/>
          </w:rPr>
          <w:t xml:space="preserve">https://optuna.readthedocs.io/en/stable/reference/samplers/generated/optuna.samplers.GPSampler.html</w:t>
        </w:r>
      </w:hyperlink>
    </w:p>
    <w:p>
      <w:pPr>
        <w:spacing w:before="20" w:after="20" w:line="276" w:lineRule="auto"/>
        <w:ind w:left="480" w:hanging="480"/>
        <w:jc w:val="left"/>
        <w:wordWrap w:val="0"/>
      </w:pPr>
      <w:r>
        <w:rPr>
          <w:rFonts w:ascii="Times New Roman" w:hAnsi="Times New Roman" w:eastAsia="宋体" w:cs="Times New Roman"/>
          <w:b w:val="0"/>
          <w:i w:val="0"/>
          <w:sz w:val="19"/>
        </w:rPr>
        <w:t xml:space="preserve">· </w:t>
      </w:r>
      <w:r>
        <w:rPr>
          <w:rFonts w:ascii="Times New Roman" w:hAnsi="Times New Roman" w:eastAsia="宋体" w:cs="Times New Roman"/>
          <w:b/>
          <w:i w:val="0"/>
          <w:sz w:val="19"/>
        </w:rPr>
        <w:t>scikit-learn数据泄漏与Pipeline说明：</w:t>
      </w:r>
      <w:hyperlink r:id="rId12">
        <w:r>
          <w:rPr>
            <w:rFonts w:ascii="Times New Roman" w:hAnsi="Times New Roman" w:eastAsia="宋体"/>
            <w:sz w:val="18"/>
            <w:szCs w:val="18"/>
            <w:color w:val="1F4E79"/>
            <w:u w:val="single"/>
          </w:rPr>
          <w:t xml:space="preserve">https://scikit-learn.org/stable/common_pitfalls.html#data-leakage</w:t>
        </w:r>
      </w:hyperlink>
    </w:p>
    <w:p>
      <w:pPr>
        <w:keepNext/>
        <w:spacing w:before="200" w:after="100"/>
        <w:jc w:val="left"/>
      </w:pPr>
      <w:r>
        <w:rPr>
          <w:rFonts w:ascii="Arial" w:hAnsi="Arial" w:eastAsia="黑体" w:cs="Arial"/>
          <w:b/>
          <w:i w:val="0"/>
          <w:sz w:val="28"/>
        </w:rPr>
        <w:t>十、版本与实施衔接</w:t>
      </w:r>
    </w:p>
    <w:p>
      <w:pPr>
        <w:ind w:firstLine="480"/>
      </w:pPr>
      <w:r>
        <w:rPr>
          <w:rFonts w:ascii="Times New Roman" w:hAnsi="Times New Roman" w:eastAsia="宋体" w:cs="Times New Roman"/>
          <w:b w:val="0"/>
          <w:i w:val="0"/>
          <w:sz w:val="24"/>
        </w:rPr>
        <w:t>本版与《授课计划-V5-科研工作流与决策整合版.md》《MaterialsInformatics覆盖矩阵.md》同步使用。前五讲主题与素材保留，第6—15讲沿用V4重排后的主线并落实V5增补；旧版中的第13/14讲研讨、第15/16讲四项集中截止及A/C项目命名不再执行。旧版文件保留作历史记录，总纲列示当前入口。</w:t>
      </w:r>
    </w:p>
    <w:p>
      <w:pPr>
        <w:ind w:firstLine="480"/>
      </w:pPr>
      <w:r>
        <w:rPr>
          <w:rFonts w:ascii="Times New Roman" w:hAnsi="Times New Roman" w:eastAsia="宋体" w:cs="Times New Roman"/>
          <w:b w:val="0"/>
          <w:i w:val="0"/>
          <w:sz w:val="24"/>
        </w:rPr>
        <w:t>后续资源建设按当前执行排程：先完成课程导论，再逐讲落实既有材料的公共阅读导航与已识别一致性修订，继续第11—16讲的CPU示例、PINN与前沿案例及配套作业/术语资源。V4既有材料及原验收保留，本版设计不等于全部V5产物已制作或全量运行；实际状态见总纲和执行记录。</w:t>
      </w:r>
    </w:p>
    <w:p>
      <w:pPr>
        <w:keepNext/>
        <w:spacing w:before="200" w:after="100"/>
        <w:jc w:val="left"/>
      </w:pPr>
      <w:r>
        <w:rPr>
          <w:rFonts w:ascii="Arial" w:hAnsi="Arial" w:eastAsia="黑体" w:cs="Arial"/>
          <w:b/>
          <w:i w:val="0"/>
          <w:sz w:val="28"/>
        </w:rPr>
        <w:t>十一、V5本轮实施增补（2026-10-24，优先于历史表述）</w:t>
      </w:r>
    </w:p>
    <w:p>
      <w:pPr>
        <w:ind w:firstLine="480"/>
      </w:pPr>
      <w:r>
        <w:rPr>
          <w:rFonts w:ascii="Times New Roman" w:hAnsi="Times New Roman" w:eastAsia="宋体" w:cs="Times New Roman"/>
          <w:b w:val="0"/>
          <w:i w:val="0"/>
          <w:sz w:val="24"/>
        </w:rPr>
        <w:t>课程开课单位为</w:t>
      </w:r>
      <w:r>
        <w:rPr>
          <w:rFonts w:ascii="Times New Roman" w:hAnsi="Times New Roman" w:eastAsia="宋体" w:cs="Times New Roman"/>
          <w:b/>
          <w:i w:val="0"/>
          <w:sz w:val="24"/>
        </w:rPr>
        <w:t>材料与化学学院</w:t>
      </w:r>
      <w:r>
        <w:rPr>
          <w:rFonts w:ascii="Times New Roman" w:hAnsi="Times New Roman" w:eastAsia="宋体" w:cs="Times New Roman"/>
          <w:b w:val="0"/>
          <w:i w:val="0"/>
          <w:sz w:val="24"/>
        </w:rPr>
        <w:t>，授课教师为</w:t>
      </w:r>
      <w:r>
        <w:rPr>
          <w:rFonts w:ascii="Times New Roman" w:hAnsi="Times New Roman" w:eastAsia="宋体" w:cs="Times New Roman"/>
          <w:b/>
          <w:i w:val="0"/>
          <w:sz w:val="24"/>
        </w:rPr>
        <w:t>计算机科学与技术学院何刚教授</w:t>
      </w:r>
      <w:r>
        <w:rPr>
          <w:rFonts w:ascii="Times New Roman" w:hAnsi="Times New Roman" w:eastAsia="宋体" w:cs="Times New Roman"/>
          <w:b w:val="0"/>
          <w:i w:val="0"/>
          <w:sz w:val="24"/>
        </w:rPr>
        <w:t>。教师所属学院不能写成课程开课单位；个人履历依Aboutme及原论文/证书核验，当前职称显示按用户本次确认使用“教授”。</w:t>
      </w:r>
    </w:p>
    <w:p>
      <w:pPr>
        <w:ind w:firstLine="480"/>
      </w:pPr>
      <w:r>
        <w:rPr>
          <w:rFonts w:ascii="Times New Roman" w:hAnsi="Times New Roman" w:eastAsia="宋体" w:cs="Times New Roman"/>
          <w:b w:val="0"/>
          <w:i w:val="0"/>
          <w:sz w:val="24"/>
        </w:rPr>
        <w:t>采用可复现AI科研工作流和受约束、多目标实验决策两项最高优先改进。任务记录纳入已有README/项目材料：任务与验收条件，输入/代码/数据/划分/环境版本及输出，独立复核、失败和人工修改。复现与贡献按原分值评价，不新增长报告或AI工具使用加分。</w:t>
      </w:r>
    </w:p>
    <w:p>
      <w:pPr>
        <w:ind w:firstLine="480"/>
      </w:pPr>
      <w:r>
        <w:rPr>
          <w:rFonts w:ascii="Times New Roman" w:hAnsi="Times New Roman" w:eastAsia="宋体" w:cs="Times New Roman"/>
          <w:b w:val="0"/>
          <w:i w:val="0"/>
          <w:sz w:val="24"/>
        </w:rPr>
        <w:t>第14讲在原90分钟内增加8分钟Pareto/约束识别，保留30分钟独立BO实践；第15讲保留68分钟PINN、12分钟文献抽取，将原10分钟前沿块落实为任务/工具/版本化结果及日志审查。第11—13讲相应保留既定独立实践。多目标采集函数、多保真GP、批量/异步调度与完整智能体部署为拓展；全员不要求付费API、GPU、HPC或硬件。</w:t>
      </w:r>
    </w:p>
    <w:p>
      <w:pPr>
        <w:ind w:firstLine="480"/>
      </w:pPr>
      <w:r>
        <w:rPr>
          <w:rFonts w:ascii="Times New Roman" w:hAnsi="Times New Roman" w:eastAsia="宋体" w:cs="Times New Roman"/>
          <w:b w:val="0"/>
          <w:i w:val="0"/>
          <w:sz w:val="24"/>
        </w:rPr>
        <w:t>新增独立《课程导论》PPT：教师介绍约5页，国内外案例10页（按主导研究机构国内5/国外5，合作研究如实署名），教材参考书、论文、工具、课程与考核说明等。第1讲在其既有90分钟内使用，导论35分钟替换部分重复产业/课程说明，不另加第17讲。案例是经典与近期代表进展的教学选择，不冒称全球排名；按材料问题、AI作用、独立证据和适用边界说明，每例一页。</w:t>
      </w:r>
    </w:p>
    <w:p>
      <w:pPr>
        <w:ind w:firstLine="480"/>
      </w:pPr>
      <w:r>
        <w:rPr>
          <w:rFonts w:ascii="Times New Roman" w:hAnsi="Times New Roman" w:eastAsia="宋体" w:cs="Times New Roman"/>
          <w:b w:val="0"/>
          <w:i w:val="0"/>
          <w:sz w:val="24"/>
        </w:rPr>
        <w:t>每讲PPT封面之后、进入专业内容之前设置“本讲阅读导航”1页，确有必要最多2页；同时写教材/参考书章节（含节名）、本讲论文作者/年份/短题名/DOI和阅读层次。没有直接教材章节时如实注明采用参考书或论文，不凑对应关系。导航纳入原教学时间，优先重排既有开场/补充页，不挤占实践。来源详见《逐讲教材章节与论文导航-V5.md》；正文证据页和备注仍需各自定位来源，开头书目不能替代逐页引用。</w:t>
      </w:r>
    </w:p>
    <w:p>
      <w:pPr>
        <w:ind w:firstLine="480"/>
      </w:pPr>
      <w:r>
        <w:rPr>
          <w:rFonts w:ascii="Times New Roman" w:hAnsi="Times New Roman" w:eastAsia="宋体" w:cs="Times New Roman"/>
          <w:b w:val="0"/>
          <w:i w:val="0"/>
          <w:sz w:val="24"/>
        </w:rPr>
        <w:t>32学时/16讲、学生独立实践360分钟、论文研讨40分钟、总评30/20/40/10、HW1—4及项目/论文节点保持原定。资料版本、当前建设状态与待复核事项以总纲、排程和V5一致性台账为准。正式PPT、讲义、代码、表单、渲染及包由WorkBuddy制作，Codex设计与独立审核。</w:t>
      </w:r>
    </w:p>
    <w:sectPr w:rsidR="00FC693F" w:rsidRPr="0006063C" w:rsidSect="00034616">
      <w:footerReference w:type="default" r:id="rId9"/>
      <w:pgSz w:w="11906" w:h="16838"/>
      <w:pgMar w:top="1440" w:right="850" w:bottom="1672" w:left="1417" w:header="850"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cs="Times New Roman"/>
        <w:b w:val="0"/>
        <w:i w:val="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5" w:lineRule="auto" w:before="0" w:after="0"/>
      <w:jc w:val="both"/>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ptuna.readthedocs.io/en/stable/reference/samplers/generated/optuna.samplers.TPESampler.html" TargetMode="External"/><Relationship Id="rId11" Type="http://schemas.openxmlformats.org/officeDocument/2006/relationships/hyperlink" Target="https://optuna.readthedocs.io/en/stable/reference/samplers/generated/optuna.samplers.GPSampler.html" TargetMode="External"/><Relationship Id="rId12" Type="http://schemas.openxmlformats.org/officeDocument/2006/relationships/hyperlink" Target="https://scikit-learn.org/stable/common_pitfalls.html#data-leak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