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小黄鱼项目 Word 文档书写规则</w:t>
      </w:r>
    </w:p>
    <w:p>
      <w:pPr>
        <w:pStyle w:val="Metadata"/>
      </w:pPr>
      <w:r>
        <w:rPr>
          <w:rFonts w:ascii="Times New Roman" w:hAnsi="Times New Roman" w:eastAsia="宋体"/>
          <w:sz w:val="24"/>
        </w:rPr>
        <w:t>适用于技术报告、策略说明、测试报告与比赛提交说明</w:t>
      </w:r>
    </w:p>
    <w:p>
      <w:pPr>
        <w:pStyle w:val="Heading1"/>
      </w:pPr>
      <w:r>
        <w:rPr>
          <w:rFonts w:ascii="Times New Roman" w:hAnsi="Times New Roman" w:eastAsia="宋体"/>
        </w:rPr>
        <w:t>适用范围与参考依据</w:t>
      </w:r>
    </w:p>
    <w:p>
      <w:r>
        <w:rPr>
          <w:rFonts w:ascii="Times New Roman" w:hAnsi="Times New Roman" w:eastAsia="宋体"/>
        </w:rPr>
        <w:t xml:space="preserve">本规则用于小黄鱼项目的技术报告、策略说明、测试报告、阶段总结和比赛提交说明。排版以现有省赛最终作品 </w:t>
      </w:r>
      <w:r>
        <w:rPr>
          <w:rFonts w:ascii="Consolas" w:hAnsi="Consolas" w:eastAsia="等线"/>
          <w:sz w:val="20"/>
        </w:rPr>
        <w:t>省赛/省赛作品最终/比赛作品(最终).docx</w:t>
      </w:r>
      <w:r>
        <w:rPr>
          <w:rFonts w:ascii="Times New Roman" w:hAnsi="Times New Roman" w:eastAsia="宋体"/>
        </w:rPr>
        <w:t xml:space="preserve"> 为主要参考：A4 纵向、宋体正文、16 磅标题、14 磅一级标题、12 磅二级标题、10 磅图注。为解决原文中样式与直接格式混用的问题，本规则把这些特征固化为统一 Word 样式。</w:t>
      </w:r>
    </w:p>
    <w:p>
      <w:pPr>
        <w:pStyle w:val="Heading1"/>
      </w:pPr>
      <w:r>
        <w:rPr>
          <w:rFonts w:ascii="Times New Roman" w:hAnsi="Times New Roman" w:eastAsia="宋体"/>
        </w:rPr>
        <w:t>页面设置</w:t>
      </w:r>
    </w:p>
    <w:tbl>
      <w:tblPr>
        <w:tblStyle w:val="TableGrid"/>
        <w:tblW w:type="dxa" w:w="8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2"/>
        <w:gridCol w:w="6288"/>
      </w:tblGrid>
      <w:tr>
        <w:trPr>
          <w:tblHeader w:val="true"/>
        </w:trPr>
        <w:tc>
          <w:tcPr>
            <w:tcW w:type="dxa" w:w="20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2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规则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纸张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A4，210 mm x 297 mm，纵向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左/右页边距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31.75 mm（1.25 英寸）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上/下页边距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25.4 mm（1 英寸）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页眉距边界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15 mm 左右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页脚距边界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17.5 mm 左右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正文最大可用宽度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约 146.5 mm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分栏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默认单栏；只有正式模板明确要求时才分栏</w:t>
            </w:r>
          </w:p>
        </w:tc>
      </w:tr>
      <w:tr>
        <w:tc>
          <w:tcPr>
            <w:tcW w:type="dxa" w:w="20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页码</w:t>
            </w:r>
          </w:p>
        </w:tc>
        <w:tc>
          <w:tcPr>
            <w:tcW w:type="dxa" w:w="6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页脚居中或右对齐，阿拉伯数字，正文首页开始连续编号</w:t>
            </w:r>
          </w:p>
        </w:tc>
      </w:tr>
    </w:tbl>
    <w:p>
      <w:pPr>
        <w:spacing w:after="60"/>
        <w:ind w:firstLine="0"/>
      </w:pPr>
    </w:p>
    <w:p>
      <w:pPr>
        <w:pStyle w:val="Heading1"/>
      </w:pPr>
      <w:r>
        <w:rPr>
          <w:rFonts w:ascii="Times New Roman" w:hAnsi="Times New Roman" w:eastAsia="宋体"/>
        </w:rPr>
        <w:t>字体、字号与段落</w:t>
      </w:r>
    </w:p>
    <w:tbl>
      <w:tblPr>
        <w:tblStyle w:val="TableGrid"/>
        <w:tblW w:type="dxa" w:w="8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6"/>
        <w:gridCol w:w="700"/>
        <w:gridCol w:w="1660"/>
        <w:gridCol w:w="885"/>
        <w:gridCol w:w="1438"/>
        <w:gridCol w:w="2511"/>
      </w:tblGrid>
      <w:tr>
        <w:trPr>
          <w:tblHeader w:val="true"/>
        </w:trPr>
        <w:tc>
          <w:tcPr>
            <w:tcW w:type="dxa" w:w="110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内容角色</w:t>
            </w:r>
          </w:p>
        </w:tc>
        <w:tc>
          <w:tcPr>
            <w:tcW w:type="dxa" w:w="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中文字体</w:t>
            </w:r>
          </w:p>
        </w:tc>
        <w:tc>
          <w:tcPr>
            <w:tcW w:type="dxa" w:w="1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西文/数字</w:t>
            </w:r>
          </w:p>
        </w:tc>
        <w:tc>
          <w:tcPr>
            <w:tcW w:type="dxa" w:w="885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字号</w:t>
            </w:r>
          </w:p>
        </w:tc>
        <w:tc>
          <w:tcPr>
            <w:tcW w:type="dxa" w:w="143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字形与对齐</w:t>
            </w:r>
          </w:p>
        </w:tc>
        <w:tc>
          <w:tcPr>
            <w:tcW w:type="dxa" w:w="251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段落规则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文档主标题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16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加粗、居中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段前 12 磅，段后 6 磅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作者/队员/版本信息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居中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段后 12 磅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一级标题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14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加粗、左对齐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段前 12 磅，段后 6 磅，与下段同页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二级标题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加粗、左对齐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段前 8 磅，段后 4 磅，与下段同页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三级标题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加粗、左对齐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段前 6 磅，段后 3 磅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正文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 磅（小四）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两端对齐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首行缩进 2 字符，1.5 倍行距，段前/后 0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图题/表题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 磅（五号）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居中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单倍行距，段前 3 磅，段后 6 磅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图表内文字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Arial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9-10.5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保持清晰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不得小于 9 磅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页眉页脚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Times New Roman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9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页眉左/居中，页码居中/右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与正文风格一致</w:t>
            </w:r>
          </w:p>
        </w:tc>
      </w:tr>
      <w:tr>
        <w:tc>
          <w:tcPr>
            <w:tcW w:type="dxa" w:w="1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代码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等线或宋体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Consolas</w:t>
            </w:r>
          </w:p>
        </w:tc>
        <w:tc>
          <w:tcPr>
            <w:tcW w:type="dxa" w:w="88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9 磅</w:t>
            </w:r>
          </w:p>
        </w:tc>
        <w:tc>
          <w:tcPr>
            <w:tcW w:type="dxa" w:w="14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左对齐</w:t>
            </w:r>
          </w:p>
        </w:tc>
        <w:tc>
          <w:tcPr>
            <w:tcW w:type="dxa" w:w="25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单倍行距，段前/后 3 磅</w:t>
            </w:r>
          </w:p>
        </w:tc>
      </w:tr>
    </w:tbl>
    <w:p>
      <w:pPr>
        <w:spacing w:after="60"/>
        <w:ind w:firstLine="0"/>
      </w:pPr>
    </w:p>
    <w:p>
      <w:r>
        <w:rPr>
          <w:rFonts w:ascii="Times New Roman" w:hAnsi="Times New Roman" w:eastAsia="宋体"/>
        </w:rPr>
        <w:t>要求：</w:t>
      </w:r>
    </w:p>
    <w:p>
      <w:pPr>
        <w:pStyle w:val="ListBullet"/>
      </w:pPr>
      <w:r>
        <w:rPr>
          <w:rFonts w:ascii="Times New Roman" w:hAnsi="Times New Roman" w:eastAsia="宋体"/>
        </w:rPr>
        <w:t>使用 Word 样式管理标题、正文、图题、表题和代码，不逐段手工设置。</w:t>
      </w:r>
    </w:p>
    <w:p>
      <w:pPr>
        <w:pStyle w:val="ListBullet"/>
      </w:pPr>
      <w:r>
        <w:rPr>
          <w:rFonts w:ascii="Times New Roman" w:hAnsi="Times New Roman" w:eastAsia="宋体"/>
        </w:rPr>
        <w:t>正文不使用彩色字体、下划线或大面积加粗；强调优先使用少量加粗。</w:t>
      </w:r>
    </w:p>
    <w:p>
      <w:pPr>
        <w:pStyle w:val="ListBullet"/>
      </w:pPr>
      <w:r>
        <w:rPr>
          <w:rFonts w:ascii="Times New Roman" w:hAnsi="Times New Roman" w:eastAsia="宋体"/>
        </w:rPr>
        <w:t>中文标点使用全角，代码、路径、变量、单位和数学表达式按其原始半角形式。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数值与单位之间留半角空格，如 </w:t>
      </w:r>
      <w:r>
        <w:rPr>
          <w:rFonts w:ascii="Consolas" w:hAnsi="Consolas" w:eastAsia="等线"/>
          <w:sz w:val="20"/>
        </w:rPr>
        <w:t>150 mm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等线"/>
          <w:sz w:val="20"/>
        </w:rPr>
        <w:t>20 s</w:t>
      </w:r>
      <w:r>
        <w:rPr>
          <w:rFonts w:ascii="Times New Roman" w:hAnsi="Times New Roman" w:eastAsia="宋体"/>
        </w:rPr>
        <w:t>；角度和百分号可按规范紧跟数值。</w:t>
      </w:r>
    </w:p>
    <w:p>
      <w:pPr>
        <w:pStyle w:val="ListBullet"/>
      </w:pPr>
      <w:r>
        <w:rPr>
          <w:rFonts w:ascii="Times New Roman" w:hAnsi="Times New Roman" w:eastAsia="宋体"/>
        </w:rPr>
        <w:t>英文缩写首次出现时给出中文或英文全称。</w:t>
      </w:r>
    </w:p>
    <w:p>
      <w:pPr>
        <w:pStyle w:val="Heading1"/>
      </w:pPr>
      <w:r>
        <w:rPr>
          <w:rFonts w:ascii="Times New Roman" w:hAnsi="Times New Roman" w:eastAsia="宋体"/>
        </w:rPr>
        <w:t>标题编号与文档结构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一级标题使用 </w:t>
      </w:r>
      <w:r>
        <w:rPr>
          <w:rFonts w:ascii="Consolas" w:hAnsi="Consolas" w:eastAsia="等线"/>
          <w:sz w:val="20"/>
        </w:rPr>
        <w:t>1. 标题</w:t>
      </w:r>
      <w:r>
        <w:rPr>
          <w:rFonts w:ascii="Times New Roman" w:hAnsi="Times New Roman" w:eastAsia="宋体"/>
        </w:rPr>
        <w:t xml:space="preserve">，二级标题使用 </w:t>
      </w:r>
      <w:r>
        <w:rPr>
          <w:rFonts w:ascii="Consolas" w:hAnsi="Consolas" w:eastAsia="等线"/>
          <w:sz w:val="20"/>
        </w:rPr>
        <w:t>1.1 标题</w:t>
      </w:r>
      <w:r>
        <w:rPr>
          <w:rFonts w:ascii="Times New Roman" w:hAnsi="Times New Roman" w:eastAsia="宋体"/>
        </w:rPr>
        <w:t xml:space="preserve">，三级标题使用 </w:t>
      </w:r>
      <w:r>
        <w:rPr>
          <w:rFonts w:ascii="Consolas" w:hAnsi="Consolas" w:eastAsia="等线"/>
          <w:sz w:val="20"/>
        </w:rPr>
        <w:t>1.1.1 标题</w:t>
      </w:r>
      <w:r>
        <w:rPr>
          <w:rFonts w:ascii="Times New Roman" w:hAnsi="Times New Roman" w:eastAsia="宋体"/>
        </w:rPr>
        <w:t>。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使用 Word 多级列表绑定 </w:t>
      </w:r>
      <w:r>
        <w:rPr>
          <w:rFonts w:ascii="Consolas" w:hAnsi="Consolas" w:eastAsia="等线"/>
          <w:sz w:val="20"/>
        </w:rPr>
        <w:t>标题 1/2/3</w:t>
      </w:r>
      <w:r>
        <w:rPr>
          <w:rFonts w:ascii="Times New Roman" w:hAnsi="Times New Roman" w:eastAsia="宋体"/>
        </w:rPr>
        <w:t>，禁止手敲编号后再手工调整。</w:t>
      </w:r>
    </w:p>
    <w:p>
      <w:pPr>
        <w:pStyle w:val="ListBullet"/>
      </w:pPr>
      <w:r>
        <w:rPr>
          <w:rFonts w:ascii="Times New Roman" w:hAnsi="Times New Roman" w:eastAsia="宋体"/>
        </w:rPr>
        <w:t>技术报告推荐结构：标题、作者/版本、摘要、背景与目标、规则与约束、系统架构、策略/算法、实现、测试设计、测试结果、问题与限制、结论、参考资料、附录。</w:t>
      </w:r>
    </w:p>
    <w:p>
      <w:pPr>
        <w:pStyle w:val="ListBullet"/>
      </w:pPr>
      <w:r>
        <w:rPr>
          <w:rFonts w:ascii="Times New Roman" w:hAnsi="Times New Roman" w:eastAsia="宋体"/>
        </w:rPr>
        <w:t>测试报告必须写明源码/DLL 版本或哈希、对手版本或哈希、边位、样本数、环境、指标和异常。</w:t>
      </w:r>
    </w:p>
    <w:p>
      <w:pPr>
        <w:pStyle w:val="ListBullet"/>
      </w:pPr>
      <w:r>
        <w:rPr>
          <w:rFonts w:ascii="Times New Roman" w:hAnsi="Times New Roman" w:eastAsia="宋体"/>
        </w:rPr>
        <w:t>标题不得单独出现在页尾；图题、表题不得与对应图表分离。</w:t>
      </w:r>
    </w:p>
    <w:p>
      <w:pPr>
        <w:pStyle w:val="Heading1"/>
      </w:pPr>
      <w:r>
        <w:rPr>
          <w:rFonts w:ascii="Times New Roman" w:hAnsi="Times New Roman" w:eastAsia="宋体"/>
        </w:rPr>
        <w:t>图片与流程图</w:t>
      </w:r>
    </w:p>
    <w:p>
      <w:pPr>
        <w:pStyle w:val="ListBullet"/>
      </w:pPr>
      <w:r>
        <w:rPr>
          <w:rFonts w:ascii="Times New Roman" w:hAnsi="Times New Roman" w:eastAsia="宋体"/>
        </w:rPr>
        <w:t>图片居中，最大宽度不超过正文区约 146 mm；保持纵横比，禁止拉伸变形。</w:t>
      </w:r>
    </w:p>
    <w:p>
      <w:pPr>
        <w:pStyle w:val="ListBullet"/>
      </w:pPr>
      <w:r>
        <w:rPr>
          <w:rFonts w:ascii="Times New Roman" w:hAnsi="Times New Roman" w:eastAsia="宋体"/>
        </w:rPr>
        <w:t>截图应裁掉无关桌面区域，保留必要界面、坐标、比分、时间和版本信息。</w:t>
      </w:r>
    </w:p>
    <w:p>
      <w:pPr>
        <w:pStyle w:val="ListBullet"/>
      </w:pPr>
      <w:r>
        <w:rPr>
          <w:rFonts w:ascii="Times New Roman" w:hAnsi="Times New Roman" w:eastAsia="宋体"/>
        </w:rPr>
        <w:t>普通截图建议至少 150 dpi，结构图、流程图和需要放大的结果图建议 300 dpi 或矢量格式。</w:t>
      </w:r>
    </w:p>
    <w:p>
      <w:pPr>
        <w:pStyle w:val="ListBullet"/>
      </w:pPr>
      <w:r>
        <w:rPr>
          <w:rFonts w:ascii="Times New Roman" w:hAnsi="Times New Roman" w:eastAsia="宋体"/>
        </w:rPr>
        <w:t>流程图优先使用可编辑图形；若使用位图，文字在 100% 缩放下必须清晰。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图题放在图片下方，格式为 </w:t>
      </w:r>
      <w:r>
        <w:rPr>
          <w:rFonts w:ascii="Consolas" w:hAnsi="Consolas" w:eastAsia="等线"/>
          <w:sz w:val="20"/>
        </w:rPr>
        <w:t>图 1 场地区域划分</w:t>
      </w:r>
      <w:r>
        <w:rPr>
          <w:rFonts w:ascii="Times New Roman" w:hAnsi="Times New Roman" w:eastAsia="宋体"/>
        </w:rPr>
        <w:t>；全文连续编号。</w:t>
      </w:r>
    </w:p>
    <w:p>
      <w:pPr>
        <w:pStyle w:val="ListBullet"/>
      </w:pPr>
      <w:r>
        <w:rPr>
          <w:rFonts w:ascii="Times New Roman" w:hAnsi="Times New Roman" w:eastAsia="宋体"/>
        </w:rPr>
        <w:t>正文必须在图出现前后引用，如“策略流程见图 2”，不能只有图而无解释。</w:t>
      </w:r>
    </w:p>
    <w:p>
      <w:pPr>
        <w:pStyle w:val="ListBullet"/>
      </w:pPr>
      <w:r>
        <w:rPr>
          <w:rFonts w:ascii="Times New Roman" w:hAnsi="Times New Roman" w:eastAsia="宋体"/>
        </w:rPr>
        <w:t>坐标图必须标明 X/Z 方向、单位和关键边界；颜色不是唯一信息载体，必要时增加线型或标记。</w:t>
      </w:r>
    </w:p>
    <w:p>
      <w:pPr>
        <w:pStyle w:val="ListBullet"/>
      </w:pPr>
      <w:r>
        <w:rPr>
          <w:rFonts w:ascii="Times New Roman" w:hAnsi="Times New Roman" w:eastAsia="宋体"/>
        </w:rPr>
        <w:t>测试截图不得代替统计表；多局结果用表格或图表汇总，截图只作为典型证据。</w:t>
      </w:r>
    </w:p>
    <w:p>
      <w:pPr>
        <w:pStyle w:val="Heading1"/>
      </w:pPr>
      <w:r>
        <w:rPr>
          <w:rFonts w:ascii="Times New Roman" w:hAnsi="Times New Roman" w:eastAsia="宋体"/>
        </w:rPr>
        <w:t>表格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表题放在表格上方，格式为 </w:t>
      </w:r>
      <w:r>
        <w:rPr>
          <w:rFonts w:ascii="Consolas" w:hAnsi="Consolas" w:eastAsia="等线"/>
          <w:sz w:val="20"/>
        </w:rPr>
        <w:t>表 1 测试环境</w:t>
      </w:r>
      <w:r>
        <w:rPr>
          <w:rFonts w:ascii="Times New Roman" w:hAnsi="Times New Roman" w:eastAsia="宋体"/>
        </w:rPr>
        <w:t>；全文连续编号。</w:t>
      </w:r>
    </w:p>
    <w:p>
      <w:pPr>
        <w:pStyle w:val="ListBullet"/>
      </w:pPr>
      <w:r>
        <w:rPr>
          <w:rFonts w:ascii="Times New Roman" w:hAnsi="Times New Roman" w:eastAsia="宋体"/>
        </w:rPr>
        <w:t>表格宽度不超过正文区约 146 mm，按内容分配列宽，编号/结果列窄，说明列宽。</w:t>
      </w:r>
    </w:p>
    <w:p>
      <w:pPr>
        <w:pStyle w:val="ListBullet"/>
      </w:pPr>
      <w:r>
        <w:rPr>
          <w:rFonts w:ascii="Times New Roman" w:hAnsi="Times New Roman" w:eastAsia="宋体"/>
        </w:rPr>
        <w:t>表头加粗、水平和垂直居中；正文按字段选择左对齐或居中。</w:t>
      </w:r>
    </w:p>
    <w:p>
      <w:pPr>
        <w:pStyle w:val="ListBullet"/>
      </w:pPr>
      <w:r>
        <w:rPr>
          <w:rFonts w:ascii="Times New Roman" w:hAnsi="Times New Roman" w:eastAsia="宋体"/>
        </w:rPr>
        <w:t>使用 9-10.5 磅字体，单倍行距，单元格留有上下左右内边距。</w:t>
      </w:r>
    </w:p>
    <w:p>
      <w:pPr>
        <w:pStyle w:val="ListBullet"/>
      </w:pPr>
      <w:r>
        <w:rPr>
          <w:rFonts w:ascii="Times New Roman" w:hAnsi="Times New Roman" w:eastAsia="宋体"/>
        </w:rPr>
        <w:t>行高允许自动增长，不使用可能截断文字的固定行高。</w:t>
      </w:r>
    </w:p>
    <w:p>
      <w:pPr>
        <w:pStyle w:val="ListBullet"/>
      </w:pPr>
      <w:r>
        <w:rPr>
          <w:rFonts w:ascii="Times New Roman" w:hAnsi="Times New Roman" w:eastAsia="宋体"/>
        </w:rPr>
        <w:t>跨页表格重复标题行，避免整表被强制推到下一页形成大面积空白。</w:t>
      </w:r>
    </w:p>
    <w:p>
      <w:pPr>
        <w:pStyle w:val="ListBullet"/>
      </w:pPr>
      <w:r>
        <w:rPr>
          <w:rFonts w:ascii="Times New Roman" w:hAnsi="Times New Roman" w:eastAsia="宋体"/>
        </w:rPr>
        <w:t>测试结果表至少包含版本、对手、边位、局数、胜/平/负、得失分、净胜分和异常。</w:t>
      </w:r>
    </w:p>
    <w:p>
      <w:pPr>
        <w:pStyle w:val="ListBullet"/>
      </w:pPr>
      <w:r>
        <w:rPr>
          <w:rFonts w:ascii="Times New Roman" w:hAnsi="Times New Roman" w:eastAsia="宋体"/>
        </w:rPr>
        <w:t>不用表格包装普通长段落；只有可按共同字段比较的数据才使用表格。</w:t>
      </w:r>
    </w:p>
    <w:p>
      <w:pPr>
        <w:pStyle w:val="Heading1"/>
      </w:pPr>
      <w:r>
        <w:rPr>
          <w:rFonts w:ascii="Times New Roman" w:hAnsi="Times New Roman" w:eastAsia="宋体"/>
        </w:rPr>
        <w:t>图表与数据可视化</w:t>
      </w:r>
    </w:p>
    <w:p>
      <w:pPr>
        <w:pStyle w:val="ListBullet"/>
      </w:pPr>
      <w:r>
        <w:rPr>
          <w:rFonts w:ascii="Times New Roman" w:hAnsi="Times New Roman" w:eastAsia="宋体"/>
        </w:rPr>
        <w:t>图表标题说明指标、对象和范围，例如“候选版本对 NEU222 的左右侧平均净胜分”。</w:t>
      </w:r>
    </w:p>
    <w:p>
      <w:pPr>
        <w:pStyle w:val="ListBullet"/>
      </w:pPr>
      <w:r>
        <w:rPr>
          <w:rFonts w:ascii="Times New Roman" w:hAnsi="Times New Roman" w:eastAsia="宋体"/>
        </w:rPr>
        <w:t>坐标轴必须有名称和单位；图例名称与正文术语一致。</w:t>
      </w:r>
    </w:p>
    <w:p>
      <w:pPr>
        <w:pStyle w:val="ListBullet"/>
      </w:pPr>
      <w:r>
        <w:rPr>
          <w:rFonts w:ascii="Times New Roman" w:hAnsi="Times New Roman" w:eastAsia="宋体"/>
        </w:rPr>
        <w:t>胜率同时给出样本数，不能只写百分比。</w:t>
      </w:r>
    </w:p>
    <w:p>
      <w:pPr>
        <w:pStyle w:val="ListBullet"/>
      </w:pPr>
      <w:r>
        <w:rPr>
          <w:rFonts w:ascii="Times New Roman" w:hAnsi="Times New Roman" w:eastAsia="宋体"/>
        </w:rPr>
        <w:t>对比图保持同一坐标尺度，禁止通过截断坐标轴夸大微小差异。</w:t>
      </w:r>
    </w:p>
    <w:p>
      <w:pPr>
        <w:pStyle w:val="ListBullet"/>
      </w:pPr>
      <w:r>
        <w:rPr>
          <w:rFonts w:ascii="Times New Roman" w:hAnsi="Times New Roman" w:eastAsia="宋体"/>
        </w:rPr>
        <w:t>左右队结果分组展示，同时给出总体结果，避免掩盖单侧退化。</w:t>
      </w:r>
    </w:p>
    <w:p>
      <w:pPr>
        <w:pStyle w:val="ListBullet"/>
      </w:pPr>
      <w:r>
        <w:rPr>
          <w:rFonts w:ascii="Times New Roman" w:hAnsi="Times New Roman" w:eastAsia="宋体"/>
        </w:rPr>
        <w:t>颜色控制在 3-5 种，采用高对比、可打印配色；黑白打印时仍可区分。</w:t>
      </w:r>
    </w:p>
    <w:p>
      <w:pPr>
        <w:pStyle w:val="ListBullet"/>
      </w:pPr>
      <w:r>
        <w:rPr>
          <w:rFonts w:ascii="Times New Roman" w:hAnsi="Times New Roman" w:eastAsia="宋体"/>
        </w:rPr>
        <w:t>图表下方注明数据来源、策略/DLL 版本和测试条件。</w:t>
      </w:r>
    </w:p>
    <w:p>
      <w:pPr>
        <w:pStyle w:val="Heading1"/>
      </w:pPr>
      <w:r>
        <w:rPr>
          <w:rFonts w:ascii="Times New Roman" w:hAnsi="Times New Roman" w:eastAsia="宋体"/>
        </w:rPr>
        <w:t>公式、代码和路径</w:t>
      </w:r>
    </w:p>
    <w:p>
      <w:pPr>
        <w:pStyle w:val="ListBullet"/>
      </w:pPr>
      <w:r>
        <w:rPr>
          <w:rFonts w:ascii="Times New Roman" w:hAnsi="Times New Roman" w:eastAsia="宋体"/>
        </w:rPr>
        <w:t>公式使用 Word 公式编辑器，变量斜体，单位和函数名正体；长公式独占一行并按章或全文编号。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代码片段只保留与论证有关的最小部分，使用 </w:t>
      </w:r>
      <w:r>
        <w:rPr>
          <w:rFonts w:ascii="Consolas" w:hAnsi="Consolas" w:eastAsia="等线"/>
          <w:sz w:val="20"/>
        </w:rPr>
        <w:t>Consolas 9 磅</w:t>
      </w:r>
      <w:r>
        <w:rPr>
          <w:rFonts w:ascii="Times New Roman" w:hAnsi="Times New Roman" w:eastAsia="宋体"/>
        </w:rPr>
        <w:t>、单倍行距、浅灰底和适当内边距。</w:t>
      </w:r>
    </w:p>
    <w:p>
      <w:pPr>
        <w:pStyle w:val="ListBullet"/>
      </w:pPr>
      <w:r>
        <w:rPr>
          <w:rFonts w:ascii="Times New Roman" w:hAnsi="Times New Roman" w:eastAsia="宋体"/>
        </w:rPr>
        <w:t>代码中的关键分支在正文解释输入、输出、阈值、状态与退出条件，不用截图代替可复制代码。</w:t>
      </w:r>
    </w:p>
    <w:p>
      <w:pPr>
        <w:pStyle w:val="ListBullet"/>
      </w:pPr>
      <w:r>
        <w:rPr>
          <w:rFonts w:ascii="Times New Roman" w:hAnsi="Times New Roman" w:eastAsia="宋体"/>
        </w:rPr>
        <w:t>文件路径、类、方法、变量和命令使用等宽字体；长路径允许在目录分隔符处换行。</w:t>
      </w:r>
    </w:p>
    <w:p>
      <w:pPr>
        <w:pStyle w:val="ListBullet"/>
      </w:pPr>
      <w:r>
        <w:rPr>
          <w:rFonts w:ascii="Times New Roman" w:hAnsi="Times New Roman" w:eastAsia="宋体"/>
        </w:rPr>
        <w:t>不在正式文档中写个人电脑绝对路径，使用项目根目录相对路径。</w:t>
      </w:r>
    </w:p>
    <w:p>
      <w:pPr>
        <w:pStyle w:val="Heading1"/>
      </w:pPr>
      <w:r>
        <w:rPr>
          <w:rFonts w:ascii="Times New Roman" w:hAnsi="Times New Roman" w:eastAsia="宋体"/>
        </w:rPr>
        <w:t>测试证据书写规则</w:t>
      </w:r>
    </w:p>
    <w:p>
      <w:pPr>
        <w:pStyle w:val="ListBullet"/>
      </w:pPr>
      <w:r>
        <w:rPr>
          <w:rFonts w:ascii="Times New Roman" w:hAnsi="Times New Roman" w:eastAsia="宋体"/>
        </w:rPr>
        <w:t>明确“通过条件”，不要只写“效果较好”或“基本成功”。</w:t>
      </w:r>
    </w:p>
    <w:p>
      <w:pPr>
        <w:pStyle w:val="ListBullet"/>
      </w:pPr>
      <w:r>
        <w:rPr>
          <w:rFonts w:ascii="Times New Roman" w:hAnsi="Times New Roman" w:eastAsia="宋体"/>
        </w:rPr>
        <w:t>单局证据记录边位、最终比分、异常和日志/录像；统计结论记录有效样本数和无效局处理原则。</w:t>
      </w:r>
    </w:p>
    <w:p>
      <w:pPr>
        <w:pStyle w:val="ListBullet"/>
      </w:pPr>
      <w:r>
        <w:rPr>
          <w:rFonts w:ascii="Times New Roman" w:hAnsi="Times New Roman" w:eastAsia="宋体"/>
        </w:rPr>
        <w:t>同一初始状态的确定性重复局不得伪装成独立样本。</w:t>
      </w:r>
    </w:p>
    <w:p>
      <w:pPr>
        <w:pStyle w:val="ListBullet"/>
      </w:pPr>
      <w:r>
        <w:rPr>
          <w:rFonts w:ascii="Times New Roman" w:hAnsi="Times New Roman" w:eastAsia="宋体"/>
        </w:rPr>
        <w:t>失败结果不得删除；需分类为感知、状态、选球、路径、动作、阶段切换、环境或未知。</w:t>
      </w:r>
    </w:p>
    <w:p>
      <w:pPr>
        <w:pStyle w:val="ListBullet"/>
      </w:pPr>
      <w:r>
        <w:rPr>
          <w:rFonts w:ascii="Times New Roman" w:hAnsi="Times New Roman" w:eastAsia="宋体"/>
        </w:rPr>
        <w:t>每个结论都能追溯到表格、日志、录像或图；图表中的版本名必须与 DLL 哈希记录一致。</w:t>
      </w:r>
    </w:p>
    <w:p>
      <w:pPr>
        <w:pStyle w:val="ListBullet"/>
      </w:pPr>
      <w:r>
        <w:rPr>
          <w:rFonts w:ascii="Times New Roman" w:hAnsi="Times New Roman" w:eastAsia="宋体"/>
        </w:rPr>
        <w:t>“能够打赢”默认用多局胜率、净胜分和左右侧结果证明，不以单局取胜证明。</w:t>
      </w:r>
    </w:p>
    <w:p>
      <w:pPr>
        <w:pStyle w:val="Heading1"/>
      </w:pPr>
      <w:r>
        <w:rPr>
          <w:rFonts w:ascii="Times New Roman" w:hAnsi="Times New Roman" w:eastAsia="宋体"/>
        </w:rPr>
        <w:t>引用、版本与文件命名</w:t>
      </w:r>
    </w:p>
    <w:p>
      <w:pPr>
        <w:pStyle w:val="ListBullet"/>
      </w:pPr>
      <w:r>
        <w:rPr>
          <w:rFonts w:ascii="Times New Roman" w:hAnsi="Times New Roman" w:eastAsia="宋体"/>
        </w:rPr>
        <w:t>引用平台规则、论文、算法或第三方资料时注明来源；不要把第三方文档全文复制进项目报告。</w:t>
      </w:r>
    </w:p>
    <w:p>
      <w:pPr>
        <w:pStyle w:val="ListBullet"/>
      </w:pPr>
      <w:r>
        <w:rPr>
          <w:rFonts w:ascii="Times New Roman" w:hAnsi="Times New Roman" w:eastAsia="宋体"/>
        </w:rPr>
        <w:t>历史策略说明需标注“历史资料”或对应版本，避免与当前实现混淆。</w:t>
      </w:r>
    </w:p>
    <w:p>
      <w:pPr>
        <w:pStyle w:val="ListBullet"/>
      </w:pPr>
      <w:r>
        <w:rPr>
          <w:rFonts w:ascii="Times New Roman" w:hAnsi="Times New Roman" w:eastAsia="宋体"/>
        </w:rPr>
        <w:t xml:space="preserve">文件名使用 </w:t>
      </w:r>
      <w:r>
        <w:rPr>
          <w:rFonts w:ascii="Consolas" w:hAnsi="Consolas" w:eastAsia="等线"/>
          <w:sz w:val="20"/>
        </w:rPr>
        <w:t>项目_文档类型_版本_日期</w:t>
      </w:r>
      <w:r>
        <w:rPr>
          <w:rFonts w:ascii="Times New Roman" w:hAnsi="Times New Roman" w:eastAsia="宋体"/>
        </w:rPr>
        <w:t xml:space="preserve">，例如 </w:t>
      </w:r>
      <w:r>
        <w:rPr>
          <w:rFonts w:ascii="Consolas" w:hAnsi="Consolas" w:eastAsia="等线"/>
          <w:sz w:val="20"/>
        </w:rPr>
        <w:t>抢球博弈_测试报告_v1.2_20260727.docx</w:t>
      </w:r>
      <w:r>
        <w:rPr>
          <w:rFonts w:ascii="Times New Roman" w:hAnsi="Times New Roman" w:eastAsia="宋体"/>
        </w:rPr>
        <w:t>。</w:t>
      </w:r>
    </w:p>
    <w:p>
      <w:pPr>
        <w:pStyle w:val="ListBullet"/>
      </w:pPr>
      <w:r>
        <w:rPr>
          <w:rFonts w:ascii="Times New Roman" w:hAnsi="Times New Roman" w:eastAsia="宋体"/>
        </w:rPr>
        <w:t>正式发布前更新文档属性中的标题、作者、主题，清理个人路径、批注、修订和隐藏信息。</w:t>
      </w:r>
    </w:p>
    <w:p>
      <w:pPr>
        <w:pStyle w:val="ListBullet"/>
      </w:pPr>
      <w:r>
        <w:rPr>
          <w:rFonts w:ascii="Times New Roman" w:hAnsi="Times New Roman" w:eastAsia="宋体"/>
        </w:rPr>
        <w:t>最终同时保存可编辑 DOCX 和用于提交/归档的 PDF；PDF 需逐页检查图表、分页和字体。</w:t>
      </w:r>
    </w:p>
    <w:p>
      <w:pPr>
        <w:pStyle w:val="Heading1"/>
      </w:pPr>
      <w:r>
        <w:rPr>
          <w:rFonts w:ascii="Times New Roman" w:hAnsi="Times New Roman" w:eastAsia="宋体"/>
        </w:rPr>
        <w:t>交付前检查清单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A4、页边距、页眉页脚和页码正确。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标题层级使用 Word 样式，目录可自动生成和更新。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正文宋体 12 磅、1.5 倍行距、首行缩进 2 字符。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所有图表均有编号、标题、正文引用和数据来源。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图片清晰、不变形、不超出正文区，图题不与图片分页分离。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表格列宽合理、无截字、跨页重复表头。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公式、符号、上下标、单位和中英文标点正确。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测试结论包含版本、哈希、对手、边位、样本数和指标。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无个人绝对路径、临时文字、乱码、空白大页、批注或未接受修订。</w:t>
      </w:r>
    </w:p>
    <w:p>
      <w:pPr>
        <w:spacing w:line="360" w:lineRule="auto"/>
        <w:ind w:left="420" w:hanging="210"/>
      </w:pPr>
      <w:r>
        <w:rPr>
          <w:rFonts w:ascii="Segoe UI Symbol" w:hAnsi="Segoe UI Symbol" w:eastAsia="Segoe UI Symbol"/>
          <w:sz w:val="24"/>
        </w:rPr>
        <w:t xml:space="preserve">☐ </w:t>
      </w:r>
      <w:r>
        <w:rPr>
          <w:rFonts w:ascii="Times New Roman" w:hAnsi="Times New Roman" w:eastAsia="宋体"/>
        </w:rPr>
        <w:t>DOCX 在 Word 中更新目录/题注后检查，PDF 逐页视觉复核。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</w:pPr>
    <w:r>
      <w:rPr>
        <w:rFonts w:ascii="Times New Roman" w:hAnsi="Times New Roman" w:eastAsia="宋体"/>
        <w:color w:val="666666"/>
        <w:sz w:val="18"/>
      </w:rPr>
      <w:t>小黄鱼 2D 仿真项目 | 文档规范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</w:lvl>
    <w:lvl w:ilvl="1">
      <w:start w:val="1"/>
      <w:numFmt w:val="decimal"/>
      <w:pStyle w:val="Heading2"/>
      <w:lvlText w:val="%1.%2"/>
      <w:suff w:val="space"/>
      <w:lvlJc w:val="left"/>
      <w:pPr>
        <w:ind w:left="0" w:hanging="0"/>
      </w:pPr>
    </w:lvl>
    <w:lvl w:ilvl="2">
      <w:start w:val="1"/>
      <w:numFmt w:val="decimal"/>
      <w:pStyle w:val="Heading3"/>
      <w:lvlText w:val="%1.%2.%3"/>
      <w:suff w:val="space"/>
      <w:lvlJc w:val="left"/>
      <w:pPr>
        <w:ind w:left="0" w:hanging="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left="420" w:hanging="21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left="420" w:hanging="210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20"/>
      <w:ind w:firstLine="0"/>
      <w:jc w:val="center"/>
    </w:pPr>
    <w:rPr>
      <w:rFonts w:ascii="Times New Roman" w:hAnsi="Times New Roman" w:eastAsia="宋体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240"/>
      <w:ind w:firstLine="0"/>
      <w:jc w:val="center"/>
    </w:pPr>
    <w:rPr>
      <w:rFonts w:ascii="Times New Roman" w:hAnsi="Times New Roman" w:eastAsia="宋体"/>
      <w:sz w:val="24"/>
    </w:rPr>
  </w:style>
  <w:style w:type="paragraph" w:customStyle="1" w:styleId="CodeBlock">
    <w:name w:val="Code Block"/>
    <w:pPr>
      <w:spacing w:line="240" w:lineRule="auto" w:before="60" w:after="60"/>
      <w:ind w:left="283" w:right="283" w:firstLine="0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小黄鱼项目 Word 文档书写规则</dc:title>
  <dc:subject>技术报告、策略说明与测试报告的统一排版规范</dc:subject>
  <dc:creator>小黄鱼项目组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